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Comprehensive Dossier on Stochastic Reliability Modeling and Decision-Making Control for NVIDIA H100 GPU Clusters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rapid evolution of large language model (LLM) architectures toward trillion-parameter scales has transformed the underlying computational requirements into a critical reliability engineering challenge. Modern AI supercomputers, comprised of tens of thousands of NVIDIA H100 and A100 GPUs, operate at a level of complexity where hardware failures are no longer occasional exceptions but are instead an inherent property of the system's operational state.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Managing these environments requires a transition from reactive maintenance toward proactive, stochastic control frameworks. This dossier provides an exhaustive collection of empirical data, modeling frameworks, and algorithmic strategies to support the implementation of probabilistic learning models, including Discrete-Time Markov Chains (DTMC), Continuous-Time Markov Chains (CTMC), Hidden Markov Models (HMM), and Reinforcement Learning (RL) agents for cluster management.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Empirical Reliability Facts and Hardware Dynamics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reliability of high-density GPU clusters is governed by the intersection of thermal stress, power delivery constraints, and high-frequency communication patterns unique to deep learning workloads.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Traditional high-performance computing metrics often fail to capture the nuances of LLM training, where gang-scheduled jobs render the entire system vulnerable to the failure of a single component.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Large-Scale Failure Observations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Analysis of production-scale environments, specifically the 54-day training period of the Llama 3 405B model involving 16,384 NVIDIA H100 GPUs, revealed a total of 466 job interruptions.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Out of these, 419 were unexpected failures, resulting in a mean time to failure (MTTF) of approximately three hours.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high frequency is attributed to the fact that over half of the failures are directly related to the GPUs or their onboard HBM3 memory subsystems.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scaling laws of reliability indicate that as cluster size increases, the risk of failure grows proportionally, creating a significant impact on "goodput"—the ratio of useful compute time to total wall-clock time.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Cluster Scale (GPUs)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Mean Time To Failure (MTTF)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Failure Rate per Node-Day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Reliability Benchmark 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7.9 Hours to 3.66 Days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~2.5 - 7.76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Baseline for modern H100 training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16,384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 Hours to 3.0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~7.76 - 13.3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Representative of foundation model pre-training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131,072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 Minutes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~17.5 (Peak)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Projected limit for next-generation clusters </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economic cost of these failures is substantial. For a 1,024-GPU cluster, improving the total average model FLOPs utilization (MFU) from typical levels of 42% to an optimized 51% can save nearly a week of training time on a month-long job, which equates to over $12,600 in saved compute costs based on standard GPU-hour pricing.</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Failure Mode Taxonomy and Severity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hierarchical classification system for GPU failures is essential for defining state transitions in stochastic models.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Research identifying patterns across 1,250 GPUs over 18 months highlights that thermal events and power delivery issues dominate the failure landscape, driven by the sustained 700W power draw of the H100 architecture.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Failure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Distribution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Mechanism of Failure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Symptoms for Observation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Thermal Events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Degradation of thermal interface materials; inlet air &gt; 24°C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Thermal throttling; frequency oscillation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Power Delivery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Voltage regulation instability during memory write spikes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Transient load failures; power network degradation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Memory Subsystem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HBM3/HBM2e sensitivity; cumulative single-bit errors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ECC page retirement; row remapping; DBE events </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Silicon/Manufacturing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Electromigration; bonding failures; early operational life defects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Instant hardware failure; "falling off bus"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Firmware/Software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Driver bugs; resource leaks; timing-sensitive software traps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Kernel panics; XID codes 38, 43 </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Interconnect/Link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NVLink or InfiniBand cable/switch material failures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Flapping links; NCCL timeouts </w:t>
            </w:r>
            <w:r w:rsidDel="00000000" w:rsidR="00000000" w:rsidRPr="00000000">
              <w:rPr>
                <w:rFonts w:ascii="Google Sans" w:cs="Google Sans" w:eastAsia="Google Sans" w:hAnsi="Google Sans"/>
                <w:color w:val="444746"/>
                <w:sz w:val="24"/>
                <w:szCs w:val="24"/>
                <w:vertAlign w:val="superscript"/>
                <w:rtl w:val="0"/>
              </w:rPr>
              <w:t xml:space="preserve">17</w:t>
            </w:r>
          </w:p>
        </w:tc>
      </w:tr>
    </w:tbl>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Candidate State Spaces for Stochastic Modeling</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efficacy of a reliability model is contingent upon its ability to represent the physical condition of the hardware through a discrete or continuous state space.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Health States (DTMC/CTMC/MDP)</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models focused on decision-making, such as Markov Decision Processes (MDP) or Reinforcement Learning (RL), the state space must capture the functional capacity of the GPU.</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State </w:t>
      </w:r>
      <w:r w:rsidDel="00000000" w:rsidR="00000000" w:rsidRPr="00000000">
        <w:rPr>
          <w:rFonts w:ascii="Google Sans" w:cs="Google Sans" w:eastAsia="Google Sans" w:hAnsi="Google Sans"/>
          <w:b w:val="1"/>
          <w:bCs w:val="1"/>
          <w:color w:val="1f1f1f"/>
        </w:rPr>
        <w:drawing>
          <wp:inline distB="19050" distT="19050" distL="19050" distR="19050">
            <wp:extent cx="240060" cy="230457"/>
            <wp:effectExtent b="0" l="0" r="0" t="0"/>
            <wp:docPr id="11"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240060" cy="230457"/>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(Healthy):</w:t>
      </w:r>
      <w:r w:rsidDel="00000000" w:rsidR="00000000" w:rsidRPr="00000000">
        <w:rPr>
          <w:rFonts w:ascii="Google Sans" w:cs="Google Sans" w:eastAsia="Google Sans" w:hAnsi="Google Sans"/>
          <w:color w:val="1f1f1f"/>
          <w:rtl w:val="0"/>
        </w:rPr>
        <w:t xml:space="preserve"> The GPU is operating within nominal specifications. Telemetry shows standard power draw, stable clock speeds, and zero ECC errors.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State </w:t>
      </w:r>
      <w:r w:rsidDel="00000000" w:rsidR="00000000" w:rsidRPr="00000000">
        <w:rPr>
          <w:rFonts w:ascii="Google Sans" w:cs="Google Sans" w:eastAsia="Google Sans" w:hAnsi="Google Sans"/>
          <w:b w:val="1"/>
          <w:bCs w:val="1"/>
          <w:color w:val="1f1f1f"/>
        </w:rPr>
        <w:drawing>
          <wp:inline distB="19050" distT="19050" distL="19050" distR="19050">
            <wp:extent cx="232767" cy="232767"/>
            <wp:effectExtent b="0" l="0" r="0" t="0"/>
            <wp:docPr id="13" name="image31.png"/>
            <a:graphic>
              <a:graphicData uri="http://schemas.openxmlformats.org/drawingml/2006/picture">
                <pic:pic>
                  <pic:nvPicPr>
                    <pic:cNvPr id="0" name="image31.png"/>
                    <pic:cNvPicPr preferRelativeResize="0"/>
                  </pic:nvPicPr>
                  <pic:blipFill>
                    <a:blip r:embed="rId7"/>
                    <a:srcRect b="0" l="0" r="0" t="0"/>
                    <a:stretch>
                      <a:fillRect/>
                    </a:stretch>
                  </pic:blipFill>
                  <pic:spPr>
                    <a:xfrm>
                      <a:off x="0" y="0"/>
                      <a:ext cx="232767" cy="232767"/>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(Degraded):</w:t>
      </w:r>
      <w:r w:rsidDel="00000000" w:rsidR="00000000" w:rsidRPr="00000000">
        <w:rPr>
          <w:rFonts w:ascii="Google Sans" w:cs="Google Sans" w:eastAsia="Google Sans" w:hAnsi="Google Sans"/>
          <w:color w:val="1f1f1f"/>
          <w:rtl w:val="0"/>
        </w:rPr>
        <w:t xml:space="preserve"> The system exhibits non-critical symptoms such as minor thermal throttling or single-bit ECC errors (SBE). Performance is slightly reduced, but the training job remains active.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State </w:t>
      </w:r>
      <w:r w:rsidDel="00000000" w:rsidR="00000000" w:rsidRPr="00000000">
        <w:rPr>
          <w:rFonts w:ascii="Google Sans" w:cs="Google Sans" w:eastAsia="Google Sans" w:hAnsi="Google Sans"/>
          <w:b w:val="1"/>
          <w:bCs w:val="1"/>
          <w:color w:val="1f1f1f"/>
        </w:rPr>
        <w:drawing>
          <wp:inline distB="19050" distT="19050" distL="19050" distR="19050">
            <wp:extent cx="261565" cy="232502"/>
            <wp:effectExtent b="0" l="0" r="0" t="0"/>
            <wp:docPr id="12"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261565" cy="232502"/>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(Maintenance-Required):</w:t>
      </w:r>
      <w:r w:rsidDel="00000000" w:rsidR="00000000" w:rsidRPr="00000000">
        <w:rPr>
          <w:rFonts w:ascii="Google Sans" w:cs="Google Sans" w:eastAsia="Google Sans" w:hAnsi="Google Sans"/>
          <w:color w:val="1f1f1f"/>
          <w:rtl w:val="0"/>
        </w:rPr>
        <w:t xml:space="preserve"> The device has accumulated enough soft errors to exceed safety thresholds (e.g., high row-remapping rate). This state precedes failure and is often referred to as the "lemon node" phase.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State </w:t>
      </w:r>
      <w:r w:rsidDel="00000000" w:rsidR="00000000" w:rsidRPr="00000000">
        <w:rPr>
          <w:rFonts w:ascii="Google Sans" w:cs="Google Sans" w:eastAsia="Google Sans" w:hAnsi="Google Sans"/>
          <w:b w:val="1"/>
          <w:bCs w:val="1"/>
          <w:color w:val="1f1f1f"/>
        </w:rPr>
        <w:drawing>
          <wp:inline distB="19050" distT="19050" distL="19050" distR="19050">
            <wp:extent cx="223168" cy="232871"/>
            <wp:effectExtent b="0" l="0" r="0" t="0"/>
            <wp:docPr id="1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23168" cy="232871"/>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(Failed-Recoverable):</w:t>
      </w:r>
      <w:r w:rsidDel="00000000" w:rsidR="00000000" w:rsidRPr="00000000">
        <w:rPr>
          <w:rFonts w:ascii="Google Sans" w:cs="Google Sans" w:eastAsia="Google Sans" w:hAnsi="Google Sans"/>
          <w:color w:val="1f1f1f"/>
          <w:rtl w:val="0"/>
        </w:rPr>
        <w:t xml:space="preserve"> A critical error has occurred, such as a double-bit ECC error (DBE) or an XID 48/79 event. The system requires a software-level intervention, such as a driver reset or node reboot.</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State </w:t>
      </w:r>
      <w:r w:rsidDel="00000000" w:rsidR="00000000" w:rsidRPr="00000000">
        <w:rPr>
          <w:rFonts w:ascii="Google Sans" w:cs="Google Sans" w:eastAsia="Google Sans" w:hAnsi="Google Sans"/>
          <w:b w:val="1"/>
          <w:bCs w:val="1"/>
          <w:color w:val="1f1f1f"/>
        </w:rPr>
        <w:drawing>
          <wp:inline distB="19050" distT="19050" distL="19050" distR="19050">
            <wp:extent cx="221233" cy="230852"/>
            <wp:effectExtent b="0" l="0" r="0" t="0"/>
            <wp:docPr id="14"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221233" cy="230852"/>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(Failed-Permanent):</w:t>
      </w:r>
      <w:r w:rsidDel="00000000" w:rsidR="00000000" w:rsidRPr="00000000">
        <w:rPr>
          <w:rFonts w:ascii="Google Sans" w:cs="Google Sans" w:eastAsia="Google Sans" w:hAnsi="Google Sans"/>
          <w:color w:val="1f1f1f"/>
          <w:rtl w:val="0"/>
        </w:rPr>
        <w:t xml:space="preserve"> Hardware damage has occurred to the silicon, HBM memory, or interconnects. This state requires physical part replacement and node replacement in the scheduler.</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Hidden and Latent States (HMM/POMDP)</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many cases, the true health of a GPU is a latent variable that must be inferred from noisy observables.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Belief State </w:t>
      </w:r>
      <w:r w:rsidDel="00000000" w:rsidR="00000000" w:rsidRPr="00000000">
        <w:rPr>
          <w:rFonts w:ascii="Google Sans" w:cs="Google Sans" w:eastAsia="Google Sans" w:hAnsi="Google Sans"/>
          <w:b w:val="1"/>
          <w:bCs w:val="1"/>
          <w:color w:val="1f1f1f"/>
        </w:rPr>
        <w:drawing>
          <wp:inline distB="19050" distT="19050" distL="19050" distR="19050">
            <wp:extent cx="309190" cy="231893"/>
            <wp:effectExtent b="0" l="0" r="0" t="0"/>
            <wp:docPr id="17"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309190" cy="231893"/>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In a Partially Observable Markov Decision Process (POMDP), the agent maintains a probability distribution over states based on historical telemetry and current observations.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Latent Anomaly States:</w:t>
      </w:r>
      <w:r w:rsidDel="00000000" w:rsidR="00000000" w:rsidRPr="00000000">
        <w:rPr>
          <w:rFonts w:ascii="Google Sans" w:cs="Google Sans" w:eastAsia="Google Sans" w:hAnsi="Google Sans"/>
          <w:color w:val="1f1f1f"/>
          <w:rtl w:val="0"/>
        </w:rPr>
        <w:t xml:space="preserve"> These include "Silent Data Corruption" (SDC) risks and "Hidden Performance Degradation" where no explicit error code is thrown, but numerical stability is compromised.</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Positional Vulnerability:</w:t>
      </w:r>
      <w:r w:rsidDel="00000000" w:rsidR="00000000" w:rsidRPr="00000000">
        <w:rPr>
          <w:rFonts w:ascii="Google Sans" w:cs="Google Sans" w:eastAsia="Google Sans" w:hAnsi="Google Sans"/>
          <w:color w:val="1f1f1f"/>
          <w:rtl w:val="0"/>
        </w:rPr>
        <w:t xml:space="preserve"> States can be augmented with environmental metadata, such as the rack position (upper third vs. lower third) to adjust transition probabilities based on known higher failure rates in high-heat zones.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Probabilistic Modeling Assumptions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Building a robust mathematical framework for GPU cluster reliability requires specific assumptions regarding the distribution of failures and the nature of transitions.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Markov Property and Stationary Distributions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foundational assumption for DTMC and CTMC models is the Markov property, asserting that the probability of moving to a future state depends only on the current state and not the history of how the system arrived there.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While memorylessness is mathematically convenient, empirical data on GPU aging and electromigration suggest that transition rates may change over time, necessitating the use of non-stationary models or segmented Markov chains.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system with a stationary distribution </w:t>
      </w:r>
      <w:r w:rsidDel="00000000" w:rsidR="00000000" w:rsidRPr="00000000">
        <w:rPr>
          <w:rFonts w:ascii="Google Sans" w:cs="Google Sans" w:eastAsia="Google Sans" w:hAnsi="Google Sans"/>
          <w:color w:val="1f1f1f"/>
        </w:rPr>
        <w:drawing>
          <wp:inline distB="19050" distT="19050" distL="19050" distR="19050">
            <wp:extent cx="111696" cy="223392"/>
            <wp:effectExtent b="0" l="0" r="0" t="0"/>
            <wp:docPr id="1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111696" cy="2233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long-term behavior of the cluster satisfies: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38605"/>
            <wp:effectExtent b="0" l="0" r="0" t="0"/>
            <wp:docPr id="21"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905500" cy="43860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43991" cy="230386"/>
            <wp:effectExtent b="0" l="0" r="0" t="0"/>
            <wp:docPr id="19"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143991" cy="2303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transition matrix.</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allows researchers to project the steady-state availability of a cluster given a specific maintenance cadence.</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Failure Distributions: Weibull vs. Exponential</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Standard reliability modeling often defaults to an exponential distribution, which assumes a constant failure rate.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However, data from high-performance GPU clusters show that a Weibull distribution with a decreasing hazard rate (</w:t>
      </w:r>
      <w:r w:rsidDel="00000000" w:rsidR="00000000" w:rsidRPr="00000000">
        <w:rPr>
          <w:rFonts w:ascii="Google Sans" w:cs="Google Sans" w:eastAsia="Google Sans" w:hAnsi="Google Sans"/>
          <w:color w:val="1f1f1f"/>
        </w:rPr>
        <w:drawing>
          <wp:inline distB="19050" distT="19050" distL="19050" distR="19050">
            <wp:extent cx="440085" cy="229609"/>
            <wp:effectExtent b="0" l="0" r="0" t="0"/>
            <wp:docPr id="24"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440085" cy="2296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often provides a better fit, particularly for capturing "infant mortality" and burn-in periods in large-scale deployments.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rate </w:t>
      </w:r>
      <w:r w:rsidDel="00000000" w:rsidR="00000000" w:rsidRPr="00000000">
        <w:rPr>
          <w:rFonts w:ascii="Google Sans" w:cs="Google Sans" w:eastAsia="Google Sans" w:hAnsi="Google Sans"/>
          <w:color w:val="1f1f1f"/>
        </w:rPr>
        <w:drawing>
          <wp:inline distB="19050" distT="19050" distL="19050" distR="19050">
            <wp:extent cx="317600" cy="230982"/>
            <wp:effectExtent b="0" l="0" r="0" t="0"/>
            <wp:docPr id="22"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317600" cy="2309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a Weibull-based reliability model is: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50075"/>
            <wp:effectExtent b="0" l="0" r="0" t="0"/>
            <wp:docPr id="23"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905500" cy="65007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assumption is critical for HMM-based failure prediction, as it informs the likelihood that a "Degraded" state will transition to a "Failed" state based on the age or cumulative utilization of the component.</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Uncertainty in Transition Rates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Given the limited availability of public failure datasets for H100 systems, transition rates between "Normal," "Defective," and "Failed" states are often modeled with uncertainty.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 multi-phase Markov model assuming that transition rates follow a Beta distribution—defined by known upper and lower bounds from similar historical facilities—provides a more realistic estimation of system unavailability.</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Sources and Observables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implementation of any probabilistic learning model for GPU clusters relies on a high-fidelity telemetry pipeline.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Modern systems generate 50x more telemetry data than traditional CPU infrastructure, requiring specialized ingestion and analysis.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NVIDIA Data Center GPU Manager (DCGM)</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DCGM serves as the primary source of ground-truth telemetry. It provides over 100 metrics that are essential for HMM emission probabilities and MDP state definitions.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Metric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Observable Fields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Diagnostic Value for Modeling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Utilization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SM_ACTIVE, TENSOR_ACTIVE, MEM_COPY_UTIL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Defines load-dependent transition probabilities </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Memory Health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ECC_SBE_VOLATILE, ECC_DBE_VOLATILE, RETIRED_PAGES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Primary indicators for degradation and uncorrectable memory failure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Power/Thermal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GPU_TEMP, POWER_USAGE, CLOCKS_THROTTLE_REASONS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Predictors for thermal-induced state transitions and power spikes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Communications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NVLINK_RX_BYTES, NVLINK_TX_BYTES, IB_LINK_STATUS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Used to detect fabric-level failures and "straggler" nodes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Exceptions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XID_ERRORS, SXid_ERRORS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Discrete error codes representing specific failure events </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System-Level Logs and Event Streams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DCGM provides hardware-level data, system-level logs provide the context for recovery and repair actions.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XID Error Catalog:</w:t>
      </w:r>
      <w:r w:rsidDel="00000000" w:rsidR="00000000" w:rsidRPr="00000000">
        <w:rPr>
          <w:rFonts w:ascii="Google Sans" w:cs="Google Sans" w:eastAsia="Google Sans" w:hAnsi="Google Sans"/>
          <w:color w:val="1f1f1f"/>
          <w:rtl w:val="0"/>
        </w:rPr>
        <w:t xml:space="preserve"> XID messages are reports from the NVIDIA driver printed to the kernel log. They indicate whether an error is software-related (e.g., XID 13/31), hardware-related (e.g., XID 79 "fallen off bus"), or bus-related (e.g., XID 32 DMA controller error).</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NCCL Flight Recorder:</w:t>
      </w:r>
      <w:r w:rsidDel="00000000" w:rsidR="00000000" w:rsidRPr="00000000">
        <w:rPr>
          <w:rFonts w:ascii="Google Sans" w:cs="Google Sans" w:eastAsia="Google Sans" w:hAnsi="Google Sans"/>
          <w:color w:val="1f1f1f"/>
          <w:rtl w:val="0"/>
        </w:rPr>
        <w:t xml:space="preserve"> This tool records collective communication metadata into a circular buffer, allowing for rapid diagnosis of hangups during large-scale training jobs.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Job Scheduler Metadata:</w:t>
      </w:r>
      <w:r w:rsidDel="00000000" w:rsidR="00000000" w:rsidRPr="00000000">
        <w:rPr>
          <w:rFonts w:ascii="Google Sans" w:cs="Google Sans" w:eastAsia="Google Sans" w:hAnsi="Google Sans"/>
          <w:color w:val="1f1f1f"/>
          <w:rtl w:val="0"/>
        </w:rPr>
        <w:t xml:space="preserve"> Slurm or Kubernetes logs provide the "Goodput" and "Total Idle Time" metrics, which serve as the reward signals for RL-based scheduling agents.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Algorithms Relevance and Stochastic Decision Making</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selection of algorithms for GPU cluster control is driven by the need to balance performance maximization against the risk of catastrophic failure.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Markov Decision Processes and Resource Scheduling</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GPU resource scheduling problem is frequently modeled as an MDP where the action space involves regional allocation decisions or node-level task assignments.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standard reward function </w:t>
      </w:r>
      <w:r w:rsidDel="00000000" w:rsidR="00000000" w:rsidRPr="00000000">
        <w:rPr>
          <w:rFonts w:ascii="Google Sans" w:cs="Google Sans" w:eastAsia="Google Sans" w:hAnsi="Google Sans"/>
          <w:color w:val="1f1f1f"/>
        </w:rPr>
        <w:drawing>
          <wp:inline distB="19050" distT="19050" distL="19050" distR="19050">
            <wp:extent cx="195784" cy="223753"/>
            <wp:effectExtent b="0" l="0" r="0" t="0"/>
            <wp:docPr id="25"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195784" cy="2237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these environments integrates throughput, cost, and stability:</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38605"/>
            <wp:effectExtent b="0" l="0" r="0" t="0"/>
            <wp:docPr id="26"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905500" cy="43860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Optimal transport (OT) theory can be combined with MDPs to coordinate inter-region task distribution, significantly reducing latency and switching costs compared to myopic single-timeslot strategies.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Reinforcement Learning (RL) for Proactive Control</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RL agents, particularly those using Proximal Policy Optimization (PPO), are deployed to learn multi-time-slot allocation strategies.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TORTA Architecture:</w:t>
      </w:r>
      <w:r w:rsidDel="00000000" w:rsidR="00000000" w:rsidRPr="00000000">
        <w:rPr>
          <w:rFonts w:ascii="Google Sans" w:cs="Google Sans" w:eastAsia="Google Sans" w:hAnsi="Google Sans"/>
          <w:color w:val="1f1f1f"/>
          <w:rtl w:val="0"/>
        </w:rPr>
        <w:t xml:space="preserve"> The Temporal Optimal Resource scheduling via Two-layer Architecture (TORTA) integrates spatial and temporal dimensions.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macro-level scheduler handles task distribution across regions, while the micro-level allocator refines task-to-server assignments within each region.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Smoothness Rewards:</w:t>
      </w:r>
      <w:r w:rsidDel="00000000" w:rsidR="00000000" w:rsidRPr="00000000">
        <w:rPr>
          <w:rFonts w:ascii="Google Sans" w:cs="Google Sans" w:eastAsia="Google Sans" w:hAnsi="Google Sans"/>
          <w:color w:val="1f1f1f"/>
          <w:rtl w:val="0"/>
        </w:rPr>
        <w:t xml:space="preserve"> To avoid the high overhead of frequent server state transitions, RL policies often include a smoothness reward $r_{smooth,t} = -|</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|A_{RL,t} - A_{RL,t-1}||_F^2$, which penalizes oscillations in resource allocation.</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Condition-Based Maintenance:</w:t>
      </w:r>
      <w:r w:rsidDel="00000000" w:rsidR="00000000" w:rsidRPr="00000000">
        <w:rPr>
          <w:rFonts w:ascii="Google Sans" w:cs="Google Sans" w:eastAsia="Google Sans" w:hAnsi="Google Sans"/>
          <w:color w:val="1f1f1f"/>
          <w:rtl w:val="0"/>
        </w:rPr>
        <w:t xml:space="preserve"> RL can be used to optimize maintenance schedules by balancing the "risk of failure" against the "reward of extended operating hours," often achieved through Q-learning or SARSA in discrete state spaces.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Hidden Markov Models for Predictive Maintenance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HMMs are particularly relevant for identifying the transition from a "Healthy" state to a "Degraded" state that is not yet visible to the scheduler.</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Failure Time Prediction:</w:t>
      </w:r>
      <w:r w:rsidDel="00000000" w:rsidR="00000000" w:rsidRPr="00000000">
        <w:rPr>
          <w:rFonts w:ascii="Google Sans" w:cs="Google Sans" w:eastAsia="Google Sans" w:hAnsi="Google Sans"/>
          <w:color w:val="1f1f1f"/>
          <w:rtl w:val="0"/>
        </w:rPr>
        <w:t xml:space="preserve"> Forward probability calculations in an HMM allow for the prediction of failure time distributions from historical and real-time DCGM data.</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Baum-Welch and Forward Algorithms:</w:t>
      </w:r>
      <w:r w:rsidDel="00000000" w:rsidR="00000000" w:rsidRPr="00000000">
        <w:rPr>
          <w:rFonts w:ascii="Google Sans" w:cs="Google Sans" w:eastAsia="Google Sans" w:hAnsi="Google Sans"/>
          <w:color w:val="1f1f1f"/>
          <w:rtl w:val="0"/>
        </w:rPr>
        <w:t xml:space="preserve"> These are used to iteratively refine the transition (</w:t>
      </w:r>
      <w:r w:rsidDel="00000000" w:rsidR="00000000" w:rsidRPr="00000000">
        <w:rPr>
          <w:rFonts w:ascii="Google Sans" w:cs="Google Sans" w:eastAsia="Google Sans" w:hAnsi="Google Sans"/>
          <w:color w:val="1f1f1f"/>
        </w:rPr>
        <w:drawing>
          <wp:inline distB="19050" distT="19050" distL="19050" distR="19050">
            <wp:extent cx="138335" cy="221337"/>
            <wp:effectExtent b="0" l="0" r="0" t="0"/>
            <wp:docPr id="27"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138335" cy="2213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emission (</w:t>
      </w:r>
      <w:r w:rsidDel="00000000" w:rsidR="00000000" w:rsidRPr="00000000">
        <w:rPr>
          <w:rFonts w:ascii="Google Sans" w:cs="Google Sans" w:eastAsia="Google Sans" w:hAnsi="Google Sans"/>
          <w:color w:val="1f1f1f"/>
        </w:rPr>
        <w:drawing>
          <wp:inline distB="19050" distT="19050" distL="19050" distR="19050">
            <wp:extent cx="149201" cy="223801"/>
            <wp:effectExtent b="0" l="0" r="0" t="0"/>
            <wp:docPr id="28"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149201" cy="2238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matrices as more telemetry data is ingested, improving predictive accuracy over time.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Anomaly Detection:</w:t>
      </w:r>
      <w:r w:rsidDel="00000000" w:rsidR="00000000" w:rsidRPr="00000000">
        <w:rPr>
          <w:rFonts w:ascii="Google Sans" w:cs="Google Sans" w:eastAsia="Google Sans" w:hAnsi="Google Sans"/>
          <w:color w:val="1f1f1f"/>
          <w:rtl w:val="0"/>
        </w:rPr>
        <w:t xml:space="preserve"> HMMs can provide a "data-driven early-warning signal" up to 5 minutes before failure by detecting local temporal patterns such as latency spikes or bursts of soft errors.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Implementation-Ready Parameters and Formulas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practitioners building these models, the following parameters from industry-leading studies on 16k+ GPU clusters provide a baseline for initialization and validation.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Reliability Projections and Scale Formulas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clusters grow, the probability of job completion without failure can be estimated using the Mean Time to Failure of the job (</w:t>
      </w:r>
      <w:r w:rsidDel="00000000" w:rsidR="00000000" w:rsidRPr="00000000">
        <w:rPr>
          <w:rFonts w:ascii="Google Sans" w:cs="Google Sans" w:eastAsia="Google Sans" w:hAnsi="Google Sans"/>
          <w:color w:val="1f1f1f"/>
        </w:rPr>
        <w:drawing>
          <wp:inline distB="19050" distT="19050" distL="19050" distR="19050">
            <wp:extent cx="726356" cy="229375"/>
            <wp:effectExtent b="0" l="0" r="0" t="0"/>
            <wp:docPr id="29"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726356" cy="2293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expected Effective Training Time Ratio (ETTR) is modeled as: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10914"/>
            <wp:effectExtent b="0" l="0" r="0" t="0"/>
            <wp:docPr id="30"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5905500" cy="610914"/>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w:t>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485180" cy="228320"/>
            <wp:effectExtent b="0" l="0" r="0" t="0"/>
            <wp:docPr id="31"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485180" cy="2283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number of nodes in the job.</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69441" cy="225922"/>
            <wp:effectExtent b="0" l="0" r="0" t="0"/>
            <wp:docPr id="32" name="image32.png"/>
            <a:graphic>
              <a:graphicData uri="http://schemas.openxmlformats.org/drawingml/2006/picture">
                <pic:pic>
                  <pic:nvPicPr>
                    <pic:cNvPr id="0" name="image32.png"/>
                    <pic:cNvPicPr preferRelativeResize="0"/>
                  </pic:nvPicPr>
                  <pic:blipFill>
                    <a:blip r:embed="rId25"/>
                    <a:srcRect b="0" l="0" r="0" t="0"/>
                    <a:stretch>
                      <a:fillRect/>
                    </a:stretch>
                  </pic:blipFill>
                  <pic:spPr>
                    <a:xfrm>
                      <a:off x="0" y="0"/>
                      <a:ext cx="169441" cy="2259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failure rate per node-day.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79263" cy="226438"/>
            <wp:effectExtent b="0" l="0" r="0" t="0"/>
            <wp:docPr id="1"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179263" cy="2264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initialization and recovery time (e.g., loading checkpoints).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350267" cy="227200"/>
            <wp:effectExtent b="0" l="0" r="0" t="0"/>
            <wp:docPr id="2"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350267" cy="2272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time between checkpoints.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Recommended Initial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Origin/Source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Checkpoint Penalty (</w:t>
            </w:r>
            <w:r w:rsidDel="00000000" w:rsidR="00000000" w:rsidRPr="00000000">
              <w:rPr>
                <w:rFonts w:ascii="Google Sans" w:cs="Google Sans" w:eastAsia="Google Sans" w:hAnsi="Google Sans"/>
                <w:color w:val="1f1f1f"/>
                <w:shd w:fill="auto" w:val="clear"/>
              </w:rPr>
              <w:drawing>
                <wp:inline distB="19050" distT="19050" distL="19050" distR="19050">
                  <wp:extent cx="229418" cy="210300"/>
                  <wp:effectExtent b="0" l="0" r="0" t="0"/>
                  <wp:docPr id="3"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229418" cy="21030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17s (Async) to 129s (Sync)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CoreWeave H100 benchmarks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Recovery Time Loss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Dozens of minutes to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Depending on automation level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Failure Prediction Accuracy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81% (Precision)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H100/A100 failure model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Predictive Lead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4 - 24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Proactive monitoring window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Power-Capping 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 throughput fluctuation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Due to DVFS and temperature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Reward Function Weightings for TORTA (RL/MDP)</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TORTA framework for resource scheduling, the reward weights are tuned to balance latency and cost.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A4">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Latency Weight (</w:t>
      </w:r>
      <w:r w:rsidDel="00000000" w:rsidR="00000000" w:rsidRPr="00000000">
        <w:rPr>
          <w:rFonts w:ascii="Google Sans" w:cs="Google Sans" w:eastAsia="Google Sans" w:hAnsi="Google Sans"/>
          <w:b w:val="1"/>
          <w:bCs w:val="1"/>
          <w:color w:val="1f1f1f"/>
        </w:rPr>
        <w:drawing>
          <wp:inline distB="19050" distT="19050" distL="19050" distR="19050">
            <wp:extent cx="205830" cy="224541"/>
            <wp:effectExtent b="0" l="0" r="0" t="0"/>
            <wp:docPr id="4"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205830" cy="224541"/>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Prioritizes minimizing the network delay between tasks and the data source.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A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Bandwidth Weight (</w:t>
      </w:r>
      <w:r w:rsidDel="00000000" w:rsidR="00000000" w:rsidRPr="00000000">
        <w:rPr>
          <w:rFonts w:ascii="Google Sans" w:cs="Google Sans" w:eastAsia="Google Sans" w:hAnsi="Google Sans"/>
          <w:b w:val="1"/>
          <w:bCs w:val="1"/>
          <w:color w:val="1f1f1f"/>
        </w:rPr>
        <w:drawing>
          <wp:inline distB="19050" distT="19050" distL="19050" distR="19050">
            <wp:extent cx="205830" cy="224541"/>
            <wp:effectExtent b="0" l="0" r="0" t="0"/>
            <wp:docPr id="5"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205830" cy="224541"/>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Penalizes tasks that require excessive inter-region data movement.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A6">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Operational Cost Weight (</w:t>
      </w:r>
      <w:r w:rsidDel="00000000" w:rsidR="00000000" w:rsidRPr="00000000">
        <w:rPr>
          <w:rFonts w:ascii="Google Sans" w:cs="Google Sans" w:eastAsia="Google Sans" w:hAnsi="Google Sans"/>
          <w:b w:val="1"/>
          <w:bCs w:val="1"/>
          <w:color w:val="1f1f1f"/>
        </w:rPr>
        <w:drawing>
          <wp:inline distB="19050" distT="19050" distL="19050" distR="19050">
            <wp:extent cx="205830" cy="224541"/>
            <wp:effectExtent b="0" l="0" r="0" t="0"/>
            <wp:docPr id="6" name="image30.png"/>
            <a:graphic>
              <a:graphicData uri="http://schemas.openxmlformats.org/drawingml/2006/picture">
                <pic:pic>
                  <pic:nvPicPr>
                    <pic:cNvPr id="0" name="image30.png"/>
                    <pic:cNvPicPr preferRelativeResize="0"/>
                  </pic:nvPicPr>
                  <pic:blipFill>
                    <a:blip r:embed="rId31"/>
                    <a:srcRect b="0" l="0" r="0" t="0"/>
                    <a:stretch>
                      <a:fillRect/>
                    </a:stretch>
                  </pic:blipFill>
                  <pic:spPr>
                    <a:xfrm>
                      <a:off x="0" y="0"/>
                      <a:ext cx="205830" cy="224541"/>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Captures energy pricing and power-capping costs.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load balance coefficient (</w:t>
      </w:r>
      <w:r w:rsidDel="00000000" w:rsidR="00000000" w:rsidRPr="00000000">
        <w:rPr>
          <w:rFonts w:ascii="Google Sans" w:cs="Google Sans" w:eastAsia="Google Sans" w:hAnsi="Google Sans"/>
          <w:color w:val="1f1f1f"/>
        </w:rPr>
        <w:drawing>
          <wp:inline distB="19050" distT="19050" distL="19050" distR="19050">
            <wp:extent cx="274811" cy="227430"/>
            <wp:effectExtent b="0" l="0" r="0" t="0"/>
            <wp:docPr id="7"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274811" cy="227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typically targeted at 0.74 - 0.76 for optimal efficiency across geographical regions.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Observations and Strategic Recovery</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comprehensive reliability dossier must account for the specific mechanisms used to recover from failures once they are detected.</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Checkpointing Dynamics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Checkpointing is the primary fault-tolerance mechanism for LLM training. Synchronous memory writes across multiple GPUs during checkpointing create a distinct "power signature" that can trigger regulator failures.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Implementing asynchronous checkpointing using tools like Tensorizer can reduce the save time from 129 seconds to 17 seconds, maintaining 99%+ compute utilization despite the overhead.</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Effective Training Time Ratio (ETTR) and Goodput</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business impact of reliability is measured through Goodput, defined as: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95249"/>
            <wp:effectExtent b="0" l="0" r="0" t="0"/>
            <wp:docPr id="8"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5905500" cy="595249"/>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idle compute time consists of checkpointing time, lost training time from the last checkpoint, and recovery time (node replacement and job restart).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Production-grade H100 infrastructures aim for an ETTR of 97.5% at the 1,024-GPU scale, though typical reports for foundation models often cite figures as low as 90% or 35–45% MFU.</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"Straggler" and "Lemon" Node Identification</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task for HMMs and anomaly detection is identifying "lemon nodes"—GPUs that pass basic health checks but exhibit persistent performance degradation or flapping behavior.</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B2">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Flapping Links:</w:t>
      </w:r>
      <w:r w:rsidDel="00000000" w:rsidR="00000000" w:rsidRPr="00000000">
        <w:rPr>
          <w:rFonts w:ascii="Google Sans" w:cs="Google Sans" w:eastAsia="Google Sans" w:hAnsi="Google Sans"/>
          <w:color w:val="1f1f1f"/>
          <w:rtl w:val="0"/>
        </w:rPr>
        <w:t xml:space="preserve"> InfiniBand links that transition rapidly between up and down states can disrupt the entire communication fabric, necessitating adaptive routing or the isolation of the offending node.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B3">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GSP Timeouts:</w:t>
      </w:r>
      <w:r w:rsidDel="00000000" w:rsidR="00000000" w:rsidRPr="00000000">
        <w:rPr>
          <w:rFonts w:ascii="Google Sans" w:cs="Google Sans" w:eastAsia="Google Sans" w:hAnsi="Google Sans"/>
          <w:color w:val="1f1f1f"/>
          <w:rtl w:val="0"/>
        </w:rPr>
        <w:t xml:space="preserve"> Code regressions in GPU drivers (GSP timeouts) have historically caused spikes in failure rates, appearing in telemetry as non-deterministic hangups that require driver patches to resolve.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Strategy for Probabilistic Learning Models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the data and models provided in this dossier should follow a structured progression to ensure cluster stability.</w:t>
      </w:r>
    </w:p>
    <w:p w:rsidR="00000000" w:rsidDel="00000000" w:rsidP="00000000" w:rsidRDefault="00000000" w:rsidRPr="00000000" w14:paraId="000000B6">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Phase 1: Telemetry Baseline (Observation).</w:t>
      </w:r>
      <w:r w:rsidDel="00000000" w:rsidR="00000000" w:rsidRPr="00000000">
        <w:rPr>
          <w:rFonts w:ascii="Google Sans" w:cs="Google Sans" w:eastAsia="Google Sans" w:hAnsi="Google Sans"/>
          <w:color w:val="1f1f1f"/>
          <w:rtl w:val="0"/>
        </w:rPr>
        <w:t xml:space="preserve"> Implement DCGM Exporter and Prometheus scraping to build a historical database of XID codes and SM utilization.</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B7">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Phase 2: State Estimation (HMM).</w:t>
      </w:r>
      <w:r w:rsidDel="00000000" w:rsidR="00000000" w:rsidRPr="00000000">
        <w:rPr>
          <w:rFonts w:ascii="Google Sans" w:cs="Google Sans" w:eastAsia="Google Sans" w:hAnsi="Google Sans"/>
          <w:color w:val="1f1f1f"/>
          <w:rtl w:val="0"/>
        </w:rPr>
        <w:t xml:space="preserve"> Define the hidden states (</w:t>
      </w:r>
      <w:r w:rsidDel="00000000" w:rsidR="00000000" w:rsidRPr="00000000">
        <w:rPr>
          <w:rFonts w:ascii="Google Sans" w:cs="Google Sans" w:eastAsia="Google Sans" w:hAnsi="Google Sans"/>
          <w:color w:val="1f1f1f"/>
        </w:rPr>
        <w:drawing>
          <wp:inline distB="19050" distT="19050" distL="19050" distR="19050">
            <wp:extent cx="661615" cy="230127"/>
            <wp:effectExtent b="0" l="0" r="0" t="0"/>
            <wp:docPr id="9"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661615" cy="2301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796825" cy="227664"/>
            <wp:effectExtent b="0" l="0" r="0" t="0"/>
            <wp:docPr id="10"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796825" cy="2276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45827" cy="229822"/>
            <wp:effectExtent b="0" l="0" r="0" t="0"/>
            <wp:docPr id="18"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545827" cy="2298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use the forward algorithm to estimate the probability of failure based on current telemetry streams.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B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Phase 3: Reward Formulation (MDP).</w:t>
      </w:r>
      <w:r w:rsidDel="00000000" w:rsidR="00000000" w:rsidRPr="00000000">
        <w:rPr>
          <w:rFonts w:ascii="Google Sans" w:cs="Google Sans" w:eastAsia="Google Sans" w:hAnsi="Google Sans"/>
          <w:color w:val="1f1f1f"/>
          <w:rtl w:val="0"/>
        </w:rPr>
        <w:t xml:space="preserve"> Establish the weights (</w:t>
      </w:r>
      <w:r w:rsidDel="00000000" w:rsidR="00000000" w:rsidRPr="00000000">
        <w:rPr>
          <w:rFonts w:ascii="Google Sans" w:cs="Google Sans" w:eastAsia="Google Sans" w:hAnsi="Google Sans"/>
          <w:color w:val="1f1f1f"/>
        </w:rPr>
        <w:drawing>
          <wp:inline distB="19050" distT="19050" distL="19050" distR="19050">
            <wp:extent cx="781497" cy="228731"/>
            <wp:effectExtent b="0" l="0" r="0" t="0"/>
            <wp:docPr id="20" name="image24.png"/>
            <a:graphic>
              <a:graphicData uri="http://schemas.openxmlformats.org/drawingml/2006/picture">
                <pic:pic>
                  <pic:nvPicPr>
                    <pic:cNvPr id="0" name="image24.png"/>
                    <pic:cNvPicPr preferRelativeResize="0"/>
                  </pic:nvPicPr>
                  <pic:blipFill>
                    <a:blip r:embed="rId37"/>
                    <a:srcRect b="0" l="0" r="0" t="0"/>
                    <a:stretch>
                      <a:fillRect/>
                    </a:stretch>
                  </pic:blipFill>
                  <pic:spPr>
                    <a:xfrm>
                      <a:off x="0" y="0"/>
                      <a:ext cx="781497" cy="2287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the job scheduler, incorporating the cost of downtime and the benefits of checkpointing.</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B9">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Phase 4: Policy Optimization (RL).</w:t>
      </w:r>
      <w:r w:rsidDel="00000000" w:rsidR="00000000" w:rsidRPr="00000000">
        <w:rPr>
          <w:rFonts w:ascii="Google Sans" w:cs="Google Sans" w:eastAsia="Google Sans" w:hAnsi="Google Sans"/>
          <w:color w:val="1f1f1f"/>
          <w:rtl w:val="0"/>
        </w:rPr>
        <w:t xml:space="preserve"> Train PPO-based agents in a simulated environment using the Weibull failure distributions and projected MTTF parameters before deploying to the production cluster.</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synthesizing hardware-level failure modes with high-level probabilistic modeling, researchers and infrastructure engineers can transform the "inevitability of failure" into a manageable, stochastic control problem, ensuring the efficient training of next-generation AI models.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B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 reports that half of the failures during Llama 3 traini... - moomoo Community, accessed April 2, 2026, </w:t>
      </w:r>
      <w:hyperlink r:id="rId38">
        <w:r w:rsidDel="00000000" w:rsidR="00000000" w:rsidRPr="00000000">
          <w:rPr>
            <w:rFonts w:ascii="Google Sans" w:cs="Google Sans" w:eastAsia="Google Sans" w:hAnsi="Google Sans"/>
            <w:color w:val="0000ee"/>
            <w:sz w:val="24"/>
            <w:szCs w:val="24"/>
            <w:u w:val="single"/>
            <w:rtl w:val="0"/>
          </w:rPr>
          <w:t xml:space="preserve">https://www.moomoo.com/community/feed/meta-reports-that-half-of-the-failures-during-llama-3-112873025896854</w:t>
        </w:r>
      </w:hyperlink>
      <w:r w:rsidDel="00000000" w:rsidR="00000000" w:rsidRPr="00000000">
        <w:rPr>
          <w:rtl w:val="0"/>
        </w:rPr>
      </w:r>
    </w:p>
    <w:p w:rsidR="00000000" w:rsidDel="00000000" w:rsidP="00000000" w:rsidRDefault="00000000" w:rsidRPr="00000000" w14:paraId="000000B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Faulty Nvidia H100 GPUs and HBM3 memory caused half of failures during LLama 3 training - Tom's Hardware, accessed April 2, 2026, </w:t>
      </w:r>
      <w:hyperlink r:id="rId39">
        <w:r w:rsidDel="00000000" w:rsidR="00000000" w:rsidRPr="00000000">
          <w:rPr>
            <w:rFonts w:ascii="Google Sans" w:cs="Google Sans" w:eastAsia="Google Sans" w:hAnsi="Google Sans"/>
            <w:color w:val="0000ee"/>
            <w:sz w:val="24"/>
            <w:szCs w:val="24"/>
            <w:u w:val="single"/>
            <w:rtl w:val="0"/>
          </w:rPr>
          <w:t xml:space="preserve">https://www.tomshardware.com/tech-industry/artificial-intelligence/faulty-nvidia-h100-gpus-and-hbm3-memory-caused-half-of-the-failures-during-llama-3-training-one-failure-every-three-hours-for-metas-16384-gpu-training-cluster</w:t>
        </w:r>
      </w:hyperlink>
      <w:r w:rsidDel="00000000" w:rsidR="00000000" w:rsidRPr="00000000">
        <w:rPr>
          <w:rtl w:val="0"/>
        </w:rPr>
      </w:r>
    </w:p>
    <w:p w:rsidR="00000000" w:rsidDel="00000000" w:rsidP="00000000" w:rsidRDefault="00000000" w:rsidRPr="00000000" w14:paraId="000000B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MoFa: A Unified Performance Modeling Framework for LLM Pretraining - arXiv, accessed April 2, 2026, </w:t>
      </w:r>
      <w:hyperlink r:id="rId40">
        <w:r w:rsidDel="00000000" w:rsidR="00000000" w:rsidRPr="00000000">
          <w:rPr>
            <w:rFonts w:ascii="Google Sans" w:cs="Google Sans" w:eastAsia="Google Sans" w:hAnsi="Google Sans"/>
            <w:color w:val="0000ee"/>
            <w:sz w:val="24"/>
            <w:szCs w:val="24"/>
            <w:u w:val="single"/>
            <w:rtl w:val="0"/>
          </w:rPr>
          <w:t xml:space="preserve">https://arxiv.org/html/2511.09837v2</w:t>
        </w:r>
      </w:hyperlink>
      <w:r w:rsidDel="00000000" w:rsidR="00000000" w:rsidRPr="00000000">
        <w:rPr>
          <w:rtl w:val="0"/>
        </w:rPr>
      </w:r>
    </w:p>
    <w:p w:rsidR="00000000" w:rsidDel="00000000" w:rsidP="00000000" w:rsidRDefault="00000000" w:rsidRPr="00000000" w14:paraId="000000B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Revisiting Reliability in Large-Scale Machine Learning Research Clusters - arXiv, accessed April 2, 2026, </w:t>
      </w:r>
      <w:hyperlink r:id="rId41">
        <w:r w:rsidDel="00000000" w:rsidR="00000000" w:rsidRPr="00000000">
          <w:rPr>
            <w:rFonts w:ascii="Google Sans" w:cs="Google Sans" w:eastAsia="Google Sans" w:hAnsi="Google Sans"/>
            <w:color w:val="0000ee"/>
            <w:sz w:val="24"/>
            <w:szCs w:val="24"/>
            <w:u w:val="single"/>
            <w:rtl w:val="0"/>
          </w:rPr>
          <w:t xml:space="preserve">https://arxiv.org/pdf/2410.21680</w:t>
        </w:r>
      </w:hyperlink>
      <w:r w:rsidDel="00000000" w:rsidR="00000000" w:rsidRPr="00000000">
        <w:rPr>
          <w:rtl w:val="0"/>
        </w:rPr>
      </w:r>
    </w:p>
    <w:p w:rsidR="00000000" w:rsidDel="00000000" w:rsidP="00000000" w:rsidRDefault="00000000" w:rsidRPr="00000000" w14:paraId="000000C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Markov Decision Process (MDP) in Reinforcement Learning - GeeksforGeeks, accessed April 2, 2026, </w:t>
      </w:r>
      <w:hyperlink r:id="rId42">
        <w:r w:rsidDel="00000000" w:rsidR="00000000" w:rsidRPr="00000000">
          <w:rPr>
            <w:rFonts w:ascii="Google Sans" w:cs="Google Sans" w:eastAsia="Google Sans" w:hAnsi="Google Sans"/>
            <w:color w:val="0000ee"/>
            <w:sz w:val="24"/>
            <w:szCs w:val="24"/>
            <w:u w:val="single"/>
            <w:rtl w:val="0"/>
          </w:rPr>
          <w:t xml:space="preserve">https://www.geeksforgeeks.org/machine-learning/what-is-markov-decision-process-mdp-and-its-relevance-to-reinforcement-learning/</w:t>
        </w:r>
      </w:hyperlink>
      <w:r w:rsidDel="00000000" w:rsidR="00000000" w:rsidRPr="00000000">
        <w:rPr>
          <w:rtl w:val="0"/>
        </w:rPr>
      </w:r>
    </w:p>
    <w:p w:rsidR="00000000" w:rsidDel="00000000" w:rsidP="00000000" w:rsidRDefault="00000000" w:rsidRPr="00000000" w14:paraId="000000C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Temporal-Aware GPU Resource Allocation for Distributed LLM Inference via Reinforcement Learning - arXiv, accessed April 2, 2026, </w:t>
      </w:r>
      <w:hyperlink r:id="rId43">
        <w:r w:rsidDel="00000000" w:rsidR="00000000" w:rsidRPr="00000000">
          <w:rPr>
            <w:rFonts w:ascii="Google Sans" w:cs="Google Sans" w:eastAsia="Google Sans" w:hAnsi="Google Sans"/>
            <w:color w:val="0000ee"/>
            <w:sz w:val="24"/>
            <w:szCs w:val="24"/>
            <w:u w:val="single"/>
            <w:rtl w:val="0"/>
          </w:rPr>
          <w:t xml:space="preserve">https://arxiv.org/html/2507.10259v2</w:t>
        </w:r>
      </w:hyperlink>
      <w:r w:rsidDel="00000000" w:rsidR="00000000" w:rsidRPr="00000000">
        <w:rPr>
          <w:rtl w:val="0"/>
        </w:rPr>
      </w:r>
    </w:p>
    <w:p w:rsidR="00000000" w:rsidDel="00000000" w:rsidP="00000000" w:rsidRDefault="00000000" w:rsidRPr="00000000" w14:paraId="000000C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Hidden Markov Models and Their Application for Predicting Failure Events - PMC, accessed April 2, 2026, </w:t>
      </w:r>
      <w:hyperlink r:id="rId44">
        <w:r w:rsidDel="00000000" w:rsidR="00000000" w:rsidRPr="00000000">
          <w:rPr>
            <w:rFonts w:ascii="Google Sans" w:cs="Google Sans" w:eastAsia="Google Sans" w:hAnsi="Google Sans"/>
            <w:color w:val="0000ee"/>
            <w:sz w:val="24"/>
            <w:szCs w:val="24"/>
            <w:u w:val="single"/>
            <w:rtl w:val="0"/>
          </w:rPr>
          <w:t xml:space="preserve">https://pmc.ncbi.nlm.nih.gov/articles/PMC7304047/</w:t>
        </w:r>
      </w:hyperlink>
      <w:r w:rsidDel="00000000" w:rsidR="00000000" w:rsidRPr="00000000">
        <w:rPr>
          <w:rtl w:val="0"/>
        </w:rPr>
      </w:r>
    </w:p>
    <w:p w:rsidR="00000000" w:rsidDel="00000000" w:rsidP="00000000" w:rsidRDefault="00000000" w:rsidRPr="00000000" w14:paraId="000000C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Cross-Timeslot Optimization for Distributed GPU Inference Using Reinforcement Learning, accessed April 2, 2026, </w:t>
      </w:r>
      <w:hyperlink r:id="rId45">
        <w:r w:rsidDel="00000000" w:rsidR="00000000" w:rsidRPr="00000000">
          <w:rPr>
            <w:rFonts w:ascii="Google Sans" w:cs="Google Sans" w:eastAsia="Google Sans" w:hAnsi="Google Sans"/>
            <w:color w:val="0000ee"/>
            <w:sz w:val="24"/>
            <w:szCs w:val="24"/>
            <w:u w:val="single"/>
            <w:rtl w:val="0"/>
          </w:rPr>
          <w:t xml:space="preserve">https://ics.uci.edu/~habibif/cross-timeslot.pdf</w:t>
        </w:r>
      </w:hyperlink>
      <w:r w:rsidDel="00000000" w:rsidR="00000000" w:rsidRPr="00000000">
        <w:rPr>
          <w:rtl w:val="0"/>
        </w:rPr>
      </w:r>
    </w:p>
    <w:p w:rsidR="00000000" w:rsidDel="00000000" w:rsidP="00000000" w:rsidRDefault="00000000" w:rsidRPr="00000000" w14:paraId="000000C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Sarcouncil Journal of Engineering and Computer Sciences GPU Reliability in AI Clusters: A Study of Failure Modes and Effects, accessed April 2, 2026, </w:t>
      </w:r>
      <w:hyperlink r:id="rId46">
        <w:r w:rsidDel="00000000" w:rsidR="00000000" w:rsidRPr="00000000">
          <w:rPr>
            <w:rFonts w:ascii="Google Sans" w:cs="Google Sans" w:eastAsia="Google Sans" w:hAnsi="Google Sans"/>
            <w:color w:val="0000ee"/>
            <w:sz w:val="24"/>
            <w:szCs w:val="24"/>
            <w:u w:val="single"/>
            <w:rtl w:val="0"/>
          </w:rPr>
          <w:t xml:space="preserve">https://sarcouncil.com/download-article/SJECS-97-2025-298-306.pdf</w:t>
        </w:r>
      </w:hyperlink>
      <w:r w:rsidDel="00000000" w:rsidR="00000000" w:rsidRPr="00000000">
        <w:rPr>
          <w:rtl w:val="0"/>
        </w:rPr>
      </w:r>
    </w:p>
    <w:p w:rsidR="00000000" w:rsidDel="00000000" w:rsidP="00000000" w:rsidRDefault="00000000" w:rsidRPr="00000000" w14:paraId="000000C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Fault-tolerant training: How we build reliable clusters for distributed AI workloads - Nebius, accessed April 2, 2026, </w:t>
      </w:r>
      <w:hyperlink r:id="rId47">
        <w:r w:rsidDel="00000000" w:rsidR="00000000" w:rsidRPr="00000000">
          <w:rPr>
            <w:rFonts w:ascii="Google Sans" w:cs="Google Sans" w:eastAsia="Google Sans" w:hAnsi="Google Sans"/>
            <w:color w:val="0000ee"/>
            <w:sz w:val="24"/>
            <w:szCs w:val="24"/>
            <w:u w:val="single"/>
            <w:rtl w:val="0"/>
          </w:rPr>
          <w:t xml:space="preserve">https://nebius.com/blog/posts/how-we-build-reliable-clusters</w:t>
        </w:r>
      </w:hyperlink>
      <w:r w:rsidDel="00000000" w:rsidR="00000000" w:rsidRPr="00000000">
        <w:rPr>
          <w:rtl w:val="0"/>
        </w:rPr>
      </w:r>
    </w:p>
    <w:p w:rsidR="00000000" w:rsidDel="00000000" w:rsidP="00000000" w:rsidRDefault="00000000" w:rsidRPr="00000000" w14:paraId="000000C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Llama 3.1 training fails once every three hours on average. The H1 million-GPU cluster is very fragile, and temperature fluctuations can affect throughput. - EEWorld, accessed April 2, 2026, </w:t>
      </w:r>
      <w:hyperlink r:id="rId48">
        <w:r w:rsidDel="00000000" w:rsidR="00000000" w:rsidRPr="00000000">
          <w:rPr>
            <w:rFonts w:ascii="Google Sans" w:cs="Google Sans" w:eastAsia="Google Sans" w:hAnsi="Google Sans"/>
            <w:color w:val="0000ee"/>
            <w:sz w:val="24"/>
            <w:szCs w:val="24"/>
            <w:u w:val="single"/>
            <w:rtl w:val="0"/>
          </w:rPr>
          <w:t xml:space="preserve">https://en.eeworld.com.cn/mp/QbitAI/a382499.jspx</w:t>
        </w:r>
      </w:hyperlink>
      <w:r w:rsidDel="00000000" w:rsidR="00000000" w:rsidRPr="00000000">
        <w:rPr>
          <w:rtl w:val="0"/>
        </w:rPr>
      </w:r>
    </w:p>
    <w:p w:rsidR="00000000" w:rsidDel="00000000" w:rsidP="00000000" w:rsidRDefault="00000000" w:rsidRPr="00000000" w14:paraId="000000C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CoreWeave Training Benchmarks Whitepaper August 2025, accessed April 2, 2026, </w:t>
      </w:r>
      <w:hyperlink r:id="rId49">
        <w:r w:rsidDel="00000000" w:rsidR="00000000" w:rsidRPr="00000000">
          <w:rPr>
            <w:rFonts w:ascii="Google Sans" w:cs="Google Sans" w:eastAsia="Google Sans" w:hAnsi="Google Sans"/>
            <w:color w:val="0000ee"/>
            <w:sz w:val="24"/>
            <w:szCs w:val="24"/>
            <w:u w:val="single"/>
            <w:rtl w:val="0"/>
          </w:rPr>
          <w:t xml:space="preserve">https://cdn.prod.website-files.com/62bc66d283fd9c34ffec780a/689fa33a0e99f19c11c8ecbe_CoreWeave%20Training%20Benchmarks%20Whitepaper%20August%202025.pdf</w:t>
        </w:r>
      </w:hyperlink>
      <w:r w:rsidDel="00000000" w:rsidR="00000000" w:rsidRPr="00000000">
        <w:rPr>
          <w:rtl w:val="0"/>
        </w:rPr>
      </w:r>
    </w:p>
    <w:p w:rsidR="00000000" w:rsidDel="00000000" w:rsidP="00000000" w:rsidRDefault="00000000" w:rsidRPr="00000000" w14:paraId="000000C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Lazarus: Resilient and Elastic Training of Mixture-of-Experts Models - arXiv, accessed April 2, 2026, </w:t>
      </w:r>
      <w:hyperlink r:id="rId50">
        <w:r w:rsidDel="00000000" w:rsidR="00000000" w:rsidRPr="00000000">
          <w:rPr>
            <w:rFonts w:ascii="Google Sans" w:cs="Google Sans" w:eastAsia="Google Sans" w:hAnsi="Google Sans"/>
            <w:color w:val="0000ee"/>
            <w:sz w:val="24"/>
            <w:szCs w:val="24"/>
            <w:u w:val="single"/>
            <w:rtl w:val="0"/>
          </w:rPr>
          <w:t xml:space="preserve">https://arxiv.org/html/2407.04656v2</w:t>
        </w:r>
      </w:hyperlink>
      <w:r w:rsidDel="00000000" w:rsidR="00000000" w:rsidRPr="00000000">
        <w:rPr>
          <w:rtl w:val="0"/>
        </w:rPr>
      </w:r>
    </w:p>
    <w:p w:rsidR="00000000" w:rsidDel="00000000" w:rsidP="00000000" w:rsidRDefault="00000000" w:rsidRPr="00000000" w14:paraId="000000C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NVIDIA H100 Benchmarks for Large-Scale Training | CoreWeave, accessed April 2, 2026, </w:t>
      </w:r>
      <w:hyperlink r:id="rId51">
        <w:r w:rsidDel="00000000" w:rsidR="00000000" w:rsidRPr="00000000">
          <w:rPr>
            <w:rFonts w:ascii="Google Sans" w:cs="Google Sans" w:eastAsia="Google Sans" w:hAnsi="Google Sans"/>
            <w:color w:val="0000ee"/>
            <w:sz w:val="24"/>
            <w:szCs w:val="24"/>
            <w:u w:val="single"/>
            <w:rtl w:val="0"/>
          </w:rPr>
          <w:t xml:space="preserve">https://www.coreweave.com/blog/nvidia-h100-gpu-benchmark-results-what-we-learned-from-large-scale-gpu-testing</w:t>
        </w:r>
      </w:hyperlink>
      <w:r w:rsidDel="00000000" w:rsidR="00000000" w:rsidRPr="00000000">
        <w:rPr>
          <w:rtl w:val="0"/>
        </w:rPr>
      </w:r>
    </w:p>
    <w:p w:rsidR="00000000" w:rsidDel="00000000" w:rsidP="00000000" w:rsidRDefault="00000000" w:rsidRPr="00000000" w14:paraId="000000C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handle common Xid events--Machine Learning Platform-Byteplus, accessed April 2, 2026, </w:t>
      </w:r>
      <w:hyperlink r:id="rId52">
        <w:r w:rsidDel="00000000" w:rsidR="00000000" w:rsidRPr="00000000">
          <w:rPr>
            <w:rFonts w:ascii="Google Sans" w:cs="Google Sans" w:eastAsia="Google Sans" w:hAnsi="Google Sans"/>
            <w:color w:val="0000ee"/>
            <w:sz w:val="24"/>
            <w:szCs w:val="24"/>
            <w:u w:val="single"/>
            <w:rtl w:val="0"/>
          </w:rPr>
          <w:t xml:space="preserve">https://docs.byteplus.com/en/docs/mlp/How_to_handle_common_Xid_events</w:t>
        </w:r>
      </w:hyperlink>
      <w:r w:rsidDel="00000000" w:rsidR="00000000" w:rsidRPr="00000000">
        <w:rPr>
          <w:rtl w:val="0"/>
        </w:rPr>
      </w:r>
    </w:p>
    <w:p w:rsidR="00000000" w:rsidDel="00000000" w:rsidP="00000000" w:rsidRDefault="00000000" w:rsidRPr="00000000" w14:paraId="000000C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GPU Health | Modal Docs, accessed April 2, 2026, </w:t>
      </w:r>
      <w:hyperlink r:id="rId53">
        <w:r w:rsidDel="00000000" w:rsidR="00000000" w:rsidRPr="00000000">
          <w:rPr>
            <w:rFonts w:ascii="Google Sans" w:cs="Google Sans" w:eastAsia="Google Sans" w:hAnsi="Google Sans"/>
            <w:color w:val="0000ee"/>
            <w:sz w:val="24"/>
            <w:szCs w:val="24"/>
            <w:u w:val="single"/>
            <w:rtl w:val="0"/>
          </w:rPr>
          <w:t xml:space="preserve">https://modal.com/docs/guide/gpu-health</w:t>
        </w:r>
      </w:hyperlink>
      <w:r w:rsidDel="00000000" w:rsidR="00000000" w:rsidRPr="00000000">
        <w:rPr>
          <w:rtl w:val="0"/>
        </w:rPr>
      </w:r>
    </w:p>
    <w:p w:rsidR="00000000" w:rsidDel="00000000" w:rsidP="00000000" w:rsidRDefault="00000000" w:rsidRPr="00000000" w14:paraId="000000C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Revisiting Reliability in Large-Scale Machine Learning Research Clusters - arXiv, accessed April 2, 2026, </w:t>
      </w:r>
      <w:hyperlink r:id="rId54">
        <w:r w:rsidDel="00000000" w:rsidR="00000000" w:rsidRPr="00000000">
          <w:rPr>
            <w:rFonts w:ascii="Google Sans" w:cs="Google Sans" w:eastAsia="Google Sans" w:hAnsi="Google Sans"/>
            <w:color w:val="0000ee"/>
            <w:sz w:val="24"/>
            <w:szCs w:val="24"/>
            <w:u w:val="single"/>
            <w:rtl w:val="0"/>
          </w:rPr>
          <w:t xml:space="preserve">https://arxiv.org/html/2410.21680v1</w:t>
        </w:r>
      </w:hyperlink>
      <w:r w:rsidDel="00000000" w:rsidR="00000000" w:rsidRPr="00000000">
        <w:rPr>
          <w:rtl w:val="0"/>
        </w:rPr>
      </w:r>
    </w:p>
    <w:p w:rsidR="00000000" w:rsidDel="00000000" w:rsidP="00000000" w:rsidRDefault="00000000" w:rsidRPr="00000000" w14:paraId="000000C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Analysis for a Degrading System with Markov Model - ResearchGate, accessed April 2, 2026, </w:t>
      </w:r>
      <w:hyperlink r:id="rId55">
        <w:r w:rsidDel="00000000" w:rsidR="00000000" w:rsidRPr="00000000">
          <w:rPr>
            <w:rFonts w:ascii="Google Sans" w:cs="Google Sans" w:eastAsia="Google Sans" w:hAnsi="Google Sans"/>
            <w:color w:val="0000ee"/>
            <w:sz w:val="24"/>
            <w:szCs w:val="24"/>
            <w:u w:val="single"/>
            <w:rtl w:val="0"/>
          </w:rPr>
          <w:t xml:space="preserve">https://www.researchgate.net/publication/363336255_Performance_analysis_for_a_degrading_system_with_Markov_model</w:t>
        </w:r>
      </w:hyperlink>
      <w:r w:rsidDel="00000000" w:rsidR="00000000" w:rsidRPr="00000000">
        <w:rPr>
          <w:rtl w:val="0"/>
        </w:rPr>
      </w:r>
    </w:p>
    <w:p w:rsidR="00000000" w:rsidDel="00000000" w:rsidP="00000000" w:rsidRDefault="00000000" w:rsidRPr="00000000" w14:paraId="000000C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Fire-Flyer AI-HPC: A Cost-Effective Software-Hardware Co-Design for Deep Learning - arXiv, accessed April 2, 2026, </w:t>
      </w:r>
      <w:hyperlink r:id="rId56">
        <w:r w:rsidDel="00000000" w:rsidR="00000000" w:rsidRPr="00000000">
          <w:rPr>
            <w:rFonts w:ascii="Google Sans" w:cs="Google Sans" w:eastAsia="Google Sans" w:hAnsi="Google Sans"/>
            <w:color w:val="0000ee"/>
            <w:sz w:val="24"/>
            <w:szCs w:val="24"/>
            <w:u w:val="single"/>
            <w:rtl w:val="0"/>
          </w:rPr>
          <w:t xml:space="preserve">https://arxiv.org/html/2408.14158v1</w:t>
        </w:r>
      </w:hyperlink>
      <w:r w:rsidDel="00000000" w:rsidR="00000000" w:rsidRPr="00000000">
        <w:rPr>
          <w:rtl w:val="0"/>
        </w:rPr>
      </w:r>
    </w:p>
    <w:p w:rsidR="00000000" w:rsidDel="00000000" w:rsidP="00000000" w:rsidRDefault="00000000" w:rsidRPr="00000000" w14:paraId="000000C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Dynamic Hidden Markov Model with Real-Time Updates for Multi-Risk Meteorological Forecasting in Offshore Wind Power - MDPI, accessed April 2, 2026, </w:t>
      </w:r>
      <w:hyperlink r:id="rId57">
        <w:r w:rsidDel="00000000" w:rsidR="00000000" w:rsidRPr="00000000">
          <w:rPr>
            <w:rFonts w:ascii="Google Sans" w:cs="Google Sans" w:eastAsia="Google Sans" w:hAnsi="Google Sans"/>
            <w:color w:val="0000ee"/>
            <w:sz w:val="24"/>
            <w:szCs w:val="24"/>
            <w:u w:val="single"/>
            <w:rtl w:val="0"/>
          </w:rPr>
          <w:t xml:space="preserve">https://www.mdpi.com/2071-1050/17/8/3606</w:t>
        </w:r>
      </w:hyperlink>
      <w:r w:rsidDel="00000000" w:rsidR="00000000" w:rsidRPr="00000000">
        <w:rPr>
          <w:rtl w:val="0"/>
        </w:rPr>
      </w:r>
    </w:p>
    <w:p w:rsidR="00000000" w:rsidDel="00000000" w:rsidP="00000000" w:rsidRDefault="00000000" w:rsidRPr="00000000" w14:paraId="000000D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Network motif detection using hidden markov models - PMC, accessed April 2, 2026, </w:t>
      </w:r>
      <w:hyperlink r:id="rId58">
        <w:r w:rsidDel="00000000" w:rsidR="00000000" w:rsidRPr="00000000">
          <w:rPr>
            <w:rFonts w:ascii="Google Sans" w:cs="Google Sans" w:eastAsia="Google Sans" w:hAnsi="Google Sans"/>
            <w:color w:val="0000ee"/>
            <w:sz w:val="24"/>
            <w:szCs w:val="24"/>
            <w:u w:val="single"/>
            <w:rtl w:val="0"/>
          </w:rPr>
          <w:t xml:space="preserve">https://pmc.ncbi.nlm.nih.gov/articles/PMC12647810/</w:t>
        </w:r>
      </w:hyperlink>
      <w:r w:rsidDel="00000000" w:rsidR="00000000" w:rsidRPr="00000000">
        <w:rPr>
          <w:rtl w:val="0"/>
        </w:rPr>
      </w:r>
    </w:p>
    <w:p w:rsidR="00000000" w:rsidDel="00000000" w:rsidP="00000000" w:rsidRDefault="00000000" w:rsidRPr="00000000" w14:paraId="000000D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Data Movement and Processing Platform at Netflix - MarkTechPost, accessed April 2, 2026, </w:t>
      </w:r>
      <w:hyperlink r:id="rId59">
        <w:r w:rsidDel="00000000" w:rsidR="00000000" w:rsidRPr="00000000">
          <w:rPr>
            <w:rFonts w:ascii="Google Sans" w:cs="Google Sans" w:eastAsia="Google Sans" w:hAnsi="Google Sans"/>
            <w:color w:val="0000ee"/>
            <w:sz w:val="24"/>
            <w:szCs w:val="24"/>
            <w:u w:val="single"/>
            <w:rtl w:val="0"/>
          </w:rPr>
          <w:t xml:space="preserve">https://www.marktechpost.com/2022/09/02/understanding-data-movement-and-processing-platform-at-netflix/</w:t>
        </w:r>
      </w:hyperlink>
      <w:r w:rsidDel="00000000" w:rsidR="00000000" w:rsidRPr="00000000">
        <w:rPr>
          <w:rtl w:val="0"/>
        </w:rPr>
      </w:r>
    </w:p>
    <w:p w:rsidR="00000000" w:rsidDel="00000000" w:rsidP="00000000" w:rsidRDefault="00000000" w:rsidRPr="00000000" w14:paraId="000000D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Markov Chain - Lark, accessed April 2, 2026, </w:t>
      </w:r>
      <w:hyperlink r:id="rId60">
        <w:r w:rsidDel="00000000" w:rsidR="00000000" w:rsidRPr="00000000">
          <w:rPr>
            <w:rFonts w:ascii="Google Sans" w:cs="Google Sans" w:eastAsia="Google Sans" w:hAnsi="Google Sans"/>
            <w:color w:val="0000ee"/>
            <w:sz w:val="24"/>
            <w:szCs w:val="24"/>
            <w:u w:val="single"/>
            <w:rtl w:val="0"/>
          </w:rPr>
          <w:t xml:space="preserve">https://www.larksuite.com/en_us/topics/ai-glossary/markov-chain</w:t>
        </w:r>
      </w:hyperlink>
      <w:r w:rsidDel="00000000" w:rsidR="00000000" w:rsidRPr="00000000">
        <w:rPr>
          <w:rtl w:val="0"/>
        </w:rPr>
      </w:r>
    </w:p>
    <w:p w:rsidR="00000000" w:rsidDel="00000000" w:rsidP="00000000" w:rsidRDefault="00000000" w:rsidRPr="00000000" w14:paraId="000000D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Pre-trained Large Language Models Learn to Predict Hidden Markov Models In-context - OpenReview, accessed April 2, 2026, </w:t>
      </w:r>
      <w:hyperlink r:id="rId61">
        <w:r w:rsidDel="00000000" w:rsidR="00000000" w:rsidRPr="00000000">
          <w:rPr>
            <w:rFonts w:ascii="Google Sans" w:cs="Google Sans" w:eastAsia="Google Sans" w:hAnsi="Google Sans"/>
            <w:color w:val="0000ee"/>
            <w:sz w:val="24"/>
            <w:szCs w:val="24"/>
            <w:u w:val="single"/>
            <w:rtl w:val="0"/>
          </w:rPr>
          <w:t xml:space="preserve">https://openreview.net/pdf/d9c6c3a5ef2b457a99d3851f69c626f9896663ed.pdf</w:t>
        </w:r>
      </w:hyperlink>
      <w:r w:rsidDel="00000000" w:rsidR="00000000" w:rsidRPr="00000000">
        <w:rPr>
          <w:rtl w:val="0"/>
        </w:rPr>
      </w:r>
    </w:p>
    <w:p w:rsidR="00000000" w:rsidDel="00000000" w:rsidP="00000000" w:rsidRDefault="00000000" w:rsidRPr="00000000" w14:paraId="000000D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GPU errors on large-scale HPC systems and the implications for system design and operation | Request PDF - ResearchGate, accessed April 2, 2026, </w:t>
      </w:r>
      <w:hyperlink r:id="rId62">
        <w:r w:rsidDel="00000000" w:rsidR="00000000" w:rsidRPr="00000000">
          <w:rPr>
            <w:rFonts w:ascii="Google Sans" w:cs="Google Sans" w:eastAsia="Google Sans" w:hAnsi="Google Sans"/>
            <w:color w:val="0000ee"/>
            <w:sz w:val="24"/>
            <w:szCs w:val="24"/>
            <w:u w:val="single"/>
            <w:rtl w:val="0"/>
          </w:rPr>
          <w:t xml:space="preserve">https://www.researchgate.net/publication/282377434_Understanding_GPU_errors_on_large-scale_HPC_systems_and_the_implications_for_system_design_and_operation</w:t>
        </w:r>
      </w:hyperlink>
      <w:r w:rsidDel="00000000" w:rsidR="00000000" w:rsidRPr="00000000">
        <w:rPr>
          <w:rtl w:val="0"/>
        </w:rPr>
      </w:r>
    </w:p>
    <w:p w:rsidR="00000000" w:rsidDel="00000000" w:rsidP="00000000" w:rsidRDefault="00000000" w:rsidRPr="00000000" w14:paraId="000000D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 Probabilistic Model Checking on General Purpose Graphics Processors - Spin, accessed April 2, 2026, </w:t>
      </w:r>
      <w:hyperlink r:id="rId63">
        <w:r w:rsidDel="00000000" w:rsidR="00000000" w:rsidRPr="00000000">
          <w:rPr>
            <w:rFonts w:ascii="Google Sans" w:cs="Google Sans" w:eastAsia="Google Sans" w:hAnsi="Google Sans"/>
            <w:color w:val="0000ee"/>
            <w:sz w:val="24"/>
            <w:szCs w:val="24"/>
            <w:u w:val="single"/>
            <w:rtl w:val="0"/>
          </w:rPr>
          <w:t xml:space="preserve">https://spinroot.com/spin/symposia/ws09/Bosnacki.pdf</w:t>
        </w:r>
      </w:hyperlink>
      <w:r w:rsidDel="00000000" w:rsidR="00000000" w:rsidRPr="00000000">
        <w:rPr>
          <w:rtl w:val="0"/>
        </w:rPr>
      </w:r>
    </w:p>
    <w:p w:rsidR="00000000" w:rsidDel="00000000" w:rsidP="00000000" w:rsidRDefault="00000000" w:rsidRPr="00000000" w14:paraId="000000D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SuperBench: Improving Cloud AI Infrastructure Reliability with Proactive Validation, accessed April 2, 2026, </w:t>
      </w:r>
      <w:hyperlink r:id="rId64">
        <w:r w:rsidDel="00000000" w:rsidR="00000000" w:rsidRPr="00000000">
          <w:rPr>
            <w:rFonts w:ascii="Google Sans" w:cs="Google Sans" w:eastAsia="Google Sans" w:hAnsi="Google Sans"/>
            <w:color w:val="0000ee"/>
            <w:sz w:val="24"/>
            <w:szCs w:val="24"/>
            <w:u w:val="single"/>
            <w:rtl w:val="0"/>
          </w:rPr>
          <w:t xml:space="preserve">https://arxiv.org/html/2402.06194v2</w:t>
        </w:r>
      </w:hyperlink>
      <w:r w:rsidDel="00000000" w:rsidR="00000000" w:rsidRPr="00000000">
        <w:rPr>
          <w:rtl w:val="0"/>
        </w:rPr>
      </w:r>
    </w:p>
    <w:p w:rsidR="00000000" w:rsidDel="00000000" w:rsidP="00000000" w:rsidRDefault="00000000" w:rsidRPr="00000000" w14:paraId="000000D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SuperBench: Improving Cloud AI Infrastructure Reliability with Proactive Validation - USENIX, accessed April 2, 2026, </w:t>
      </w:r>
      <w:hyperlink r:id="rId65">
        <w:r w:rsidDel="00000000" w:rsidR="00000000" w:rsidRPr="00000000">
          <w:rPr>
            <w:rFonts w:ascii="Google Sans" w:cs="Google Sans" w:eastAsia="Google Sans" w:hAnsi="Google Sans"/>
            <w:color w:val="0000ee"/>
            <w:sz w:val="24"/>
            <w:szCs w:val="24"/>
            <w:u w:val="single"/>
            <w:rtl w:val="0"/>
          </w:rPr>
          <w:t xml:space="preserve">https://www.usenix.org/system/files/atc24-xiong.pdf</w:t>
        </w:r>
      </w:hyperlink>
      <w:r w:rsidDel="00000000" w:rsidR="00000000" w:rsidRPr="00000000">
        <w:rPr>
          <w:rtl w:val="0"/>
        </w:rPr>
      </w:r>
    </w:p>
    <w:p w:rsidR="00000000" w:rsidDel="00000000" w:rsidP="00000000" w:rsidRDefault="00000000" w:rsidRPr="00000000" w14:paraId="000000D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large-scale study of soft-errors on GPUs in the field - ResearchGate, accessed April 2, 2026, </w:t>
      </w:r>
      <w:hyperlink r:id="rId66">
        <w:r w:rsidDel="00000000" w:rsidR="00000000" w:rsidRPr="00000000">
          <w:rPr>
            <w:rFonts w:ascii="Google Sans" w:cs="Google Sans" w:eastAsia="Google Sans" w:hAnsi="Google Sans"/>
            <w:color w:val="0000ee"/>
            <w:sz w:val="24"/>
            <w:szCs w:val="24"/>
            <w:u w:val="single"/>
            <w:rtl w:val="0"/>
          </w:rPr>
          <w:t xml:space="preserve">https://www.researchgate.net/publication/299641571_A_large-scale_study_of_soft-errors_on_GPUs_in_the_field</w:t>
        </w:r>
      </w:hyperlink>
      <w:r w:rsidDel="00000000" w:rsidR="00000000" w:rsidRPr="00000000">
        <w:rPr>
          <w:rtl w:val="0"/>
        </w:rPr>
      </w:r>
    </w:p>
    <w:p w:rsidR="00000000" w:rsidDel="00000000" w:rsidP="00000000" w:rsidRDefault="00000000" w:rsidRPr="00000000" w14:paraId="000000D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here - The Education University of Hong Kong, accessed April 2, 2026, </w:t>
      </w:r>
      <w:hyperlink r:id="rId67">
        <w:r w:rsidDel="00000000" w:rsidR="00000000" w:rsidRPr="00000000">
          <w:rPr>
            <w:rFonts w:ascii="Google Sans" w:cs="Google Sans" w:eastAsia="Google Sans" w:hAnsi="Google Sans"/>
            <w:color w:val="0000ee"/>
            <w:sz w:val="24"/>
            <w:szCs w:val="24"/>
            <w:u w:val="single"/>
            <w:rtl w:val="0"/>
          </w:rPr>
          <w:t xml:space="preserve">https://www.eduhk.hk/eac-isba2024/BOA_0622.pdf</w:t>
        </w:r>
      </w:hyperlink>
      <w:r w:rsidDel="00000000" w:rsidR="00000000" w:rsidRPr="00000000">
        <w:rPr>
          <w:rtl w:val="0"/>
        </w:rPr>
      </w:r>
    </w:p>
    <w:p w:rsidR="00000000" w:rsidDel="00000000" w:rsidP="00000000" w:rsidRDefault="00000000" w:rsidRPr="00000000" w14:paraId="000000D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NVIDIA DCGM, accessed April 2, 2026, </w:t>
      </w:r>
      <w:hyperlink r:id="rId68">
        <w:r w:rsidDel="00000000" w:rsidR="00000000" w:rsidRPr="00000000">
          <w:rPr>
            <w:rFonts w:ascii="Google Sans" w:cs="Google Sans" w:eastAsia="Google Sans" w:hAnsi="Google Sans"/>
            <w:color w:val="0000ee"/>
            <w:sz w:val="24"/>
            <w:szCs w:val="24"/>
            <w:u w:val="single"/>
            <w:rtl w:val="0"/>
          </w:rPr>
          <w:t xml:space="preserve">https://developer.nvidia.com/dcgm</w:t>
        </w:r>
      </w:hyperlink>
      <w:r w:rsidDel="00000000" w:rsidR="00000000" w:rsidRPr="00000000">
        <w:rPr>
          <w:rtl w:val="0"/>
        </w:rPr>
      </w:r>
    </w:p>
    <w:p w:rsidR="00000000" w:rsidDel="00000000" w:rsidP="00000000" w:rsidRDefault="00000000" w:rsidRPr="00000000" w14:paraId="000000D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GPU Cluster Monitoring: Real-Time Performance Analytics and Predictive Maintenance, accessed April 2, 2026, </w:t>
      </w:r>
      <w:hyperlink r:id="rId69">
        <w:r w:rsidDel="00000000" w:rsidR="00000000" w:rsidRPr="00000000">
          <w:rPr>
            <w:rFonts w:ascii="Google Sans" w:cs="Google Sans" w:eastAsia="Google Sans" w:hAnsi="Google Sans"/>
            <w:color w:val="0000ee"/>
            <w:sz w:val="24"/>
            <w:szCs w:val="24"/>
            <w:u w:val="single"/>
            <w:rtl w:val="0"/>
          </w:rPr>
          <w:t xml:space="preserve">https://introl.com/blog/gpu-cluster-monitoring-real-time-analytics-predictive-maintenance</w:t>
        </w:r>
      </w:hyperlink>
      <w:r w:rsidDel="00000000" w:rsidR="00000000" w:rsidRPr="00000000">
        <w:rPr>
          <w:rtl w:val="0"/>
        </w:rPr>
      </w:r>
    </w:p>
    <w:p w:rsidR="00000000" w:rsidDel="00000000" w:rsidP="00000000" w:rsidRDefault="00000000" w:rsidRPr="00000000" w14:paraId="000000D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Collect and view DCGM metrics | Google Kubernetes Engine (GKE), accessed April 2, 2026, </w:t>
      </w:r>
      <w:hyperlink r:id="rId70">
        <w:r w:rsidDel="00000000" w:rsidR="00000000" w:rsidRPr="00000000">
          <w:rPr>
            <w:rFonts w:ascii="Google Sans" w:cs="Google Sans" w:eastAsia="Google Sans" w:hAnsi="Google Sans"/>
            <w:color w:val="0000ee"/>
            <w:sz w:val="24"/>
            <w:szCs w:val="24"/>
            <w:u w:val="single"/>
            <w:rtl w:val="0"/>
          </w:rPr>
          <w:t xml:space="preserve">https://docs.cloud.google.com/kubernetes-engine/docs/how-to/dcgm-metrics</w:t>
        </w:r>
      </w:hyperlink>
      <w:r w:rsidDel="00000000" w:rsidR="00000000" w:rsidRPr="00000000">
        <w:rPr>
          <w:rtl w:val="0"/>
        </w:rPr>
      </w:r>
    </w:p>
    <w:p w:rsidR="00000000" w:rsidDel="00000000" w:rsidP="00000000" w:rsidRDefault="00000000" w:rsidRPr="00000000" w14:paraId="000000D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NVIDIA DCGM Monitoring: Setup, Metrics &amp; Alerts | MetricFire, accessed April 2, 2026, </w:t>
      </w:r>
      <w:hyperlink r:id="rId71">
        <w:r w:rsidDel="00000000" w:rsidR="00000000" w:rsidRPr="00000000">
          <w:rPr>
            <w:rFonts w:ascii="Google Sans" w:cs="Google Sans" w:eastAsia="Google Sans" w:hAnsi="Google Sans"/>
            <w:color w:val="0000ee"/>
            <w:sz w:val="24"/>
            <w:szCs w:val="24"/>
            <w:u w:val="single"/>
            <w:rtl w:val="0"/>
          </w:rPr>
          <w:t xml:space="preserve">https://www.metricfire.com/blog/why-gpu-monitoring-matters-tracking-utilization-power-and-errors-with-dcgm/</w:t>
        </w:r>
      </w:hyperlink>
      <w:r w:rsidDel="00000000" w:rsidR="00000000" w:rsidRPr="00000000">
        <w:rPr>
          <w:rtl w:val="0"/>
        </w:rPr>
      </w:r>
    </w:p>
    <w:p w:rsidR="00000000" w:rsidDel="00000000" w:rsidP="00000000" w:rsidRDefault="00000000" w:rsidRPr="00000000" w14:paraId="000000D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DCGM Release Notes - NVIDIA Documentation, accessed April 2, 2026, </w:t>
      </w:r>
      <w:hyperlink r:id="rId72">
        <w:r w:rsidDel="00000000" w:rsidR="00000000" w:rsidRPr="00000000">
          <w:rPr>
            <w:rFonts w:ascii="Google Sans" w:cs="Google Sans" w:eastAsia="Google Sans" w:hAnsi="Google Sans"/>
            <w:color w:val="0000ee"/>
            <w:sz w:val="24"/>
            <w:szCs w:val="24"/>
            <w:u w:val="single"/>
            <w:rtl w:val="0"/>
          </w:rPr>
          <w:t xml:space="preserve">https://docs.nvidia.com/datacenter/dcgm/latest/release-notes/changelog.html</w:t>
        </w:r>
      </w:hyperlink>
      <w:r w:rsidDel="00000000" w:rsidR="00000000" w:rsidRPr="00000000">
        <w:rPr>
          <w:rtl w:val="0"/>
        </w:rPr>
      </w:r>
    </w:p>
    <w:p w:rsidR="00000000" w:rsidDel="00000000" w:rsidP="00000000" w:rsidRDefault="00000000" w:rsidRPr="00000000" w14:paraId="000000D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XID Errors - NVIDIA Documentation, accessed April 2, 2026, </w:t>
      </w:r>
      <w:hyperlink r:id="rId73">
        <w:r w:rsidDel="00000000" w:rsidR="00000000" w:rsidRPr="00000000">
          <w:rPr>
            <w:rFonts w:ascii="Google Sans" w:cs="Google Sans" w:eastAsia="Google Sans" w:hAnsi="Google Sans"/>
            <w:color w:val="0000ee"/>
            <w:sz w:val="24"/>
            <w:szCs w:val="24"/>
            <w:u w:val="single"/>
            <w:rtl w:val="0"/>
          </w:rPr>
          <w:t xml:space="preserve">https://docs.nvidia.com/deploy/pdf/XID_Errors.pdf</w:t>
        </w:r>
      </w:hyperlink>
      <w:r w:rsidDel="00000000" w:rsidR="00000000" w:rsidRPr="00000000">
        <w:rPr>
          <w:rtl w:val="0"/>
        </w:rPr>
      </w:r>
    </w:p>
    <w:p w:rsidR="00000000" w:rsidDel="00000000" w:rsidP="00000000" w:rsidRDefault="00000000" w:rsidRPr="00000000" w14:paraId="000000E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Working with Xid Errors - NVIDIA Documentation, accessed April 2, 2026, </w:t>
      </w:r>
      <w:hyperlink r:id="rId74">
        <w:r w:rsidDel="00000000" w:rsidR="00000000" w:rsidRPr="00000000">
          <w:rPr>
            <w:rFonts w:ascii="Google Sans" w:cs="Google Sans" w:eastAsia="Google Sans" w:hAnsi="Google Sans"/>
            <w:color w:val="0000ee"/>
            <w:sz w:val="24"/>
            <w:szCs w:val="24"/>
            <w:u w:val="single"/>
            <w:rtl w:val="0"/>
          </w:rPr>
          <w:t xml:space="preserve">https://docs.nvidia.com/deploy/xid-errors/working-with-xid-errors.html</w:t>
        </w:r>
      </w:hyperlink>
      <w:r w:rsidDel="00000000" w:rsidR="00000000" w:rsidRPr="00000000">
        <w:rPr>
          <w:rtl w:val="0"/>
        </w:rPr>
      </w:r>
    </w:p>
    <w:p w:rsidR="00000000" w:rsidDel="00000000" w:rsidP="00000000" w:rsidRDefault="00000000" w:rsidRPr="00000000" w14:paraId="000000E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Algorithmic Techniques for GPU Scheduling: A Comprehensive Survey - Preprints.org, accessed April 2, 2026, </w:t>
      </w:r>
      <w:hyperlink r:id="rId75">
        <w:r w:rsidDel="00000000" w:rsidR="00000000" w:rsidRPr="00000000">
          <w:rPr>
            <w:rFonts w:ascii="Google Sans" w:cs="Google Sans" w:eastAsia="Google Sans" w:hAnsi="Google Sans"/>
            <w:color w:val="0000ee"/>
            <w:sz w:val="24"/>
            <w:szCs w:val="24"/>
            <w:u w:val="single"/>
            <w:rtl w:val="0"/>
          </w:rPr>
          <w:t xml:space="preserve">https://www.preprints.org/manuscript/202505.0152/download/final_file</w:t>
        </w:r>
      </w:hyperlink>
      <w:r w:rsidDel="00000000" w:rsidR="00000000" w:rsidRPr="00000000">
        <w:rPr>
          <w:rtl w:val="0"/>
        </w:rPr>
      </w:r>
    </w:p>
    <w:p w:rsidR="00000000" w:rsidDel="00000000" w:rsidP="00000000" w:rsidRDefault="00000000" w:rsidRPr="00000000" w14:paraId="000000E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Reinforcement Learning for Job Scheduling and Resource Management in Cloud Computing: An Algorithm-Level Review - arXiv, accessed April 2, 2026, </w:t>
      </w:r>
      <w:hyperlink r:id="rId76">
        <w:r w:rsidDel="00000000" w:rsidR="00000000" w:rsidRPr="00000000">
          <w:rPr>
            <w:rFonts w:ascii="Google Sans" w:cs="Google Sans" w:eastAsia="Google Sans" w:hAnsi="Google Sans"/>
            <w:color w:val="0000ee"/>
            <w:sz w:val="24"/>
            <w:szCs w:val="24"/>
            <w:u w:val="single"/>
            <w:rtl w:val="0"/>
          </w:rPr>
          <w:t xml:space="preserve">https://arxiv.org/html/2501.01007v1</w:t>
        </w:r>
      </w:hyperlink>
      <w:r w:rsidDel="00000000" w:rsidR="00000000" w:rsidRPr="00000000">
        <w:rPr>
          <w:rtl w:val="0"/>
        </w:rPr>
      </w:r>
    </w:p>
    <w:p w:rsidR="00000000" w:rsidDel="00000000" w:rsidP="00000000" w:rsidRDefault="00000000" w:rsidRPr="00000000" w14:paraId="000000E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Temporal-Aware GPU Resource Allocation for Distributed LLM Inference via Reinforcement Learning - arXiv, accessed April 2, 2026, </w:t>
      </w:r>
      <w:hyperlink r:id="rId77">
        <w:r w:rsidDel="00000000" w:rsidR="00000000" w:rsidRPr="00000000">
          <w:rPr>
            <w:rFonts w:ascii="Google Sans" w:cs="Google Sans" w:eastAsia="Google Sans" w:hAnsi="Google Sans"/>
            <w:color w:val="0000ee"/>
            <w:sz w:val="24"/>
            <w:szCs w:val="24"/>
            <w:u w:val="single"/>
            <w:rtl w:val="0"/>
          </w:rPr>
          <w:t xml:space="preserve">https://arxiv.org/pdf/2507.10259</w:t>
        </w:r>
      </w:hyperlink>
      <w:r w:rsidDel="00000000" w:rsidR="00000000" w:rsidRPr="00000000">
        <w:rPr>
          <w:rtl w:val="0"/>
        </w:rPr>
      </w:r>
    </w:p>
    <w:p w:rsidR="00000000" w:rsidDel="00000000" w:rsidP="00000000" w:rsidRDefault="00000000" w:rsidRPr="00000000" w14:paraId="000000E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Condition-Based Maintenance scheduling of an aircraft fleet under partial observability - AGIFORS, accessed April 2, 2026, </w:t>
      </w:r>
      <w:hyperlink r:id="rId78">
        <w:r w:rsidDel="00000000" w:rsidR="00000000" w:rsidRPr="00000000">
          <w:rPr>
            <w:rFonts w:ascii="Google Sans" w:cs="Google Sans" w:eastAsia="Google Sans" w:hAnsi="Google Sans"/>
            <w:color w:val="0000ee"/>
            <w:sz w:val="24"/>
            <w:szCs w:val="24"/>
            <w:u w:val="single"/>
            <w:rtl w:val="0"/>
          </w:rPr>
          <w:t xml:space="preserve">https://www.agifors.org/resources/Documents/Anna%20Valicek%20Papers/2024/04-Iordanis%20Tseremoglou%20-%20Paper%20-%20Condition-Based%20Maintenance%20scheduling%20of%20an%20aircraft%20fleet.pdf</w:t>
        </w:r>
      </w:hyperlink>
      <w:r w:rsidDel="00000000" w:rsidR="00000000" w:rsidRPr="00000000">
        <w:rPr>
          <w:rtl w:val="0"/>
        </w:rPr>
      </w:r>
    </w:p>
    <w:p w:rsidR="00000000" w:rsidDel="00000000" w:rsidP="00000000" w:rsidRDefault="00000000" w:rsidRPr="00000000" w14:paraId="000000E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Joint Optimization of Time-Aware Condition-Based Maintenance and Repair Resource Management for Gantry Crane Clusters Based on I - IEEE Xplore, accessed April 2, 2026, </w:t>
      </w:r>
      <w:hyperlink r:id="rId79">
        <w:r w:rsidDel="00000000" w:rsidR="00000000" w:rsidRPr="00000000">
          <w:rPr>
            <w:rFonts w:ascii="Google Sans" w:cs="Google Sans" w:eastAsia="Google Sans" w:hAnsi="Google Sans"/>
            <w:color w:val="0000ee"/>
            <w:sz w:val="24"/>
            <w:szCs w:val="24"/>
            <w:u w:val="single"/>
            <w:rtl w:val="0"/>
          </w:rPr>
          <w:t xml:space="preserve">https://ieeexplore.ieee.org/iel8/6287639/10380310/10788675.pdf</w:t>
        </w:r>
      </w:hyperlink>
      <w:r w:rsidDel="00000000" w:rsidR="00000000" w:rsidRPr="00000000">
        <w:rPr>
          <w:rtl w:val="0"/>
        </w:rPr>
      </w:r>
    </w:p>
    <w:p w:rsidR="00000000" w:rsidDel="00000000" w:rsidP="00000000" w:rsidRDefault="00000000" w:rsidRPr="00000000" w14:paraId="000000E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Apostolos Kokolis's research works | Meta and other places - ResearchGate, accessed April 2, 2026, </w:t>
      </w:r>
      <w:hyperlink r:id="rId80">
        <w:r w:rsidDel="00000000" w:rsidR="00000000" w:rsidRPr="00000000">
          <w:rPr>
            <w:rFonts w:ascii="Google Sans" w:cs="Google Sans" w:eastAsia="Google Sans" w:hAnsi="Google Sans"/>
            <w:color w:val="0000ee"/>
            <w:sz w:val="24"/>
            <w:szCs w:val="24"/>
            <w:u w:val="single"/>
            <w:rtl w:val="0"/>
          </w:rPr>
          <w:t xml:space="preserve">https://www.researchgate.net/scientific-contributions/Apostolos-Kokolis-2155332310</w:t>
        </w:r>
      </w:hyperlink>
      <w:r w:rsidDel="00000000" w:rsidR="00000000" w:rsidRPr="00000000">
        <w:rPr>
          <w:rtl w:val="0"/>
        </w:rPr>
      </w:r>
    </w:p>
    <w:p w:rsidR="00000000" w:rsidDel="00000000" w:rsidP="00000000" w:rsidRDefault="00000000" w:rsidRPr="00000000" w14:paraId="000000E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Predicting GPU Failures With High Precision Under Deep Learning Workloads - Cheng Tan, accessed April 2, 2026, </w:t>
      </w:r>
      <w:hyperlink r:id="rId81">
        <w:r w:rsidDel="00000000" w:rsidR="00000000" w:rsidRPr="00000000">
          <w:rPr>
            <w:rFonts w:ascii="Google Sans" w:cs="Google Sans" w:eastAsia="Google Sans" w:hAnsi="Google Sans"/>
            <w:color w:val="0000ee"/>
            <w:sz w:val="24"/>
            <w:szCs w:val="24"/>
            <w:u w:val="single"/>
            <w:rtl w:val="0"/>
          </w:rPr>
          <w:t xml:space="preserve">https://naizhengtan.github.io/doc/papers/liu23predicting.pdf</w:t>
        </w:r>
      </w:hyperlink>
      <w:r w:rsidDel="00000000" w:rsidR="00000000" w:rsidRPr="00000000">
        <w:rPr>
          <w:rtl w:val="0"/>
        </w:rPr>
      </w:r>
    </w:p>
    <w:p w:rsidR="00000000" w:rsidDel="00000000" w:rsidP="00000000" w:rsidRDefault="00000000" w:rsidRPr="00000000" w14:paraId="000000E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Nvidia DCGM Exporter - Datadog Docs, accessed April 2, 2026, </w:t>
      </w:r>
      <w:hyperlink r:id="rId82">
        <w:r w:rsidDel="00000000" w:rsidR="00000000" w:rsidRPr="00000000">
          <w:rPr>
            <w:rFonts w:ascii="Google Sans" w:cs="Google Sans" w:eastAsia="Google Sans" w:hAnsi="Google Sans"/>
            <w:color w:val="0000ee"/>
            <w:sz w:val="24"/>
            <w:szCs w:val="24"/>
            <w:u w:val="single"/>
            <w:rtl w:val="0"/>
          </w:rPr>
          <w:t xml:space="preserve">https://docs.datadoghq.com/integrations/dcgm/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html/2511.09837v2" TargetMode="External"/><Relationship Id="rId42" Type="http://schemas.openxmlformats.org/officeDocument/2006/relationships/hyperlink" Target="https://www.geeksforgeeks.org/machine-learning/what-is-markov-decision-process-mdp-and-its-relevance-to-reinforcement-learning/" TargetMode="External"/><Relationship Id="rId41" Type="http://schemas.openxmlformats.org/officeDocument/2006/relationships/hyperlink" Target="https://arxiv.org/pdf/2410.21680" TargetMode="External"/><Relationship Id="rId44" Type="http://schemas.openxmlformats.org/officeDocument/2006/relationships/hyperlink" Target="https://pmc.ncbi.nlm.nih.gov/articles/PMC7304047/" TargetMode="External"/><Relationship Id="rId43" Type="http://schemas.openxmlformats.org/officeDocument/2006/relationships/hyperlink" Target="https://arxiv.org/html/2507.10259v2" TargetMode="External"/><Relationship Id="rId46" Type="http://schemas.openxmlformats.org/officeDocument/2006/relationships/hyperlink" Target="https://sarcouncil.com/download-article/SJECS-97-2025-298-306.pdf" TargetMode="External"/><Relationship Id="rId45" Type="http://schemas.openxmlformats.org/officeDocument/2006/relationships/hyperlink" Target="https://ics.uci.edu/~habibif/cross-timeslot.pdf" TargetMode="External"/><Relationship Id="rId80" Type="http://schemas.openxmlformats.org/officeDocument/2006/relationships/hyperlink" Target="https://www.researchgate.net/scientific-contributions/Apostolos-Kokolis-2155332310" TargetMode="External"/><Relationship Id="rId82" Type="http://schemas.openxmlformats.org/officeDocument/2006/relationships/hyperlink" Target="https://docs.datadoghq.com/integrations/dcgm/" TargetMode="External"/><Relationship Id="rId81" Type="http://schemas.openxmlformats.org/officeDocument/2006/relationships/hyperlink" Target="https://naizhengtan.github.io/doc/papers/liu23predicting.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48" Type="http://schemas.openxmlformats.org/officeDocument/2006/relationships/hyperlink" Target="https://en.eeworld.com.cn/mp/QbitAI/a382499.jspx" TargetMode="External"/><Relationship Id="rId47" Type="http://schemas.openxmlformats.org/officeDocument/2006/relationships/hyperlink" Target="https://nebius.com/blog/posts/how-we-build-reliable-clusters" TargetMode="External"/><Relationship Id="rId49" Type="http://schemas.openxmlformats.org/officeDocument/2006/relationships/hyperlink" Target="https://cdn.prod.website-files.com/62bc66d283fd9c34ffec780a/689fa33a0e99f19c11c8ecbe_CoreWeave%20Training%20Benchmarks%20Whitepaper%20August%202025.pdf" TargetMode="External"/><Relationship Id="rId5" Type="http://schemas.openxmlformats.org/officeDocument/2006/relationships/styles" Target="styles.xml"/><Relationship Id="rId6" Type="http://schemas.openxmlformats.org/officeDocument/2006/relationships/image" Target="media/image26.png"/><Relationship Id="rId7" Type="http://schemas.openxmlformats.org/officeDocument/2006/relationships/image" Target="media/image31.png"/><Relationship Id="rId8" Type="http://schemas.openxmlformats.org/officeDocument/2006/relationships/image" Target="media/image11.png"/><Relationship Id="rId73" Type="http://schemas.openxmlformats.org/officeDocument/2006/relationships/hyperlink" Target="https://docs.nvidia.com/deploy/pdf/XID_Errors.pdf" TargetMode="External"/><Relationship Id="rId72" Type="http://schemas.openxmlformats.org/officeDocument/2006/relationships/hyperlink" Target="https://docs.nvidia.com/datacenter/dcgm/latest/release-notes/changelog.html" TargetMode="External"/><Relationship Id="rId31" Type="http://schemas.openxmlformats.org/officeDocument/2006/relationships/image" Target="media/image30.png"/><Relationship Id="rId75" Type="http://schemas.openxmlformats.org/officeDocument/2006/relationships/hyperlink" Target="https://www.preprints.org/manuscript/202505.0152/download/final_file" TargetMode="External"/><Relationship Id="rId30" Type="http://schemas.openxmlformats.org/officeDocument/2006/relationships/image" Target="media/image15.png"/><Relationship Id="rId74" Type="http://schemas.openxmlformats.org/officeDocument/2006/relationships/hyperlink" Target="https://docs.nvidia.com/deploy/xid-errors/working-with-xid-errors.html" TargetMode="External"/><Relationship Id="rId33" Type="http://schemas.openxmlformats.org/officeDocument/2006/relationships/image" Target="media/image7.png"/><Relationship Id="rId77" Type="http://schemas.openxmlformats.org/officeDocument/2006/relationships/hyperlink" Target="https://arxiv.org/pdf/2507.10259" TargetMode="External"/><Relationship Id="rId32" Type="http://schemas.openxmlformats.org/officeDocument/2006/relationships/image" Target="media/image1.png"/><Relationship Id="rId76" Type="http://schemas.openxmlformats.org/officeDocument/2006/relationships/hyperlink" Target="https://arxiv.org/html/2501.01007v1" TargetMode="External"/><Relationship Id="rId35" Type="http://schemas.openxmlformats.org/officeDocument/2006/relationships/image" Target="media/image4.png"/><Relationship Id="rId79" Type="http://schemas.openxmlformats.org/officeDocument/2006/relationships/hyperlink" Target="https://ieeexplore.ieee.org/iel8/6287639/10380310/10788675.pdf" TargetMode="External"/><Relationship Id="rId34" Type="http://schemas.openxmlformats.org/officeDocument/2006/relationships/image" Target="media/image5.png"/><Relationship Id="rId78" Type="http://schemas.openxmlformats.org/officeDocument/2006/relationships/hyperlink" Target="https://www.agifors.org/resources/Documents/Anna%20Valicek%20Papers/2024/04-Iordanis%20Tseremoglou%20-%20Paper%20-%20Condition-Based%20Maintenance%20scheduling%20of%20an%20aircraft%20fleet.pdf" TargetMode="External"/><Relationship Id="rId71" Type="http://schemas.openxmlformats.org/officeDocument/2006/relationships/hyperlink" Target="https://www.metricfire.com/blog/why-gpu-monitoring-matters-tracking-utilization-power-and-errors-with-dcgm/" TargetMode="External"/><Relationship Id="rId70" Type="http://schemas.openxmlformats.org/officeDocument/2006/relationships/hyperlink" Target="https://docs.cloud.google.com/kubernetes-engine/docs/how-to/dcgm-metrics" TargetMode="External"/><Relationship Id="rId37" Type="http://schemas.openxmlformats.org/officeDocument/2006/relationships/image" Target="media/image24.png"/><Relationship Id="rId36" Type="http://schemas.openxmlformats.org/officeDocument/2006/relationships/image" Target="media/image6.png"/><Relationship Id="rId39" Type="http://schemas.openxmlformats.org/officeDocument/2006/relationships/hyperlink" Target="https://www.tomshardware.com/tech-industry/artificial-intelligence/faulty-nvidia-h100-gpus-and-hbm3-memory-caused-half-of-the-failures-during-llama-3-training-one-failure-every-three-hours-for-metas-16384-gpu-training-cluster" TargetMode="External"/><Relationship Id="rId38" Type="http://schemas.openxmlformats.org/officeDocument/2006/relationships/hyperlink" Target="https://www.moomoo.com/community/feed/meta-reports-that-half-of-the-failures-during-llama-3-112873025896854" TargetMode="External"/><Relationship Id="rId62" Type="http://schemas.openxmlformats.org/officeDocument/2006/relationships/hyperlink" Target="https://www.researchgate.net/publication/282377434_Understanding_GPU_errors_on_large-scale_HPC_systems_and_the_implications_for_system_design_and_operation" TargetMode="External"/><Relationship Id="rId61" Type="http://schemas.openxmlformats.org/officeDocument/2006/relationships/hyperlink" Target="https://openreview.net/pdf/d9c6c3a5ef2b457a99d3851f69c626f9896663ed.pdf" TargetMode="External"/><Relationship Id="rId20" Type="http://schemas.openxmlformats.org/officeDocument/2006/relationships/image" Target="media/image22.png"/><Relationship Id="rId64" Type="http://schemas.openxmlformats.org/officeDocument/2006/relationships/hyperlink" Target="https://arxiv.org/html/2402.06194v2" TargetMode="External"/><Relationship Id="rId63" Type="http://schemas.openxmlformats.org/officeDocument/2006/relationships/hyperlink" Target="https://spinroot.com/spin/symposia/ws09/Bosnacki.pdf" TargetMode="External"/><Relationship Id="rId22" Type="http://schemas.openxmlformats.org/officeDocument/2006/relationships/image" Target="media/image19.png"/><Relationship Id="rId66" Type="http://schemas.openxmlformats.org/officeDocument/2006/relationships/hyperlink" Target="https://www.researchgate.net/publication/299641571_A_large-scale_study_of_soft-errors_on_GPUs_in_the_field" TargetMode="External"/><Relationship Id="rId21" Type="http://schemas.openxmlformats.org/officeDocument/2006/relationships/image" Target="media/image25.png"/><Relationship Id="rId65" Type="http://schemas.openxmlformats.org/officeDocument/2006/relationships/hyperlink" Target="https://www.usenix.org/system/files/atc24-xiong.pdf" TargetMode="External"/><Relationship Id="rId24" Type="http://schemas.openxmlformats.org/officeDocument/2006/relationships/image" Target="media/image28.png"/><Relationship Id="rId68" Type="http://schemas.openxmlformats.org/officeDocument/2006/relationships/hyperlink" Target="https://developer.nvidia.com/dcgm" TargetMode="External"/><Relationship Id="rId23" Type="http://schemas.openxmlformats.org/officeDocument/2006/relationships/image" Target="media/image23.png"/><Relationship Id="rId67" Type="http://schemas.openxmlformats.org/officeDocument/2006/relationships/hyperlink" Target="https://www.eduhk.hk/eac-isba2024/BOA_0622.pdf" TargetMode="External"/><Relationship Id="rId60" Type="http://schemas.openxmlformats.org/officeDocument/2006/relationships/hyperlink" Target="https://www.larksuite.com/en_us/topics/ai-glossary/markov-chain" TargetMode="External"/><Relationship Id="rId26" Type="http://schemas.openxmlformats.org/officeDocument/2006/relationships/image" Target="media/image18.png"/><Relationship Id="rId25" Type="http://schemas.openxmlformats.org/officeDocument/2006/relationships/image" Target="media/image32.png"/><Relationship Id="rId69" Type="http://schemas.openxmlformats.org/officeDocument/2006/relationships/hyperlink" Target="https://introl.com/blog/gpu-cluster-monitoring-real-time-analytics-predictive-maintenance" TargetMode="External"/><Relationship Id="rId28" Type="http://schemas.openxmlformats.org/officeDocument/2006/relationships/image" Target="media/image2.png"/><Relationship Id="rId27" Type="http://schemas.openxmlformats.org/officeDocument/2006/relationships/image" Target="media/image3.png"/><Relationship Id="rId29" Type="http://schemas.openxmlformats.org/officeDocument/2006/relationships/image" Target="media/image12.png"/><Relationship Id="rId51" Type="http://schemas.openxmlformats.org/officeDocument/2006/relationships/hyperlink" Target="https://www.coreweave.com/blog/nvidia-h100-gpu-benchmark-results-what-we-learned-from-large-scale-gpu-testing" TargetMode="External"/><Relationship Id="rId50" Type="http://schemas.openxmlformats.org/officeDocument/2006/relationships/hyperlink" Target="https://arxiv.org/html/2407.04656v2" TargetMode="External"/><Relationship Id="rId53" Type="http://schemas.openxmlformats.org/officeDocument/2006/relationships/hyperlink" Target="https://modal.com/docs/guide/gpu-health" TargetMode="External"/><Relationship Id="rId52" Type="http://schemas.openxmlformats.org/officeDocument/2006/relationships/hyperlink" Target="https://docs.byteplus.com/en/docs/mlp/How_to_handle_common_Xid_events" TargetMode="External"/><Relationship Id="rId11" Type="http://schemas.openxmlformats.org/officeDocument/2006/relationships/image" Target="media/image17.png"/><Relationship Id="rId55" Type="http://schemas.openxmlformats.org/officeDocument/2006/relationships/hyperlink" Target="https://www.researchgate.net/publication/363336255_Performance_analysis_for_a_degrading_system_with_Markov_model" TargetMode="External"/><Relationship Id="rId10" Type="http://schemas.openxmlformats.org/officeDocument/2006/relationships/image" Target="media/image14.png"/><Relationship Id="rId54" Type="http://schemas.openxmlformats.org/officeDocument/2006/relationships/hyperlink" Target="https://arxiv.org/html/2410.21680v1" TargetMode="External"/><Relationship Id="rId13" Type="http://schemas.openxmlformats.org/officeDocument/2006/relationships/image" Target="media/image13.png"/><Relationship Id="rId57" Type="http://schemas.openxmlformats.org/officeDocument/2006/relationships/hyperlink" Target="https://www.mdpi.com/2071-1050/17/8/3606" TargetMode="External"/><Relationship Id="rId12" Type="http://schemas.openxmlformats.org/officeDocument/2006/relationships/image" Target="media/image8.png"/><Relationship Id="rId56" Type="http://schemas.openxmlformats.org/officeDocument/2006/relationships/hyperlink" Target="https://arxiv.org/html/2408.14158v1" TargetMode="External"/><Relationship Id="rId15" Type="http://schemas.openxmlformats.org/officeDocument/2006/relationships/image" Target="media/image27.png"/><Relationship Id="rId59" Type="http://schemas.openxmlformats.org/officeDocument/2006/relationships/hyperlink" Target="https://www.marktechpost.com/2022/09/02/understanding-data-movement-and-processing-platform-at-netflix/" TargetMode="External"/><Relationship Id="rId14" Type="http://schemas.openxmlformats.org/officeDocument/2006/relationships/image" Target="media/image10.png"/><Relationship Id="rId58" Type="http://schemas.openxmlformats.org/officeDocument/2006/relationships/hyperlink" Target="https://pmc.ncbi.nlm.nih.gov/articles/PMC12647810/" TargetMode="External"/><Relationship Id="rId17" Type="http://schemas.openxmlformats.org/officeDocument/2006/relationships/image" Target="media/image21.png"/><Relationship Id="rId16" Type="http://schemas.openxmlformats.org/officeDocument/2006/relationships/image" Target="media/image20.png"/><Relationship Id="rId19" Type="http://schemas.openxmlformats.org/officeDocument/2006/relationships/image" Target="media/image16.png"/><Relationship Id="rId18" Type="http://schemas.openxmlformats.org/officeDocument/2006/relationships/image" Target="media/image29.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