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</w:pPr>
      <w:r>
        <w:rPr>
          <w:rFonts w:ascii="Calibri" w:cs="Calibri" w:eastAsia="Calibri" w:hAnsi="Calibri"/>
          <w:b/>
          <w:bCs/>
          <w:color w:val="5A5A5A"/>
          <w:sz w:val="16"/>
          <w:szCs w:val="16"/>
        </w:rPr>
        <w:t xml:space="preserve">NNA WEEKLY BRIEF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color w:val="0B2A4A"/>
          <w:sz w:val="32"/>
          <w:szCs w:val="32"/>
        </w:rPr>
        <w:t xml:space="preserve">3Q26 Wealth Flow Review: record quarter, normal underlying growth</w:t>
      </w:r>
    </w:p>
    <w:p>
      <w:pPr>
        <w:spacing w:after="160" w:before="0" w:line="264"/>
      </w:pPr>
      <w:r>
        <w:rPr>
          <w:rFonts w:ascii="Calibri" w:cs="Calibri" w:eastAsia="Calibri" w:hAnsi="Calibri"/>
          <w:color w:val="5A5A5A"/>
          <w:sz w:val="16"/>
          <w:szCs w:val="16"/>
        </w:rPr>
        <w:t xml:space="preserve">Prepared by Aaradhya Acharya  ·  October 15, 2026  ·  Data through 3Q26 (LPL through 2Q26)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single" w:color="0B2A4A" w:sz="24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0B2A4A"/>
                <w:sz w:val="20"/>
                <w:szCs w:val="20"/>
              </w:rPr>
              <w:t xml:space="preserve">Bottom line.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Morgan Stanley Wealth Management posted a record $232B of net new assets (NNA) in 3Q26, but about half was IPO-related. The underlying run-rate is ~$114B, or ~5.7% annualized organic growth, at the midpoint of the firm's 5–7% target.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0B2A4A"/>
                <w:sz w:val="20"/>
                <w:szCs w:val="20"/>
              </w:rPr>
              <w:t xml:space="preserve">Recommendation.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Report NNA as underlying + attributed events in the senior-management pack, so repeatable growth is not confused with one-offs. 4Q26 base case: ~$140B (80% band $126B–$190B), before any new events.</w:t>
            </w:r>
          </w:p>
        </w:tc>
      </w:tr>
    </w:tbl>
    <w:p>
      <w:pPr>
        <w:keepNext/>
        <w:pBdr>
          <w:bottom w:val="single" w:color="C9CED6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B2A4A"/>
          <w:sz w:val="18"/>
          <w:szCs w:val="18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The record is real, but episodic.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Excluding ~$118B of estimated IPO-related flows, 3Q26 NNA was still up ~41% on 3Q25 ($81B).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MS leads peers on a like-for-like basis in 2026.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Ex-event organic growth averaged ~6.6% annualized vs ~5.1% for Schwab and ~3.7% for LPL; in 3Q26 alone MS (5.7%) and Schwab (~5.8–6.1%) were level.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Two strong quarters lack a public explanation.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4Q25 ($122B) and 2Q26 ($148B) sit &gt;2 standard deviations above trend with no event disclosed; confirm drivers before treating them as run-rate.</w:t>
      </w:r>
    </w:p>
    <w:p>
      <w:pPr>
        <w:keepNext/>
        <w:pBdr>
          <w:bottom w:val="single" w:color="C9CED6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B2A4A"/>
          <w:sz w:val="18"/>
          <w:szCs w:val="18"/>
        </w:rPr>
        <w:t xml:space="preserve">KEY FIGURES, LATEST QUARTER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250"/>
        <w:gridCol w:w="1050"/>
        <w:gridCol w:w="1100"/>
        <w:gridCol w:w="1250"/>
        <w:gridCol w:w="2350"/>
        <w:gridCol w:w="1450"/>
      </w:tblGrid>
      <w:tr>
        <w:trPr>
          <w:tblHeader/>
        </w:trPr>
        <w:tc>
          <w:tcPr>
            <w:tcW w:type="dxa" w:w="23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0B2A4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Firm (NNA definition)</w:t>
            </w:r>
          </w:p>
        </w:tc>
        <w:tc>
          <w:tcPr>
            <w:tcW w:type="dxa" w:w="12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0B2A4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Latest quarter</w:t>
            </w:r>
          </w:p>
        </w:tc>
        <w:tc>
          <w:tcPr>
            <w:tcW w:type="dxa" w:w="10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0B2A4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NNA ($B)</w:t>
            </w:r>
          </w:p>
        </w:tc>
        <w:tc>
          <w:tcPr>
            <w:tcW w:type="dxa" w:w="11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0B2A4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vs year ago</w:t>
            </w:r>
          </w:p>
        </w:tc>
        <w:tc>
          <w:tcPr>
            <w:tcW w:type="dxa" w:w="12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0B2A4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Ex-events ($B)</w:t>
            </w:r>
          </w:p>
        </w:tc>
        <w:tc>
          <w:tcPr>
            <w:tcW w:type="dxa" w:w="23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0B2A4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Organic growth, annualized</w:t>
            </w:r>
          </w:p>
        </w:tc>
        <w:tc>
          <w:tcPr>
            <w:tcW w:type="dxa" w:w="14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0B2A4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2026 YTD ($B)</w:t>
            </w:r>
          </w:p>
        </w:tc>
      </w:tr>
      <w:tr>
        <w:tc>
          <w:tcPr>
            <w:tcW w:type="dxa" w:w="23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Morgan Stanley WM (net new assets)</w:t>
            </w:r>
          </w:p>
        </w:tc>
        <w:tc>
          <w:tcPr>
            <w:tcW w:type="dxa" w:w="12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3Q26</w:t>
            </w:r>
          </w:p>
        </w:tc>
        <w:tc>
          <w:tcPr>
            <w:tcW w:type="dxa" w:w="10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232.4</w:t>
            </w:r>
          </w:p>
        </w:tc>
        <w:tc>
          <w:tcPr>
            <w:tcW w:type="dxa" w:w="11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+187%</w:t>
            </w:r>
          </w:p>
        </w:tc>
        <w:tc>
          <w:tcPr>
            <w:tcW w:type="dxa" w:w="12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~114</w:t>
            </w:r>
          </w:p>
        </w:tc>
        <w:tc>
          <w:tcPr>
            <w:tcW w:type="dxa" w:w="23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11.5% headline; ~5.7% ex-IPO</w:t>
            </w:r>
          </w:p>
        </w:tc>
        <w:tc>
          <w:tcPr>
            <w:tcW w:type="dxa" w:w="14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498.9</w:t>
            </w:r>
          </w:p>
        </w:tc>
      </w:tr>
      <w:tr>
        <w:tc>
          <w:tcPr>
            <w:tcW w:type="dxa" w:w="23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Schwab (core NNA)</w:t>
            </w:r>
          </w:p>
        </w:tc>
        <w:tc>
          <w:tcPr>
            <w:tcW w:type="dxa" w:w="12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3Q26</w:t>
            </w:r>
          </w:p>
        </w:tc>
        <w:tc>
          <w:tcPr>
            <w:tcW w:type="dxa" w:w="10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190.4</w:t>
            </w:r>
          </w:p>
        </w:tc>
        <w:tc>
          <w:tcPr>
            <w:tcW w:type="dxa" w:w="11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+38%</w:t>
            </w:r>
          </w:p>
        </w:tc>
        <w:tc>
          <w:tcPr>
            <w:tcW w:type="dxa" w:w="12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190.4</w:t>
            </w:r>
          </w:p>
        </w:tc>
        <w:tc>
          <w:tcPr>
            <w:tcW w:type="dxa" w:w="23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5.8% (reported)</w:t>
            </w:r>
          </w:p>
        </w:tc>
        <w:tc>
          <w:tcPr>
            <w:tcW w:type="dxa" w:w="14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450.2</w:t>
            </w:r>
          </w:p>
        </w:tc>
      </w:tr>
      <w:tr>
        <w:tc>
          <w:tcPr>
            <w:tcW w:type="dxa" w:w="23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LPL Financial (organic NNA)</w:t>
            </w:r>
          </w:p>
        </w:tc>
        <w:tc>
          <w:tcPr>
            <w:tcW w:type="dxa" w:w="12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2Q26*</w:t>
            </w:r>
          </w:p>
        </w:tc>
        <w:tc>
          <w:tcPr>
            <w:tcW w:type="dxa" w:w="10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23.1</w:t>
            </w:r>
          </w:p>
        </w:tc>
        <w:tc>
          <w:tcPr>
            <w:tcW w:type="dxa" w:w="11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+13%</w:t>
            </w:r>
          </w:p>
        </w:tc>
        <w:tc>
          <w:tcPr>
            <w:tcW w:type="dxa" w:w="12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23.1</w:t>
            </w:r>
          </w:p>
        </w:tc>
        <w:tc>
          <w:tcPr>
            <w:tcW w:type="dxa" w:w="23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4.0% (reported)</w:t>
            </w:r>
          </w:p>
        </w:tc>
        <w:tc>
          <w:tcPr>
            <w:tcW w:type="dxa" w:w="145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44.5 (1H)</w:t>
            </w:r>
          </w:p>
        </w:tc>
      </w:tr>
    </w:tbl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*LPL reports 3Q26 on Oct 30. Firms define NNA differently, so growth rates compare better than dollars. MS ex-IPO estimated from release wording ("just over half"); MS growth uses beginning client assets interpolated between disclosed anchors.</w:t>
      </w:r>
    </w:p>
    <w:p>
      <w:pPr>
        <w:spacing w:after="40" w:before="60"/>
        <w:jc w:val="center"/>
      </w:pPr>
      <w:r>
        <w:drawing>
          <wp:inline distT="0" distB="0" distL="0" distR="0">
            <wp:extent cx="6096000" cy="2628900"/>
            <wp:effectExtent t="0" r="0" b="0" l="0"/>
            <wp:docPr id="1" name="ms_quarterly_nna.png" descr="ms_quarterly_nna.png" title="ms_quarterly_n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Gray = flows the firm attributed to a specific event (1Q24 family office; 3Q26 IPO-related). Dashed bar = 4Q26 base case with 80% band.</w:t>
      </w:r>
    </w:p>
    <w:p>
      <w:pPr>
        <w:keepNext/>
        <w:pBdr>
          <w:bottom w:val="single" w:color="C9CED6" w:sz="6" w:space="2"/>
        </w:pBdr>
        <w:spacing w:after="70" w:before="120"/>
      </w:pPr>
      <w:r>
        <w:rPr>
          <w:rFonts w:ascii="Calibri" w:cs="Calibri" w:eastAsia="Calibri" w:hAnsi="Calibri"/>
          <w:b/>
          <w:bCs/>
          <w:color w:val="0B2A4A"/>
          <w:sz w:val="18"/>
          <w:szCs w:val="18"/>
        </w:rPr>
        <w:t xml:space="preserve">PEER COMPARISON</w:t>
      </w:r>
    </w:p>
    <w:p>
      <w:pPr>
        <w:spacing w:after="40" w:before="60"/>
        <w:jc w:val="center"/>
      </w:pPr>
      <w:r>
        <w:drawing>
          <wp:inline distT="0" distB="0" distL="0" distR="0">
            <wp:extent cx="6096000" cy="2628900"/>
            <wp:effectExtent t="0" r="0" b="0" l="0"/>
            <wp:docPr id="1" name="organic_growth_peers.png" descr="organic_growth_peers.png" title="organic_growth_pe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Annualized NNA ÷ beginning-period client assets, after removing attributed one-offs. Schwab's 3Q26 computes at 6.1% vs its reported 5.8% because its beginning asset base is interpolated.</w:t>
      </w:r>
    </w:p>
    <w:p>
      <w:pPr>
        <w:keepNext/>
        <w:pBdr>
          <w:bottom w:val="single" w:color="C9CED6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B2A4A"/>
          <w:sz w:val="18"/>
          <w:szCs w:val="18"/>
        </w:rPr>
        <w:t xml:space="preserve">WHAT TO WATCH IN 4Q26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IPO lock-ups and fund distributions: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management flagged further asset-retention opportunities; the main upside to the base case.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Workplace-to-advisor funnel: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~$99B moved from Workplace and E*TRADE into advisor-led accounts in 2025; equity-compensation events convert directly into NNA.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No seasonal uplift assumed: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4Q was the strongest quarter in 2025 ($122B) but weaker than 3Q in 2024 ($57B vs $64B).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Competitor pressure: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Schwab core NNA hit a record $190B (+38%); it remains the largest gatherer in dollars once MS one-offs are removed.</w:t>
      </w:r>
    </w:p>
    <w:p>
      <w:pPr>
        <w:keepNext/>
        <w:pBdr>
          <w:bottom w:val="single" w:color="C9CED6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B2A4A"/>
          <w:sz w:val="18"/>
          <w:szCs w:val="18"/>
        </w:rPr>
        <w:t xml:space="preserve">FORECAST AND DATA QUALITY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forecast_backtest.png" descr="forecast_backtest.png" title="forecast_back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Method: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trailing-four-quarter mean of ex-event growth, chosen over last-quarter and seasonal methods in an 8-quarter rolling backtest (mean absolute error 1.22pp vs 1.55pp and 1.36pp). It has run ~0.9pp low as growth accelerated, so the band leans upward.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Validation: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76 automated checks, 61 pass. Quarters tie exactly to full-year totals (MS 2023–25, Schwab 2025); computed growth matches firms' own disclosed rates within 0.1pp.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Caught: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 third-party data site lists LPL 2Q26 organic NNA as $23.6B vs $23.1B in LPL's release; the filing is used.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Open questions: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drivers of MS 4Q25 and 2Q26; retention of 3Q26 IPO assets through lock-up expiry.</w:t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color w:val="5A5A5A"/>
          <w:sz w:val="16"/>
          <w:szCs w:val="16"/>
        </w:rPr>
        <w:t xml:space="preserve">Sources: </w:t>
      </w:r>
      <w:hyperlink w:history="1" r:id="rIdmym-scdmwhorod0k_vuod">
        <w:r>
          <w:rPr>
            <w:rFonts w:ascii="Calibri" w:cs="Calibri" w:eastAsia="Calibri" w:hAnsi="Calibri"/>
            <w:color w:val="1F5FAD"/>
            <w:sz w:val="16"/>
            <w:szCs w:val="16"/>
            <w:u w:val="single"/>
          </w:rPr>
          <w:t xml:space="preserve">MS 3Q26 release</w:t>
        </w:r>
      </w:hyperlink>
      <w:r>
        <w:rPr>
          <w:rFonts w:ascii="Calibri" w:cs="Calibri" w:eastAsia="Calibri" w:hAnsi="Calibri"/>
          <w:color w:val="5A5A5A"/>
          <w:sz w:val="16"/>
          <w:szCs w:val="16"/>
        </w:rPr>
        <w:t xml:space="preserve"> · </w:t>
      </w:r>
      <w:hyperlink w:history="1" r:id="rIdnsb5q6zb_8xadrz1roz9p">
        <w:r>
          <w:rPr>
            <w:rFonts w:ascii="Calibri" w:cs="Calibri" w:eastAsia="Calibri" w:hAnsi="Calibri"/>
            <w:color w:val="1F5FAD"/>
            <w:sz w:val="16"/>
            <w:szCs w:val="16"/>
            <w:u w:val="single"/>
          </w:rPr>
          <w:t xml:space="preserve">MS 2025 10-K</w:t>
        </w:r>
      </w:hyperlink>
      <w:r>
        <w:rPr>
          <w:rFonts w:ascii="Calibri" w:cs="Calibri" w:eastAsia="Calibri" w:hAnsi="Calibri"/>
          <w:color w:val="5A5A5A"/>
          <w:sz w:val="16"/>
          <w:szCs w:val="16"/>
        </w:rPr>
        <w:t xml:space="preserve"> · </w:t>
      </w:r>
      <w:hyperlink w:history="1" r:id="rIdabbhy0t-tavqfg9zczrc5">
        <w:r>
          <w:rPr>
            <w:rFonts w:ascii="Calibri" w:cs="Calibri" w:eastAsia="Calibri" w:hAnsi="Calibri"/>
            <w:color w:val="1F5FAD"/>
            <w:sz w:val="16"/>
            <w:szCs w:val="16"/>
            <w:u w:val="single"/>
          </w:rPr>
          <w:t xml:space="preserve">MS 3Q26 call</w:t>
        </w:r>
      </w:hyperlink>
      <w:r>
        <w:rPr>
          <w:rFonts w:ascii="Calibri" w:cs="Calibri" w:eastAsia="Calibri" w:hAnsi="Calibri"/>
          <w:color w:val="5A5A5A"/>
          <w:sz w:val="16"/>
          <w:szCs w:val="16"/>
        </w:rPr>
        <w:t xml:space="preserve"> · </w:t>
      </w:r>
      <w:hyperlink w:history="1" r:id="rIdx7cxtaeau93wf-3fiopl3">
        <w:r>
          <w:rPr>
            <w:rFonts w:ascii="Calibri" w:cs="Calibri" w:eastAsia="Calibri" w:hAnsi="Calibri"/>
            <w:color w:val="1F5FAD"/>
            <w:sz w:val="16"/>
            <w:szCs w:val="16"/>
            <w:u w:val="single"/>
          </w:rPr>
          <w:t xml:space="preserve">Schwab 3Q26 release</w:t>
        </w:r>
      </w:hyperlink>
      <w:r>
        <w:rPr>
          <w:rFonts w:ascii="Calibri" w:cs="Calibri" w:eastAsia="Calibri" w:hAnsi="Calibri"/>
          <w:color w:val="5A5A5A"/>
          <w:sz w:val="16"/>
          <w:szCs w:val="16"/>
        </w:rPr>
        <w:t xml:space="preserve"> · </w:t>
      </w:r>
      <w:hyperlink w:history="1" r:id="rIdfvvfgjwxysl0yavmt2gzb">
        <w:r>
          <w:rPr>
            <w:rFonts w:ascii="Calibri" w:cs="Calibri" w:eastAsia="Calibri" w:hAnsi="Calibri"/>
            <w:color w:val="1F5FAD"/>
            <w:sz w:val="16"/>
            <w:szCs w:val="16"/>
            <w:u w:val="single"/>
          </w:rPr>
          <w:t xml:space="preserve">Schwab 2025 10-K</w:t>
        </w:r>
      </w:hyperlink>
      <w:r>
        <w:rPr>
          <w:rFonts w:ascii="Calibri" w:cs="Calibri" w:eastAsia="Calibri" w:hAnsi="Calibri"/>
          <w:color w:val="5A5A5A"/>
          <w:sz w:val="16"/>
          <w:szCs w:val="16"/>
        </w:rPr>
        <w:t xml:space="preserve"> · </w:t>
      </w:r>
      <w:hyperlink w:history="1" r:id="rId3f6-e_twoqf4vsl0upool">
        <w:r>
          <w:rPr>
            <w:rFonts w:ascii="Calibri" w:cs="Calibri" w:eastAsia="Calibri" w:hAnsi="Calibri"/>
            <w:color w:val="1F5FAD"/>
            <w:sz w:val="16"/>
            <w:szCs w:val="16"/>
            <w:u w:val="single"/>
          </w:rPr>
          <w:t xml:space="preserve">LPL 2Q26 results</w:t>
        </w:r>
      </w:hyperlink>
      <w:r>
        <w:rPr>
          <w:rFonts w:ascii="Calibri" w:cs="Calibri" w:eastAsia="Calibri" w:hAnsi="Calibri"/>
          <w:color w:val="5A5A5A"/>
          <w:sz w:val="16"/>
          <w:szCs w:val="16"/>
        </w:rPr>
        <w:t xml:space="preserve"> · </w:t>
      </w:r>
      <w:hyperlink w:history="1" r:id="rIdmfage_oekbvu9g-bftyqk">
        <w:r>
          <w:rPr>
            <w:rFonts w:ascii="Calibri" w:cs="Calibri" w:eastAsia="Calibri" w:hAnsi="Calibri"/>
            <w:color w:val="1F5FAD"/>
            <w:sz w:val="16"/>
            <w:szCs w:val="16"/>
            <w:u w:val="single"/>
          </w:rPr>
          <w:t xml:space="preserve">Code &amp; data</w:t>
        </w:r>
      </w:hyperlink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5A5A"/>
        <w:sz w:val="14"/>
        <w:szCs w:val="14"/>
      </w:rPr>
      <w:t xml:space="preserve">Portfolio project using public filings only; not Morgan Stanley internal data.   Page </w:t>
    </w:r>
    <w:r>
      <w:rPr>
        <w:rFonts w:ascii="Calibri" w:cs="Calibri" w:eastAsia="Calibri" w:hAnsi="Calibri"/>
        <w:color w:val="5A5A5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ym-scdmwhorod0k_vuod" Type="http://schemas.openxmlformats.org/officeDocument/2006/relationships/hyperlink" Target="https://www.sec.gov/Archives/edgar/data/0000895421/000089542126000288/a3q26msearningsrelease.htm" TargetMode="External"/><Relationship Id="rIdnsb5q6zb_8xadrz1roz9p" Type="http://schemas.openxmlformats.org/officeDocument/2006/relationships/hyperlink" Target="https://www.sec.gov/Archives/edgar/data/895421/000089542126000086/ms-20251231.htm" TargetMode="External"/><Relationship Id="rIdabbhy0t-tavqfg9zczrc5" Type="http://schemas.openxmlformats.org/officeDocument/2006/relationships/hyperlink" Target="https://www.fool.com/earnings/call-transcripts/2026/10/14/morgan-stanley-ms-q3-2026-earnings-call-transcript/" TargetMode="External"/><Relationship Id="rIdx7cxtaeau93wf-3fiopl3" Type="http://schemas.openxmlformats.org/officeDocument/2006/relationships/hyperlink" Target="https://content.schwab.com/web/retail/public/about-schwab/schwab_q3_2026_earnings_release.pdf" TargetMode="External"/><Relationship Id="rIdfvvfgjwxysl0yavmt2gzb" Type="http://schemas.openxmlformats.org/officeDocument/2006/relationships/hyperlink" Target="https://www.sec.gov/Archives/edgar/data/316709/000031670926000009/schw-20251231.htm" TargetMode="External"/><Relationship Id="rId3f6-e_twoqf4vsl0upool" Type="http://schemas.openxmlformats.org/officeDocument/2006/relationships/hyperlink" Target="https://investor.lpl.com/news-releases/news-release-details/lpl-financial-announces-second-quarter-2026-results" TargetMode="External"/><Relationship Id="rIdmfage_oekbvu9g-bftyqk" Type="http://schemas.openxmlformats.org/officeDocument/2006/relationships/hyperlink" Target="https://github.com/aaradhyaach/wealth-nna-flow-tracker" TargetMode="External"/><Relationship Id="rId8" Type="http://schemas.openxmlformats.org/officeDocument/2006/relationships/image" Target="media/5099d2cdee14fe06ea6bac33c013f7d62260515b.png"/><Relationship Id="rId9" Type="http://schemas.openxmlformats.org/officeDocument/2006/relationships/image" Target="media/f12e9725d2b74e1edce1d3bf970c01572d56220c.png"/><Relationship Id="rId10" Type="http://schemas.openxmlformats.org/officeDocument/2006/relationships/image" Target="media/4740cbb3acb3afd8c50890229618c4093e7cad9d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NNA Weekly Brief — 3Q26 Flow Review</dc:title>
  <dc:creator>Aaradhya Acharya</dc:creator>
  <cp:lastModifiedBy>Un-named</cp:lastModifiedBy>
  <cp:revision>1</cp:revision>
  <dcterms:created xsi:type="dcterms:W3CDTF">2026-10-15T19:55:14.824Z</dcterms:created>
  <dcterms:modified xsi:type="dcterms:W3CDTF">2026-10-15T19:55:14.825Z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