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64"/>
      </w:pPr>
      <w:r>
        <w:rPr>
          <w:rFonts w:ascii="Calibri" w:cs="Calibri" w:eastAsia="Calibri" w:hAnsi="Calibri"/>
          <w:b/>
          <w:bCs/>
          <w:color w:val="5A5A5A"/>
          <w:sz w:val="16"/>
          <w:szCs w:val="16"/>
        </w:rPr>
        <w:t xml:space="preserve">NNA WEEKLY BRIEF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color w:val="0B2A4A"/>
          <w:sz w:val="32"/>
          <w:szCs w:val="32"/>
        </w:rPr>
        <w:t xml:space="preserve">3Q26 Wealth Flow Review: record quarter, normal underlying growth</w:t>
      </w:r>
    </w:p>
    <w:p>
      <w:pPr>
        <w:spacing w:after="160" w:before="0" w:line="264"/>
      </w:pPr>
      <w:r>
        <w:rPr>
          <w:rFonts w:ascii="Calibri" w:cs="Calibri" w:eastAsia="Calibri" w:hAnsi="Calibri"/>
          <w:color w:val="5A5A5A"/>
          <w:sz w:val="16"/>
          <w:szCs w:val="16"/>
        </w:rPr>
        <w:t xml:space="preserve">Prepared by Aaradhya Acharya  ·  October 15, 2026  ·  Data through 3Q26 (LPL through 2Q26)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tcBorders>
              <w:top w:val="none" w:color="FFFFFF" w:sz="0"/>
              <w:left w:val="single" w:color="0B2A4A" w:sz="24"/>
              <w:bottom w:val="none" w:color="FFFFFF" w:sz="0"/>
              <w:right w:val="none" w:color="FFFFFF" w:sz="0"/>
            </w:tcBorders>
            <w:shd w:fill="EEF2F7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 w:line="264"/>
            </w:pPr>
            <w:r>
              <w:rPr>
                <w:rFonts w:ascii="Calibri" w:cs="Calibri" w:eastAsia="Calibri" w:hAnsi="Calibri"/>
                <w:b/>
                <w:bCs/>
                <w:color w:val="0B2A4A"/>
                <w:sz w:val="20"/>
                <w:szCs w:val="20"/>
              </w:rPr>
              <w:t xml:space="preserve">Bottom line. 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Morgan Stanley Wealth Management posted a record $232B of net new assets (NNA) in 3Q26, but about half was IPO-related. The underlying run-rate is ~$114B, or ~5.7% annualized organic growth, at the midpoint of the firm's 5–7% target.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0B2A4A"/>
                <w:sz w:val="20"/>
                <w:szCs w:val="20"/>
              </w:rPr>
              <w:t xml:space="preserve">Recommendation. 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Report NNA as underlying + attributed events in the senior-management pack, so repeatable growth is not confused with one-offs. 4Q26 base case: ~$140B (80% band $126B–$190B), before any new events.</w:t>
            </w:r>
          </w:p>
        </w:tc>
      </w:tr>
    </w:tbl>
    <w:p>
      <w:pPr>
        <w:keepNext/>
        <w:pBdr>
          <w:bottom w:val="single" w:color="C9CED6" w:sz="6" w:space="2"/>
        </w:pBdr>
        <w:spacing w:after="70" w:before="160"/>
      </w:pPr>
      <w:r>
        <w:rPr>
          <w:rFonts w:ascii="Calibri" w:cs="Calibri" w:eastAsia="Calibri" w:hAnsi="Calibri"/>
          <w:b/>
          <w:bCs/>
          <w:color w:val="0B2A4A"/>
          <w:sz w:val="18"/>
          <w:szCs w:val="18"/>
        </w:rPr>
        <w:t xml:space="preserve">KEY FINDINGS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The record is real, but episodic. 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Excluding ~$118B of estimated IPO-related flows, 3Q26 NNA was still up ~41% on 3Q25 ($81B).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MS leads peers on a like-for-like basis in 2026. 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Ex-event organic growth averaged ~6.6% annualized vs ~5.1% for Schwab and ~3.7% for LPL; in 3Q26 alone MS (5.7%) and Schwab (~5.8–6.1%) were level.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Two strong quarters lack a public explanation. 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4Q25 ($122B) and 2Q26 ($148B) sit &gt;2 standard deviations above trend with no event disclosed; confirm drivers before treating them as run-rate.</w:t>
      </w:r>
    </w:p>
    <w:p>
      <w:pPr>
        <w:keepNext/>
        <w:pBdr>
          <w:bottom w:val="single" w:color="C9CED6" w:sz="6" w:space="2"/>
        </w:pBdr>
        <w:spacing w:after="70" w:before="160"/>
      </w:pPr>
      <w:r>
        <w:rPr>
          <w:rFonts w:ascii="Calibri" w:cs="Calibri" w:eastAsia="Calibri" w:hAnsi="Calibri"/>
          <w:b/>
          <w:bCs/>
          <w:color w:val="0B2A4A"/>
          <w:sz w:val="18"/>
          <w:szCs w:val="18"/>
        </w:rPr>
        <w:t xml:space="preserve">KEY FIGURES, LATEST QUARTER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1250"/>
        <w:gridCol w:w="1050"/>
        <w:gridCol w:w="1100"/>
        <w:gridCol w:w="1250"/>
        <w:gridCol w:w="2350"/>
        <w:gridCol w:w="1450"/>
      </w:tblGrid>
      <w:tr>
        <w:trPr>
          <w:tblHeader/>
        </w:trPr>
        <w:tc>
          <w:tcPr>
            <w:tcW w:type="dxa" w:w="2350"/>
            <w:tcBorders>
              <w:top w:val="single" w:color="C9CED6" w:sz="4"/>
              <w:left w:val="none" w:color="FFFFFF" w:sz="0"/>
              <w:bottom w:val="single" w:color="C9CED6" w:sz="4"/>
              <w:right w:val="none" w:color="FFFFFF" w:sz="0"/>
            </w:tcBorders>
            <w:shd w:fill="0B2A4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Firm (NNA definition)</w:t>
            </w:r>
          </w:p>
        </w:tc>
        <w:tc>
          <w:tcPr>
            <w:tcW w:type="dxa" w:w="1250"/>
            <w:tcBorders>
              <w:top w:val="single" w:color="C9CED6" w:sz="4"/>
              <w:left w:val="none" w:color="FFFFFF" w:sz="0"/>
              <w:bottom w:val="single" w:color="C9CED6" w:sz="4"/>
              <w:right w:val="none" w:color="FFFFFF" w:sz="0"/>
            </w:tcBorders>
            <w:shd w:fill="0B2A4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Latest quarter</w:t>
            </w:r>
          </w:p>
        </w:tc>
        <w:tc>
          <w:tcPr>
            <w:tcW w:type="dxa" w:w="1050"/>
            <w:tcBorders>
              <w:top w:val="single" w:color="C9CED6" w:sz="4"/>
              <w:left w:val="none" w:color="FFFFFF" w:sz="0"/>
              <w:bottom w:val="single" w:color="C9CED6" w:sz="4"/>
              <w:right w:val="none" w:color="FFFFFF" w:sz="0"/>
            </w:tcBorders>
            <w:shd w:fill="0B2A4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NNA ($B)</w:t>
            </w:r>
          </w:p>
        </w:tc>
        <w:tc>
          <w:tcPr>
            <w:tcW w:type="dxa" w:w="1100"/>
            <w:tcBorders>
              <w:top w:val="single" w:color="C9CED6" w:sz="4"/>
              <w:left w:val="none" w:color="FFFFFF" w:sz="0"/>
              <w:bottom w:val="single" w:color="C9CED6" w:sz="4"/>
              <w:right w:val="none" w:color="FFFFFF" w:sz="0"/>
            </w:tcBorders>
            <w:shd w:fill="0B2A4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vs year ago</w:t>
            </w:r>
          </w:p>
        </w:tc>
        <w:tc>
          <w:tcPr>
            <w:tcW w:type="dxa" w:w="1250"/>
            <w:tcBorders>
              <w:top w:val="single" w:color="C9CED6" w:sz="4"/>
              <w:left w:val="none" w:color="FFFFFF" w:sz="0"/>
              <w:bottom w:val="single" w:color="C9CED6" w:sz="4"/>
              <w:right w:val="none" w:color="FFFFFF" w:sz="0"/>
            </w:tcBorders>
            <w:shd w:fill="0B2A4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Ex-events ($B)</w:t>
            </w:r>
          </w:p>
        </w:tc>
        <w:tc>
          <w:tcPr>
            <w:tcW w:type="dxa" w:w="2350"/>
            <w:tcBorders>
              <w:top w:val="single" w:color="C9CED6" w:sz="4"/>
              <w:left w:val="none" w:color="FFFFFF" w:sz="0"/>
              <w:bottom w:val="single" w:color="C9CED6" w:sz="4"/>
              <w:right w:val="none" w:color="FFFFFF" w:sz="0"/>
            </w:tcBorders>
            <w:shd w:fill="0B2A4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Organic growth, annualized</w:t>
            </w:r>
          </w:p>
        </w:tc>
        <w:tc>
          <w:tcPr>
            <w:tcW w:type="dxa" w:w="1450"/>
            <w:tcBorders>
              <w:top w:val="single" w:color="C9CED6" w:sz="4"/>
              <w:left w:val="none" w:color="FFFFFF" w:sz="0"/>
              <w:bottom w:val="single" w:color="C9CED6" w:sz="4"/>
              <w:right w:val="none" w:color="FFFFFF" w:sz="0"/>
            </w:tcBorders>
            <w:shd w:fill="0B2A4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2026 YTD ($B)</w:t>
            </w:r>
          </w:p>
        </w:tc>
      </w:tr>
      <w:tr>
        <w:tc>
          <w:tcPr>
            <w:tcW w:type="dxa" w:w="2350"/>
            <w:tcBorders>
              <w:top w:val="single" w:color="C9CED6" w:sz="4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Morgan Stanley WM (net new assets)</w:t>
            </w:r>
          </w:p>
        </w:tc>
        <w:tc>
          <w:tcPr>
            <w:tcW w:type="dxa" w:w="1250"/>
            <w:tcBorders>
              <w:top w:val="single" w:color="C9CED6" w:sz="4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3Q26</w:t>
            </w:r>
          </w:p>
        </w:tc>
        <w:tc>
          <w:tcPr>
            <w:tcW w:type="dxa" w:w="1050"/>
            <w:tcBorders>
              <w:top w:val="single" w:color="C9CED6" w:sz="4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232.4</w:t>
            </w:r>
          </w:p>
        </w:tc>
        <w:tc>
          <w:tcPr>
            <w:tcW w:type="dxa" w:w="1100"/>
            <w:tcBorders>
              <w:top w:val="single" w:color="C9CED6" w:sz="4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+187%</w:t>
            </w:r>
          </w:p>
        </w:tc>
        <w:tc>
          <w:tcPr>
            <w:tcW w:type="dxa" w:w="1250"/>
            <w:tcBorders>
              <w:top w:val="single" w:color="C9CED6" w:sz="4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~114</w:t>
            </w:r>
          </w:p>
        </w:tc>
        <w:tc>
          <w:tcPr>
            <w:tcW w:type="dxa" w:w="2350"/>
            <w:tcBorders>
              <w:top w:val="single" w:color="C9CED6" w:sz="4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11.5% headline; ~5.7% ex-IPO</w:t>
            </w:r>
          </w:p>
        </w:tc>
        <w:tc>
          <w:tcPr>
            <w:tcW w:type="dxa" w:w="1450"/>
            <w:tcBorders>
              <w:top w:val="single" w:color="C9CED6" w:sz="4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498.9</w:t>
            </w:r>
          </w:p>
        </w:tc>
      </w:tr>
      <w:tr>
        <w:tc>
          <w:tcPr>
            <w:tcW w:type="dxa" w:w="2350"/>
            <w:tcBorders>
              <w:top w:val="single" w:color="C9CED6" w:sz="4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Schwab (core NNA)</w:t>
            </w:r>
          </w:p>
        </w:tc>
        <w:tc>
          <w:tcPr>
            <w:tcW w:type="dxa" w:w="1250"/>
            <w:tcBorders>
              <w:top w:val="single" w:color="C9CED6" w:sz="4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3Q26</w:t>
            </w:r>
          </w:p>
        </w:tc>
        <w:tc>
          <w:tcPr>
            <w:tcW w:type="dxa" w:w="1050"/>
            <w:tcBorders>
              <w:top w:val="single" w:color="C9CED6" w:sz="4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190.4</w:t>
            </w:r>
          </w:p>
        </w:tc>
        <w:tc>
          <w:tcPr>
            <w:tcW w:type="dxa" w:w="1100"/>
            <w:tcBorders>
              <w:top w:val="single" w:color="C9CED6" w:sz="4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+38%</w:t>
            </w:r>
          </w:p>
        </w:tc>
        <w:tc>
          <w:tcPr>
            <w:tcW w:type="dxa" w:w="1250"/>
            <w:tcBorders>
              <w:top w:val="single" w:color="C9CED6" w:sz="4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190.4</w:t>
            </w:r>
          </w:p>
        </w:tc>
        <w:tc>
          <w:tcPr>
            <w:tcW w:type="dxa" w:w="2350"/>
            <w:tcBorders>
              <w:top w:val="single" w:color="C9CED6" w:sz="4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5.8% (reported)</w:t>
            </w:r>
          </w:p>
        </w:tc>
        <w:tc>
          <w:tcPr>
            <w:tcW w:type="dxa" w:w="1450"/>
            <w:tcBorders>
              <w:top w:val="single" w:color="C9CED6" w:sz="4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450.2</w:t>
            </w:r>
          </w:p>
        </w:tc>
      </w:tr>
      <w:tr>
        <w:tc>
          <w:tcPr>
            <w:tcW w:type="dxa" w:w="2350"/>
            <w:tcBorders>
              <w:top w:val="single" w:color="C9CED6" w:sz="4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LPL Financial (organic NNA)</w:t>
            </w:r>
          </w:p>
        </w:tc>
        <w:tc>
          <w:tcPr>
            <w:tcW w:type="dxa" w:w="1250"/>
            <w:tcBorders>
              <w:top w:val="single" w:color="C9CED6" w:sz="4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2Q26*</w:t>
            </w:r>
          </w:p>
        </w:tc>
        <w:tc>
          <w:tcPr>
            <w:tcW w:type="dxa" w:w="1050"/>
            <w:tcBorders>
              <w:top w:val="single" w:color="C9CED6" w:sz="4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23.1</w:t>
            </w:r>
          </w:p>
        </w:tc>
        <w:tc>
          <w:tcPr>
            <w:tcW w:type="dxa" w:w="1100"/>
            <w:tcBorders>
              <w:top w:val="single" w:color="C9CED6" w:sz="4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+13%</w:t>
            </w:r>
          </w:p>
        </w:tc>
        <w:tc>
          <w:tcPr>
            <w:tcW w:type="dxa" w:w="1250"/>
            <w:tcBorders>
              <w:top w:val="single" w:color="C9CED6" w:sz="4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23.1</w:t>
            </w:r>
          </w:p>
        </w:tc>
        <w:tc>
          <w:tcPr>
            <w:tcW w:type="dxa" w:w="2350"/>
            <w:tcBorders>
              <w:top w:val="single" w:color="C9CED6" w:sz="4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4.0% (reported)</w:t>
            </w:r>
          </w:p>
        </w:tc>
        <w:tc>
          <w:tcPr>
            <w:tcW w:type="dxa" w:w="1450"/>
            <w:tcBorders>
              <w:top w:val="single" w:color="C9CED6" w:sz="4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44.5 (1H)</w:t>
            </w:r>
          </w:p>
        </w:tc>
      </w:tr>
    </w:tbl>
    <w:p>
      <w:pPr>
        <w:spacing w:after="100" w:before="0" w:line="264"/>
      </w:pPr>
      <w:r>
        <w:rPr>
          <w:rFonts w:ascii="Calibri" w:cs="Calibri" w:eastAsia="Calibri" w:hAnsi="Calibri"/>
          <w:i/>
          <w:iCs/>
          <w:color w:val="5A5A5A"/>
          <w:sz w:val="15"/>
          <w:szCs w:val="15"/>
        </w:rPr>
        <w:t xml:space="preserve">*LPL reports 3Q26 on Oct 30. Firms define NNA differently, so growth rates compare better than dollars. MS ex-IPO estimated from release wording ("just over half"); MS growth uses beginning client assets interpolated between disclosed anchors.</w:t>
      </w:r>
    </w:p>
    <w:p>
      <w:pPr>
        <w:spacing w:after="40" w:before="60"/>
        <w:jc w:val="center"/>
      </w:pPr>
      <w:r>
        <w:drawing>
          <wp:inline distT="0" distB="0" distL="0" distR="0">
            <wp:extent cx="6096000" cy="2628900"/>
            <wp:effectExtent t="0" r="0" b="0" l="0"/>
            <wp:docPr id="1" name="ms_quarterly_nna.png" descr="ms_quarterly_nna.png" title="ms_quarterly_nn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 w:line="264"/>
      </w:pPr>
      <w:r>
        <w:rPr>
          <w:rFonts w:ascii="Calibri" w:cs="Calibri" w:eastAsia="Calibri" w:hAnsi="Calibri"/>
          <w:i/>
          <w:iCs/>
          <w:color w:val="5A5A5A"/>
          <w:sz w:val="15"/>
          <w:szCs w:val="15"/>
        </w:rPr>
        <w:t xml:space="preserve">Gray = flows the firm attributed to a specific event (1Q24 family office; 3Q26 IPO-related). Dashed bar = 4Q26 base case with 80% band.</w:t>
      </w:r>
    </w:p>
    <w:p>
      <w:pPr>
        <w:keepNext/>
        <w:pBdr>
          <w:bottom w:val="single" w:color="C9CED6" w:sz="6" w:space="2"/>
        </w:pBdr>
        <w:spacing w:after="70" w:before="120"/>
      </w:pPr>
      <w:r>
        <w:rPr>
          <w:rFonts w:ascii="Calibri" w:cs="Calibri" w:eastAsia="Calibri" w:hAnsi="Calibri"/>
          <w:b/>
          <w:bCs/>
          <w:color w:val="0B2A4A"/>
          <w:sz w:val="18"/>
          <w:szCs w:val="18"/>
        </w:rPr>
        <w:t xml:space="preserve">PEER COMPARISON</w:t>
      </w:r>
    </w:p>
    <w:p>
      <w:pPr>
        <w:spacing w:after="40" w:before="60"/>
        <w:jc w:val="center"/>
      </w:pPr>
      <w:r>
        <w:drawing>
          <wp:inline distT="0" distB="0" distL="0" distR="0">
            <wp:extent cx="6096000" cy="2628900"/>
            <wp:effectExtent t="0" r="0" b="0" l="0"/>
            <wp:docPr id="1" name="organic_growth_peers.png" descr="organic_growth_peers.png" title="organic_growth_peer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 w:line="264"/>
      </w:pPr>
      <w:r>
        <w:rPr>
          <w:rFonts w:ascii="Calibri" w:cs="Calibri" w:eastAsia="Calibri" w:hAnsi="Calibri"/>
          <w:i/>
          <w:iCs/>
          <w:color w:val="5A5A5A"/>
          <w:sz w:val="15"/>
          <w:szCs w:val="15"/>
        </w:rPr>
        <w:t xml:space="preserve">Annualized NNA ÷ beginning-period client assets, after removing attributed one-offs. Schwab's 3Q26 computes at 6.1% vs its reported 5.8% because its beginning asset base is interpolated.</w:t>
      </w:r>
    </w:p>
    <w:p>
      <w:pPr>
        <w:keepNext/>
        <w:pBdr>
          <w:bottom w:val="single" w:color="C9CED6" w:sz="6" w:space="2"/>
        </w:pBdr>
        <w:spacing w:after="70" w:before="160"/>
      </w:pPr>
      <w:r>
        <w:rPr>
          <w:rFonts w:ascii="Calibri" w:cs="Calibri" w:eastAsia="Calibri" w:hAnsi="Calibri"/>
          <w:b/>
          <w:bCs/>
          <w:color w:val="0B2A4A"/>
          <w:sz w:val="18"/>
          <w:szCs w:val="18"/>
        </w:rPr>
        <w:t xml:space="preserve">WHAT TO WATCH IN 4Q26</w:t>
      </w:r>
    </w:p>
    <w:p>
      <w:pPr>
        <w:pStyle w:val="ListParagraph"/>
        <w:numPr>
          <w:ilvl w:val="0"/>
          <w:numId w:val="3"/>
        </w:numPr>
        <w:spacing w:after="50" w:line="252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IPO lock-ups and fund distributions: 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management flagged further asset-retention opportunities; the main upside to the base case.</w:t>
      </w:r>
    </w:p>
    <w:p>
      <w:pPr>
        <w:pStyle w:val="ListParagraph"/>
        <w:numPr>
          <w:ilvl w:val="0"/>
          <w:numId w:val="3"/>
        </w:numPr>
        <w:spacing w:after="50" w:line="252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Workplace-to-advisor funnel: 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~$99B moved from Workplace and E*TRADE into advisor-led accounts in 2025; equity-compensation events convert directly into NNA.</w:t>
      </w:r>
    </w:p>
    <w:p>
      <w:pPr>
        <w:pStyle w:val="ListParagraph"/>
        <w:numPr>
          <w:ilvl w:val="0"/>
          <w:numId w:val="3"/>
        </w:numPr>
        <w:spacing w:after="50" w:line="252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No seasonal uplift assumed: 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4Q was the strongest quarter in 2025 ($122B) but weaker than 3Q in 2024 ($57B vs $64B).</w:t>
      </w:r>
    </w:p>
    <w:p>
      <w:pPr>
        <w:pStyle w:val="ListParagraph"/>
        <w:numPr>
          <w:ilvl w:val="0"/>
          <w:numId w:val="3"/>
        </w:numPr>
        <w:spacing w:after="50" w:line="252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Competitor pressure: 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Schwab core NNA hit a record $190B (+38%); it remains the largest gatherer in dollars once MS one-offs are removed.</w:t>
      </w:r>
    </w:p>
    <w:p>
      <w:pPr>
        <w:keepNext/>
        <w:pBdr>
          <w:bottom w:val="single" w:color="C9CED6" w:sz="6" w:space="2"/>
        </w:pBdr>
        <w:spacing w:after="70" w:before="160"/>
      </w:pPr>
      <w:r>
        <w:rPr>
          <w:rFonts w:ascii="Calibri" w:cs="Calibri" w:eastAsia="Calibri" w:hAnsi="Calibri"/>
          <w:b/>
          <w:bCs/>
          <w:color w:val="0B2A4A"/>
          <w:sz w:val="18"/>
          <w:szCs w:val="18"/>
        </w:rPr>
        <w:t xml:space="preserve">FORECAST AND DATA QUALITY</w:t>
      </w:r>
    </w:p>
    <w:p>
      <w:pPr>
        <w:spacing w:after="40" w:before="60"/>
        <w:jc w:val="center"/>
      </w:pPr>
      <w:r>
        <w:drawing>
          <wp:inline distT="0" distB="0" distL="0" distR="0">
            <wp:extent cx="5715000" cy="2219325"/>
            <wp:effectExtent t="0" r="0" b="0" l="0"/>
            <wp:docPr id="1" name="forecast_backtest.png" descr="forecast_backtest.png" title="forecast_backtes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50" w:line="252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Method: 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trailing-four-quarter mean of ex-event growth, chosen over last-quarter and seasonal methods in an 8-quarter rolling backtest (mean absolute error 1.22pp vs 1.55pp and 1.36pp). It has run ~0.9pp low as growth accelerated, so the band leans upward.</w:t>
      </w:r>
    </w:p>
    <w:p>
      <w:pPr>
        <w:pStyle w:val="ListParagraph"/>
        <w:numPr>
          <w:ilvl w:val="0"/>
          <w:numId w:val="3"/>
        </w:numPr>
        <w:spacing w:after="50" w:line="252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Validation: 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76 automated checks, 61 pass. Quarters tie exactly to full-year totals (MS 2023–25, Schwab 2025); computed growth matches firms' own disclosed rates within 0.1pp.</w:t>
      </w:r>
    </w:p>
    <w:p>
      <w:pPr>
        <w:pStyle w:val="ListParagraph"/>
        <w:numPr>
          <w:ilvl w:val="0"/>
          <w:numId w:val="3"/>
        </w:numPr>
        <w:spacing w:after="50" w:line="252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Caught: 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a third-party data site lists LPL 2Q26 organic NNA as $23.6B vs $23.1B in LPL's release; the filing is used.</w:t>
      </w:r>
    </w:p>
    <w:p>
      <w:pPr>
        <w:pStyle w:val="ListParagraph"/>
        <w:numPr>
          <w:ilvl w:val="0"/>
          <w:numId w:val="3"/>
        </w:numPr>
        <w:spacing w:after="50" w:line="252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Open questions: 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drivers of MS 4Q25 and 2Q26; retention of 3Q26 IPO assets through lock-up expiry.</w:t>
      </w:r>
    </w:p>
    <w:p>
      <w:pPr>
        <w:spacing w:after="80" w:before="120" w:line="264"/>
      </w:pPr>
      <w:r>
        <w:rPr>
          <w:rFonts w:ascii="Calibri" w:cs="Calibri" w:eastAsia="Calibri" w:hAnsi="Calibri"/>
          <w:b/>
          <w:bCs/>
          <w:color w:val="5A5A5A"/>
          <w:sz w:val="16"/>
          <w:szCs w:val="16"/>
        </w:rPr>
        <w:t xml:space="preserve">Sources: </w:t>
      </w:r>
      <w:hyperlink w:history="1" r:id="rIda8yb4ta9l0axocssqhzoe">
        <w:r>
          <w:rPr>
            <w:rFonts w:ascii="Calibri" w:cs="Calibri" w:eastAsia="Calibri" w:hAnsi="Calibri"/>
            <w:color w:val="1F5FAD"/>
            <w:sz w:val="16"/>
            <w:szCs w:val="16"/>
            <w:u w:val="single"/>
          </w:rPr>
          <w:t xml:space="preserve">MS 3Q26 release</w:t>
        </w:r>
      </w:hyperlink>
      <w:r>
        <w:rPr>
          <w:rFonts w:ascii="Calibri" w:cs="Calibri" w:eastAsia="Calibri" w:hAnsi="Calibri"/>
          <w:color w:val="5A5A5A"/>
          <w:sz w:val="16"/>
          <w:szCs w:val="16"/>
        </w:rPr>
        <w:t xml:space="preserve"> · </w:t>
      </w:r>
      <w:hyperlink w:history="1" r:id="rIdo09erialk0s4fvmosms_r">
        <w:r>
          <w:rPr>
            <w:rFonts w:ascii="Calibri" w:cs="Calibri" w:eastAsia="Calibri" w:hAnsi="Calibri"/>
            <w:color w:val="1F5FAD"/>
            <w:sz w:val="16"/>
            <w:szCs w:val="16"/>
            <w:u w:val="single"/>
          </w:rPr>
          <w:t xml:space="preserve">MS 2025 10-K</w:t>
        </w:r>
      </w:hyperlink>
      <w:r>
        <w:rPr>
          <w:rFonts w:ascii="Calibri" w:cs="Calibri" w:eastAsia="Calibri" w:hAnsi="Calibri"/>
          <w:color w:val="5A5A5A"/>
          <w:sz w:val="16"/>
          <w:szCs w:val="16"/>
        </w:rPr>
        <w:t xml:space="preserve"> · </w:t>
      </w:r>
      <w:hyperlink w:history="1" r:id="rId8dpmobm7z-ysbnxaiuen_">
        <w:r>
          <w:rPr>
            <w:rFonts w:ascii="Calibri" w:cs="Calibri" w:eastAsia="Calibri" w:hAnsi="Calibri"/>
            <w:color w:val="1F5FAD"/>
            <w:sz w:val="16"/>
            <w:szCs w:val="16"/>
            <w:u w:val="single"/>
          </w:rPr>
          <w:t xml:space="preserve">MS 3Q26 call</w:t>
        </w:r>
      </w:hyperlink>
      <w:r>
        <w:rPr>
          <w:rFonts w:ascii="Calibri" w:cs="Calibri" w:eastAsia="Calibri" w:hAnsi="Calibri"/>
          <w:color w:val="5A5A5A"/>
          <w:sz w:val="16"/>
          <w:szCs w:val="16"/>
        </w:rPr>
        <w:t xml:space="preserve"> · </w:t>
      </w:r>
      <w:hyperlink w:history="1" r:id="rIdkydtzrwsuccf8idmibqad">
        <w:r>
          <w:rPr>
            <w:rFonts w:ascii="Calibri" w:cs="Calibri" w:eastAsia="Calibri" w:hAnsi="Calibri"/>
            <w:color w:val="1F5FAD"/>
            <w:sz w:val="16"/>
            <w:szCs w:val="16"/>
            <w:u w:val="single"/>
          </w:rPr>
          <w:t xml:space="preserve">Schwab 3Q26 release</w:t>
        </w:r>
      </w:hyperlink>
      <w:r>
        <w:rPr>
          <w:rFonts w:ascii="Calibri" w:cs="Calibri" w:eastAsia="Calibri" w:hAnsi="Calibri"/>
          <w:color w:val="5A5A5A"/>
          <w:sz w:val="16"/>
          <w:szCs w:val="16"/>
        </w:rPr>
        <w:t xml:space="preserve"> · </w:t>
      </w:r>
      <w:hyperlink w:history="1" r:id="rIdghi0kgdqyd7rqj0y6iwj-">
        <w:r>
          <w:rPr>
            <w:rFonts w:ascii="Calibri" w:cs="Calibri" w:eastAsia="Calibri" w:hAnsi="Calibri"/>
            <w:color w:val="1F5FAD"/>
            <w:sz w:val="16"/>
            <w:szCs w:val="16"/>
            <w:u w:val="single"/>
          </w:rPr>
          <w:t xml:space="preserve">Schwab 2025 10-K</w:t>
        </w:r>
      </w:hyperlink>
      <w:r>
        <w:rPr>
          <w:rFonts w:ascii="Calibri" w:cs="Calibri" w:eastAsia="Calibri" w:hAnsi="Calibri"/>
          <w:color w:val="5A5A5A"/>
          <w:sz w:val="16"/>
          <w:szCs w:val="16"/>
        </w:rPr>
        <w:t xml:space="preserve"> · </w:t>
      </w:r>
      <w:hyperlink w:history="1" r:id="rIduldphchzodgfi_zlpzkei">
        <w:r>
          <w:rPr>
            <w:rFonts w:ascii="Calibri" w:cs="Calibri" w:eastAsia="Calibri" w:hAnsi="Calibri"/>
            <w:color w:val="1F5FAD"/>
            <w:sz w:val="16"/>
            <w:szCs w:val="16"/>
            <w:u w:val="single"/>
          </w:rPr>
          <w:t xml:space="preserve">LPL 2Q26 results</w:t>
        </w:r>
      </w:hyperlink>
      <w:r>
        <w:rPr>
          <w:rFonts w:ascii="Calibri" w:cs="Calibri" w:eastAsia="Calibri" w:hAnsi="Calibri"/>
          <w:color w:val="5A5A5A"/>
          <w:sz w:val="16"/>
          <w:szCs w:val="16"/>
        </w:rPr>
        <w:t xml:space="preserve"> · </w:t>
      </w:r>
      <w:hyperlink w:history="1" r:id="rIdbwu6ead6gjz9nsepe3bgd">
        <w:r>
          <w:rPr>
            <w:rFonts w:ascii="Calibri" w:cs="Calibri" w:eastAsia="Calibri" w:hAnsi="Calibri"/>
            <w:color w:val="1F5FAD"/>
            <w:sz w:val="16"/>
            <w:szCs w:val="16"/>
            <w:u w:val="single"/>
          </w:rPr>
          <w:t xml:space="preserve">Code &amp; data</w:t>
        </w:r>
      </w:hyperlink>
      <w:r>
        <w:rPr>
          <w:rFonts w:ascii="Calibri" w:cs="Calibri" w:eastAsia="Calibri" w:hAnsi="Calibri"/>
          <w:color w:val="5A5A5A"/>
          <w:sz w:val="16"/>
          <w:szCs w:val="16"/>
        </w:rPr>
        <w:t xml:space="preserve"> · </w:t>
      </w:r>
      <w:hyperlink w:history="1" r:id="rIdnrugcjihymvvt77ikvved">
        <w:r>
          <w:rPr>
            <w:rFonts w:ascii="Calibri" w:cs="Calibri" w:eastAsia="Calibri" w:hAnsi="Calibri"/>
            <w:color w:val="1F5FAD"/>
            <w:sz w:val="16"/>
            <w:szCs w:val="16"/>
            <w:u w:val="single"/>
          </w:rPr>
          <w:t xml:space="preserve">Interactive dashboard</w:t>
        </w:r>
      </w:hyperlink>
    </w:p>
    <w:sectPr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A5A5A"/>
        <w:sz w:val="14"/>
        <w:szCs w:val="14"/>
      </w:rPr>
      <w:t xml:space="preserve">Portfolio project using public filings only; not Morgan Stanley internal data.   Page </w:t>
    </w:r>
    <w:r>
      <w:rPr>
        <w:rFonts w:ascii="Calibri" w:cs="Calibri" w:eastAsia="Calibri" w:hAnsi="Calibri"/>
        <w:color w:val="5A5A5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a8yb4ta9l0axocssqhzoe" Type="http://schemas.openxmlformats.org/officeDocument/2006/relationships/hyperlink" Target="https://www.sec.gov/Archives/edgar/data/0000895421/000089542126000288/a3q26msearningsrelease.htm" TargetMode="External"/><Relationship Id="rIdo09erialk0s4fvmosms_r" Type="http://schemas.openxmlformats.org/officeDocument/2006/relationships/hyperlink" Target="https://www.sec.gov/Archives/edgar/data/895421/000089542126000086/ms-20251231.htm" TargetMode="External"/><Relationship Id="rId8dpmobm7z-ysbnxaiuen_" Type="http://schemas.openxmlformats.org/officeDocument/2006/relationships/hyperlink" Target="https://www.fool.com/earnings/call-transcripts/2026/10/14/morgan-stanley-ms-q3-2026-earnings-call-transcript/" TargetMode="External"/><Relationship Id="rIdkydtzrwsuccf8idmibqad" Type="http://schemas.openxmlformats.org/officeDocument/2006/relationships/hyperlink" Target="https://content.schwab.com/web/retail/public/about-schwab/schwab_q3_2026_earnings_release.pdf" TargetMode="External"/><Relationship Id="rIdghi0kgdqyd7rqj0y6iwj-" Type="http://schemas.openxmlformats.org/officeDocument/2006/relationships/hyperlink" Target="https://www.sec.gov/Archives/edgar/data/316709/000031670926000009/schw-20251231.htm" TargetMode="External"/><Relationship Id="rIduldphchzodgfi_zlpzkei" Type="http://schemas.openxmlformats.org/officeDocument/2006/relationships/hyperlink" Target="https://investor.lpl.com/news-releases/news-release-details/lpl-financial-announces-second-quarter-2026-results" TargetMode="External"/><Relationship Id="rIdbwu6ead6gjz9nsepe3bgd" Type="http://schemas.openxmlformats.org/officeDocument/2006/relationships/hyperlink" Target="https://github.com/aaradhyaach/wealth-nna-flow-tracker" TargetMode="External"/><Relationship Id="rIdnrugcjihymvvt77ikvved" Type="http://schemas.openxmlformats.org/officeDocument/2006/relationships/hyperlink" Target="https://public.tableau.com/app/profile/aaradhya.acharya/viz/WealthNNAFlowTracker/WealthNNAFlowTracker" TargetMode="External"/><Relationship Id="rId8" Type="http://schemas.openxmlformats.org/officeDocument/2006/relationships/image" Target="media/5099d2cdee14fe06ea6bac33c013f7d62260515b.png"/><Relationship Id="rId9" Type="http://schemas.openxmlformats.org/officeDocument/2006/relationships/image" Target="media/f12e9725d2b74e1edce1d3bf970c01572d56220c.png"/><Relationship Id="rId10" Type="http://schemas.openxmlformats.org/officeDocument/2006/relationships/image" Target="media/4740cbb3acb3afd8c50890229618c4093e7cad9d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NNA Weekly Brief — 3Q26 Flow Review</dc:title>
  <dc:creator>Aaradhya Acharya</dc:creator>
  <cp:lastModifiedBy>Un-named</cp:lastModifiedBy>
  <cp:revision>1</cp:revision>
  <dcterms:created xsi:type="dcterms:W3CDTF">2026-10-15T23:19:41.225Z</dcterms:created>
  <dcterms:modified xsi:type="dcterms:W3CDTF">2026-10-15T23:19:41.225Z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