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505B2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Phylogenetic and Structural Analysis of PPE18 (Rv1196) across </w:t>
      </w:r>
      <w:r w:rsidRPr="00ED6B8F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Mycobacterium tuberculosis</w:t>
      </w: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Lineages</w:t>
      </w:r>
    </w:p>
    <w:p w14:paraId="091856FB" w14:textId="7209F22F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Aaradhya Aggarwal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Independent Computational Analysis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DF3D8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aradhya.aggarwal2701@gmail.com</w:t>
      </w:r>
    </w:p>
    <w:p w14:paraId="3CDD98ED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Introduction</w:t>
      </w:r>
    </w:p>
    <w:p w14:paraId="1C4087B4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PE and PPE multigene families are unique to mycobacteria and account for nearly 10% of the coding capacity of the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Mycobacterium tuberculosis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H37Rv genome. These genes encode proteins involved in host–pathogen interactions, immune modulation and antigenic variation. Due to their repetitive nature and high GC content, PE/PPE genes have historically been difficult to resolve using short-read sequencing technologies.</w:t>
      </w:r>
    </w:p>
    <w:p w14:paraId="72A2C26E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Recent long-read sequencing studies have demonstrated that gene conversion and structural variation within the PE/PPE families contribute substantially to genetic diversity, even among closely related outbreak strains. A 2025 study from the Gagneux laboratory showed that gene conversion events involving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ppe18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ppe57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introduce multiple variants simultaneously and account for a significant proportion of observed variation (Stritt et al., 2025).</w:t>
      </w:r>
    </w:p>
    <w:p w14:paraId="6909DF15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PPE18 (Rv1196, also known as Mtb39A) is of particular interest because it is a major component of the M72/AS01E vaccine candidate. Previous work has shown that sequence variation in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ppe18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affect predicted T-cell epitopes (Homolka et al., 2016). The present study therefore examines the phylogenetic conservation and structural features of PPE18 across publicly available strains.</w:t>
      </w:r>
    </w:p>
    <w:p w14:paraId="78054F65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Methods</w:t>
      </w:r>
    </w:p>
    <w:p w14:paraId="7EC3C5DB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Complete genomes of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Mycobacterium tuberculosis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belonging to Lineages 1, 2, 3 and 4 were downloaded from the Bacterial and Viral Bioinformatics Resource </w:t>
      </w:r>
      <w:proofErr w:type="spellStart"/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Center</w:t>
      </w:r>
      <w:proofErr w:type="spellEnd"/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BV-BRC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78A5F9D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reference protein sequence of PPE18 (Rv1196) was retrieved from </w:t>
      </w:r>
      <w:proofErr w:type="spellStart"/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Mycobrowser</w:t>
      </w:r>
      <w:proofErr w:type="spellEnd"/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82EA04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sequence was used as query in </w:t>
      </w: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NCBI BLASTP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(restricted to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Mycobacterium tuberculosis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taxid</w:t>
      </w:r>
      <w:proofErr w:type="spellEnd"/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1773) to extract corresponding PPE18 sequences from public databases.</w:t>
      </w:r>
    </w:p>
    <w:p w14:paraId="03588F72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Sequences showing ≥99% identity and 100% query coverage were retained (final dataset: 15–18 sequences).</w:t>
      </w:r>
    </w:p>
    <w:p w14:paraId="7783C2C8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Multiple sequence alignment was performed using </w:t>
      </w: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Clustal Omega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default parameters.</w:t>
      </w:r>
    </w:p>
    <w:p w14:paraId="14D45F9B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distance-based phylogenetic tree was constructed using the </w:t>
      </w: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 Phylogeny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tool (EMBL-EBI).</w:t>
      </w:r>
    </w:p>
    <w:p w14:paraId="326474FB" w14:textId="77777777" w:rsidR="00ED6B8F" w:rsidRPr="00ED6B8F" w:rsidRDefault="00ED6B8F" w:rsidP="00ED6B8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Three-dimensional structural modelling of H37Rv PPE18 was carried out using the </w:t>
      </w: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SWISS-MODEL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homology modelling server.</w:t>
      </w:r>
    </w:p>
    <w:p w14:paraId="52E89973" w14:textId="4EDCFF8B" w:rsidR="00ED6B8F" w:rsidRDefault="00ED6B8F" w:rsidP="00ED6B8F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Model quality was assessed using Global Model Quality Estimate (GMQE), QMEAN scores, and Ramachandran plot analysis.</w:t>
      </w:r>
    </w:p>
    <w:p w14:paraId="6ED4584C" w14:textId="77777777" w:rsidR="00ED6B8F" w:rsidRDefault="00ED6B8F" w:rsidP="00ED6B8F">
      <w:pPr>
        <w:pStyle w:val="NormalWeb"/>
        <w:spacing w:line="276" w:lineRule="auto"/>
      </w:pPr>
      <w:r>
        <w:rPr>
          <w:rStyle w:val="Strong"/>
        </w:rPr>
        <w:t>3. Results</w:t>
      </w:r>
    </w:p>
    <w:p w14:paraId="5703F6D1" w14:textId="77777777" w:rsidR="00ED6B8F" w:rsidRDefault="00ED6B8F" w:rsidP="00ED6B8F">
      <w:pPr>
        <w:pStyle w:val="NormalWeb"/>
        <w:spacing w:line="276" w:lineRule="auto"/>
        <w:rPr>
          <w:rStyle w:val="Emphasis"/>
        </w:rPr>
      </w:pPr>
      <w:r>
        <w:rPr>
          <w:rStyle w:val="Strong"/>
        </w:rPr>
        <w:t>Sequence Retrieval</w:t>
      </w:r>
      <w:r>
        <w:t xml:space="preserve"> </w:t>
      </w:r>
    </w:p>
    <w:p w14:paraId="542C1506" w14:textId="1E273591" w:rsidR="00ED6B8F" w:rsidRDefault="00ED6B8F" w:rsidP="00ED6B8F">
      <w:pPr>
        <w:pStyle w:val="NormalWeb"/>
        <w:spacing w:line="276" w:lineRule="auto"/>
        <w:rPr>
          <w:rStyle w:val="Emphasis"/>
        </w:rPr>
      </w:pPr>
      <w:r w:rsidRPr="00ED6B8F">
        <w:rPr>
          <w:i/>
          <w:iCs/>
        </w:rPr>
        <w:drawing>
          <wp:inline distT="0" distB="0" distL="0" distR="0" wp14:anchorId="469ADB09" wp14:editId="34755258">
            <wp:extent cx="5731510" cy="2999740"/>
            <wp:effectExtent l="0" t="0" r="2540" b="0"/>
            <wp:docPr id="15571496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C463B" w14:textId="3C8ABFC6" w:rsidR="00ED6B8F" w:rsidRDefault="00ED6B8F" w:rsidP="00ED6B8F">
      <w:pPr>
        <w:pStyle w:val="NormalWeb"/>
        <w:spacing w:line="276" w:lineRule="auto"/>
      </w:pPr>
      <w:r>
        <w:rPr>
          <w:rStyle w:val="Strong"/>
        </w:rPr>
        <w:t>Figure 1.</w:t>
      </w:r>
      <w:r>
        <w:rPr>
          <w:rStyle w:val="Strong"/>
        </w:rPr>
        <w:t xml:space="preserve"> </w:t>
      </w:r>
      <w:r>
        <w:t xml:space="preserve">Selection of </w:t>
      </w:r>
      <w:r>
        <w:rPr>
          <w:rStyle w:val="Emphasis"/>
        </w:rPr>
        <w:t>M. tuberculosis</w:t>
      </w:r>
      <w:r>
        <w:t xml:space="preserve"> genomes belonging to Lineages 1–4 from BV-BRC. </w:t>
      </w:r>
    </w:p>
    <w:p w14:paraId="07B22FCC" w14:textId="4071623C" w:rsidR="00ED6B8F" w:rsidRDefault="00ED6B8F" w:rsidP="00ED6B8F">
      <w:pPr>
        <w:pStyle w:val="NormalWeb"/>
        <w:spacing w:line="276" w:lineRule="auto"/>
        <w:rPr>
          <w:rStyle w:val="Emphasis"/>
        </w:rPr>
      </w:pPr>
      <w:r w:rsidRPr="00ED6B8F">
        <w:rPr>
          <w:i/>
          <w:iCs/>
        </w:rPr>
        <w:drawing>
          <wp:inline distT="0" distB="0" distL="0" distR="0" wp14:anchorId="27485BC6" wp14:editId="4A22CF3E">
            <wp:extent cx="5731510" cy="2925445"/>
            <wp:effectExtent l="0" t="0" r="2540" b="8255"/>
            <wp:docPr id="512502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7B85" w14:textId="5A108876" w:rsidR="00ED6B8F" w:rsidRDefault="00ED6B8F" w:rsidP="00ED6B8F">
      <w:pPr>
        <w:pStyle w:val="NormalWeb"/>
        <w:spacing w:line="276" w:lineRule="auto"/>
      </w:pPr>
      <w:r>
        <w:rPr>
          <w:rStyle w:val="Strong"/>
        </w:rPr>
        <w:t>Figure 2.</w:t>
      </w:r>
      <w:r>
        <w:t xml:space="preserve"> Reference PPE18 (Rv1196) gene and protein information retrieved from </w:t>
      </w:r>
      <w:proofErr w:type="spellStart"/>
      <w:r>
        <w:t>Mycobrowser</w:t>
      </w:r>
      <w:proofErr w:type="spellEnd"/>
      <w:r>
        <w:t>.</w:t>
      </w:r>
    </w:p>
    <w:p w14:paraId="3F92B8D8" w14:textId="77777777" w:rsidR="00E02CC3" w:rsidRDefault="00E02CC3" w:rsidP="00ED6B8F">
      <w:pPr>
        <w:pStyle w:val="NormalWeb"/>
        <w:spacing w:line="276" w:lineRule="auto"/>
      </w:pPr>
    </w:p>
    <w:p w14:paraId="6521EFC3" w14:textId="60EF1104" w:rsidR="00ED6B8F" w:rsidRDefault="00E02CC3" w:rsidP="00ED6B8F">
      <w:pPr>
        <w:pStyle w:val="NormalWeb"/>
        <w:spacing w:line="276" w:lineRule="auto"/>
      </w:pPr>
      <w:r w:rsidRPr="00E02CC3">
        <w:lastRenderedPageBreak/>
        <w:drawing>
          <wp:inline distT="0" distB="0" distL="0" distR="0" wp14:anchorId="4E6CB02D" wp14:editId="304CD69B">
            <wp:extent cx="5731510" cy="2948940"/>
            <wp:effectExtent l="0" t="0" r="2540" b="3810"/>
            <wp:docPr id="86138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82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A500" w14:textId="4FF0A712" w:rsidR="00ED6B8F" w:rsidRPr="00ED6B8F" w:rsidRDefault="00ED6B8F" w:rsidP="00ED6B8F">
      <w:pPr>
        <w:pStyle w:val="NormalWeb"/>
        <w:spacing w:line="276" w:lineRule="auto"/>
        <w:rPr>
          <w:rStyle w:val="Emphasis"/>
          <w:i w:val="0"/>
          <w:iCs w:val="0"/>
        </w:rPr>
      </w:pPr>
      <w:r w:rsidRPr="00ED6B8F">
        <w:drawing>
          <wp:inline distT="0" distB="0" distL="0" distR="0" wp14:anchorId="20E60E4A" wp14:editId="5E464DC8">
            <wp:extent cx="5731510" cy="2992120"/>
            <wp:effectExtent l="0" t="0" r="2540" b="0"/>
            <wp:docPr id="16096496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F28C" w14:textId="1C57EEEB" w:rsidR="00ED6B8F" w:rsidRDefault="00ED6B8F" w:rsidP="00ED6B8F">
      <w:pPr>
        <w:pStyle w:val="NormalWeb"/>
        <w:spacing w:line="276" w:lineRule="auto"/>
      </w:pPr>
      <w:r>
        <w:rPr>
          <w:rStyle w:val="Strong"/>
        </w:rPr>
        <w:t>Figure 3.</w:t>
      </w:r>
      <w:r>
        <w:t xml:space="preserve"> NCBI BLASTP results showing high-identity PPE18 protein hits </w:t>
      </w:r>
      <w:proofErr w:type="gramStart"/>
      <w:r>
        <w:t>( ≥</w:t>
      </w:r>
      <w:proofErr w:type="gramEnd"/>
      <w:r>
        <w:t>99% identity, 100% query coverage).</w:t>
      </w:r>
    </w:p>
    <w:p w14:paraId="58E808A5" w14:textId="6E57FD01" w:rsidR="00DF3D8B" w:rsidRDefault="00DF3D8B" w:rsidP="00DF3D8B">
      <w:pPr>
        <w:pStyle w:val="NormalWeb"/>
        <w:spacing w:line="276" w:lineRule="auto"/>
        <w:jc w:val="center"/>
      </w:pPr>
      <w:r w:rsidRPr="00DF3D8B">
        <w:lastRenderedPageBreak/>
        <w:drawing>
          <wp:inline distT="0" distB="0" distL="0" distR="0" wp14:anchorId="2985BD46" wp14:editId="496FC952">
            <wp:extent cx="5731510" cy="3002280"/>
            <wp:effectExtent l="0" t="0" r="2540" b="7620"/>
            <wp:docPr id="115455273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AC42" w14:textId="6FFB2799" w:rsidR="00E02CC3" w:rsidRDefault="00E02CC3" w:rsidP="00ED6B8F">
      <w:pPr>
        <w:pStyle w:val="NormalWeb"/>
        <w:spacing w:line="276" w:lineRule="auto"/>
      </w:pPr>
      <w:r w:rsidRPr="00E02CC3">
        <w:rPr>
          <w:b/>
          <w:bCs/>
        </w:rPr>
        <w:t xml:space="preserve">Figure </w:t>
      </w:r>
      <w:r>
        <w:rPr>
          <w:b/>
          <w:bCs/>
        </w:rPr>
        <w:t>4</w:t>
      </w:r>
      <w:r w:rsidRPr="00E02CC3">
        <w:rPr>
          <w:b/>
          <w:bCs/>
        </w:rPr>
        <w:t>.</w:t>
      </w:r>
      <w:r w:rsidRPr="00E02CC3">
        <w:t xml:space="preserve"> Graphic summary of NCBI BLASTP results for PPE18. All top hits show full-length coverage and the characteristic PPE domain.</w:t>
      </w:r>
    </w:p>
    <w:p w14:paraId="6B95B24C" w14:textId="77777777" w:rsidR="00E02CC3" w:rsidRDefault="00ED6B8F" w:rsidP="00ED6B8F">
      <w:pPr>
        <w:pStyle w:val="NormalWeb"/>
        <w:spacing w:line="276" w:lineRule="auto"/>
        <w:rPr>
          <w:rStyle w:val="Strong"/>
        </w:rPr>
      </w:pPr>
      <w:r>
        <w:rPr>
          <w:rStyle w:val="Strong"/>
        </w:rPr>
        <w:t xml:space="preserve">Multiple Sequence </w:t>
      </w:r>
    </w:p>
    <w:p w14:paraId="5C875810" w14:textId="3C7E15FB" w:rsidR="00E02CC3" w:rsidRDefault="00E02CC3" w:rsidP="00ED6B8F">
      <w:pPr>
        <w:pStyle w:val="NormalWeb"/>
        <w:spacing w:line="276" w:lineRule="auto"/>
        <w:rPr>
          <w:rStyle w:val="Strong"/>
        </w:rPr>
      </w:pPr>
      <w:r w:rsidRPr="00E02CC3">
        <w:rPr>
          <w:b/>
          <w:bCs/>
        </w:rPr>
        <w:drawing>
          <wp:inline distT="0" distB="0" distL="0" distR="0" wp14:anchorId="52C3BC08" wp14:editId="0B6EA5D2">
            <wp:extent cx="5731510" cy="2874645"/>
            <wp:effectExtent l="0" t="0" r="2540" b="1905"/>
            <wp:docPr id="1035826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1B629" w14:textId="38B11ED3" w:rsidR="00ED6B8F" w:rsidRDefault="00ED6B8F" w:rsidP="00ED6B8F">
      <w:pPr>
        <w:pStyle w:val="NormalWeb"/>
        <w:spacing w:line="276" w:lineRule="auto"/>
      </w:pPr>
      <w:r>
        <w:rPr>
          <w:rStyle w:val="Strong"/>
        </w:rPr>
        <w:t xml:space="preserve">Figure </w:t>
      </w:r>
      <w:r w:rsidR="00E02CC3">
        <w:rPr>
          <w:rStyle w:val="Strong"/>
        </w:rPr>
        <w:t>5</w:t>
      </w:r>
      <w:r>
        <w:rPr>
          <w:rStyle w:val="Strong"/>
        </w:rPr>
        <w:t>.</w:t>
      </w:r>
      <w:r>
        <w:t xml:space="preserve"> Multiple sequence alignment of PPE18 sequences generated using Clustal Omega.</w:t>
      </w:r>
    </w:p>
    <w:p w14:paraId="72998A6A" w14:textId="77777777" w:rsidR="00E02CC3" w:rsidRDefault="00ED6B8F" w:rsidP="00ED6B8F">
      <w:pPr>
        <w:pStyle w:val="NormalWeb"/>
        <w:spacing w:line="276" w:lineRule="auto"/>
        <w:rPr>
          <w:rStyle w:val="Emphasis"/>
        </w:rPr>
      </w:pPr>
      <w:r>
        <w:rPr>
          <w:rStyle w:val="Strong"/>
        </w:rPr>
        <w:t>Phylogenetic Analysis</w:t>
      </w:r>
      <w:r>
        <w:t xml:space="preserve"> </w:t>
      </w:r>
    </w:p>
    <w:p w14:paraId="2F28609B" w14:textId="3B0EE34A" w:rsidR="00E02CC3" w:rsidRDefault="00E02CC3" w:rsidP="00ED6B8F">
      <w:pPr>
        <w:pStyle w:val="NormalWeb"/>
        <w:spacing w:line="276" w:lineRule="auto"/>
      </w:pPr>
      <w:r>
        <w:rPr>
          <w:noProof/>
        </w:rPr>
        <w:lastRenderedPageBreak/>
        <w:drawing>
          <wp:inline distT="0" distB="0" distL="0" distR="0" wp14:anchorId="330428B2" wp14:editId="111FC8FF">
            <wp:extent cx="3433683" cy="2124652"/>
            <wp:effectExtent l="0" t="0" r="0" b="9525"/>
            <wp:docPr id="4968133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329" cy="215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A0643" wp14:editId="47CCA697">
            <wp:extent cx="2073910" cy="2134927"/>
            <wp:effectExtent l="0" t="0" r="2540" b="0"/>
            <wp:docPr id="8757203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028" cy="2151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607D4" w14:textId="19BDFB70" w:rsidR="00ED6B8F" w:rsidRPr="00E02CC3" w:rsidRDefault="00ED6B8F" w:rsidP="00ED6B8F">
      <w:pPr>
        <w:pStyle w:val="NormalWeb"/>
        <w:spacing w:line="276" w:lineRule="auto"/>
        <w:rPr>
          <w:i/>
          <w:iCs/>
        </w:rPr>
      </w:pPr>
      <w:r>
        <w:rPr>
          <w:rStyle w:val="Strong"/>
        </w:rPr>
        <w:t>Figure</w:t>
      </w:r>
      <w:r w:rsidR="00E02CC3">
        <w:rPr>
          <w:rStyle w:val="Strong"/>
        </w:rPr>
        <w:t xml:space="preserve"> 6</w:t>
      </w:r>
      <w:r>
        <w:rPr>
          <w:rStyle w:val="Strong"/>
        </w:rPr>
        <w:t>.</w:t>
      </w:r>
      <w:r>
        <w:t xml:space="preserve"> Distance-based phylogenetic tree of PPE18 sequences. Most sequences showed genetic distances of 0.00000, with a maximum observed distance of 0.00256. No clear lineage-specific clustering was observed.</w:t>
      </w:r>
    </w:p>
    <w:p w14:paraId="15A862EF" w14:textId="77777777" w:rsidR="00E02CC3" w:rsidRDefault="00ED6B8F" w:rsidP="00ED6B8F">
      <w:pPr>
        <w:pStyle w:val="NormalWeb"/>
        <w:spacing w:line="276" w:lineRule="auto"/>
        <w:rPr>
          <w:rStyle w:val="Emphasis"/>
        </w:rPr>
      </w:pPr>
      <w:r>
        <w:rPr>
          <w:rStyle w:val="Strong"/>
        </w:rPr>
        <w:t>Structural Modelling</w:t>
      </w:r>
      <w:r>
        <w:t xml:space="preserve"> </w:t>
      </w:r>
    </w:p>
    <w:p w14:paraId="5CB336B8" w14:textId="55EB7C66" w:rsidR="00E02CC3" w:rsidRPr="00E02CC3" w:rsidRDefault="00E02CC3" w:rsidP="00E02CC3">
      <w:pPr>
        <w:pStyle w:val="NormalWeb"/>
        <w:spacing w:line="276" w:lineRule="auto"/>
        <w:jc w:val="center"/>
        <w:rPr>
          <w:i/>
          <w:iCs/>
        </w:rPr>
      </w:pPr>
      <w:r w:rsidRPr="00E02CC3">
        <w:rPr>
          <w:i/>
          <w:iCs/>
        </w:rPr>
        <w:drawing>
          <wp:inline distT="0" distB="0" distL="0" distR="0" wp14:anchorId="10D1D3B3" wp14:editId="722CDF4F">
            <wp:extent cx="4267200" cy="2279212"/>
            <wp:effectExtent l="0" t="0" r="0" b="0"/>
            <wp:docPr id="21187315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79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120E" w14:textId="58920576" w:rsidR="00E02CC3" w:rsidRDefault="00E02CC3" w:rsidP="00E02CC3">
      <w:pPr>
        <w:pStyle w:val="NormalWeb"/>
        <w:spacing w:line="276" w:lineRule="auto"/>
        <w:jc w:val="center"/>
        <w:rPr>
          <w:rStyle w:val="Emphasis"/>
        </w:rPr>
      </w:pPr>
      <w:r>
        <w:rPr>
          <w:i/>
          <w:iCs/>
          <w:noProof/>
          <w14:ligatures w14:val="standardContextual"/>
        </w:rPr>
        <w:drawing>
          <wp:inline distT="0" distB="0" distL="0" distR="0" wp14:anchorId="74E87248" wp14:editId="1963B7EF">
            <wp:extent cx="2708563" cy="2236490"/>
            <wp:effectExtent l="0" t="0" r="0" b="0"/>
            <wp:docPr id="3697665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66568" name="Picture 36976656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38" t="16396" r="31954" b="12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43" cy="2277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B1A29" w14:textId="13680A66" w:rsidR="00E02CC3" w:rsidRPr="00E02CC3" w:rsidRDefault="00ED6B8F" w:rsidP="00ED6B8F">
      <w:pPr>
        <w:pStyle w:val="NormalWeb"/>
        <w:spacing w:line="276" w:lineRule="auto"/>
        <w:rPr>
          <w:rStyle w:val="Emphasis"/>
          <w:i w:val="0"/>
          <w:iCs w:val="0"/>
        </w:rPr>
      </w:pPr>
      <w:r>
        <w:rPr>
          <w:rStyle w:val="Strong"/>
        </w:rPr>
        <w:t xml:space="preserve">Figure </w:t>
      </w:r>
      <w:r w:rsidR="00E02CC3">
        <w:rPr>
          <w:rStyle w:val="Strong"/>
        </w:rPr>
        <w:t>7</w:t>
      </w:r>
      <w:r>
        <w:rPr>
          <w:rStyle w:val="Strong"/>
        </w:rPr>
        <w:t>.</w:t>
      </w:r>
      <w:r>
        <w:t xml:space="preserve"> Predicted three-dimensional structure of PPE18 (H37Rv) generated by SWISS-MODEL.</w:t>
      </w:r>
    </w:p>
    <w:p w14:paraId="3B93308E" w14:textId="464228CD" w:rsidR="00E02CC3" w:rsidRDefault="00E02CC3" w:rsidP="00E02CC3">
      <w:pPr>
        <w:pStyle w:val="NormalWeb"/>
        <w:spacing w:line="276" w:lineRule="auto"/>
        <w:jc w:val="center"/>
        <w:rPr>
          <w:rStyle w:val="Emphasis"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732428EB" wp14:editId="30389AF8">
            <wp:extent cx="2897332" cy="2897332"/>
            <wp:effectExtent l="0" t="0" r="0" b="0"/>
            <wp:docPr id="1221422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266" name="Picture 1221422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6325" cy="290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71BF" w14:textId="45D0D1D1" w:rsidR="00ED6B8F" w:rsidRPr="00ED6B8F" w:rsidRDefault="00ED6B8F" w:rsidP="00ED6B8F">
      <w:pPr>
        <w:pStyle w:val="NormalWeb"/>
        <w:spacing w:line="276" w:lineRule="auto"/>
      </w:pPr>
      <w:r>
        <w:rPr>
          <w:rStyle w:val="Strong"/>
        </w:rPr>
        <w:t xml:space="preserve">Figure </w:t>
      </w:r>
      <w:r w:rsidR="00DF3D8B">
        <w:rPr>
          <w:rStyle w:val="Strong"/>
        </w:rPr>
        <w:t>8</w:t>
      </w:r>
      <w:r>
        <w:rPr>
          <w:rStyle w:val="Strong"/>
        </w:rPr>
        <w:t>.</w:t>
      </w:r>
      <w:r>
        <w:t xml:space="preserve"> Ramachandran plot of the PPE18 model. The majority of residues fall within favoured regions, indicating acceptable overall model quality</w:t>
      </w:r>
    </w:p>
    <w:p w14:paraId="469E34DF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Discussion</w:t>
      </w:r>
    </w:p>
    <w:p w14:paraId="3E5F3211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high degree of sequence conservation observed in PPE18 is consistent with purifying selection acting on this antigen. This finding is relevant for the M72/AS01E vaccine candidate, as many of the targeted epitopes appear relatively stable across the strains examined in this study.</w:t>
      </w:r>
    </w:p>
    <w:p w14:paraId="651094F5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However, the limited diversity also highlights an important limitation of the current dataset. Many publicly available sequences are nearly identical, and short-read data frequently miss structural variants and gene conversion events. Recent long-read work from the Gagneux laboratory has shown that gene conversion involving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ppe18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related genes can generate multiple changes simultaneously (Stritt et al., 2025).</w:t>
      </w:r>
    </w:p>
    <w:p w14:paraId="482F7297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Future direction: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Expanding this analysis to complete long-read assemblies and additional PE/PPE family members (particularly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ppe57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selected </w:t>
      </w:r>
      <w:proofErr w:type="spellStart"/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pe_pgrs</w:t>
      </w:r>
      <w:proofErr w:type="spellEnd"/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genes) would provide deeper evolutionary insight and align directly with ongoing research in the laboratory.</w:t>
      </w:r>
    </w:p>
    <w:p w14:paraId="7CFBD90F" w14:textId="77777777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Conclusion</w:t>
      </w:r>
    </w:p>
    <w:p w14:paraId="140B4780" w14:textId="77777777" w:rsid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focused computational analysis confirms the strong sequence conservation of PPE18 and provides a preliminary structural model supported by Ramachandran analysis. While diversity was limited in the present dataset, the workflow is clear, reproducible, and ready to be extended to more variable PE/PPE genes and long-read genomic data.</w:t>
      </w:r>
    </w:p>
    <w:p w14:paraId="3CE4C2B4" w14:textId="0FC2B7B2" w:rsidR="00ED6B8F" w:rsidRPr="00ED6B8F" w:rsidRDefault="00ED6B8F" w:rsidP="00ED6B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References</w:t>
      </w:r>
    </w:p>
    <w:p w14:paraId="2F0E388D" w14:textId="77777777" w:rsidR="00ED6B8F" w:rsidRPr="00ED6B8F" w:rsidRDefault="00ED6B8F" w:rsidP="00ED6B8F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Stritt, C., Reitsma, M., García-Marín, A. M., </w:t>
      </w:r>
      <w:proofErr w:type="spellStart"/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Goig</w:t>
      </w:r>
      <w:proofErr w:type="spellEnd"/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G., Dötsch, A., Borrell, S., Beisel, C., Comas, I., Brites, D., &amp; Gagneux, S. (2025). Gene conversion and duplication contribute to genetic variation in an outbreak of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Mycobacterium tuberculosis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Microbial Genomics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11(5), 001396. </w:t>
      </w:r>
      <w:hyperlink r:id="rId16" w:tgtFrame="_blank" w:history="1">
        <w:r w:rsidRPr="00ED6B8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https://doi.org/10.1099/mgen.0.001396</w:t>
        </w:r>
      </w:hyperlink>
    </w:p>
    <w:p w14:paraId="4F9C45CC" w14:textId="77777777" w:rsidR="00ED6B8F" w:rsidRPr="00ED6B8F" w:rsidRDefault="00ED6B8F" w:rsidP="00ED6B8F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Homolka, S., et al. (2016). High sequence variability of the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ppe18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 of clinical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Mycobacterium tuberculosis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complex strains potentially impacts effectivity of vaccine candidate M72/AS01E. </w:t>
      </w:r>
      <w:proofErr w:type="spellStart"/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PLoS</w:t>
      </w:r>
      <w:proofErr w:type="spellEnd"/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ONE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11(3), e0152200.</w:t>
      </w:r>
    </w:p>
    <w:p w14:paraId="392E9560" w14:textId="77777777" w:rsidR="00ED6B8F" w:rsidRPr="00ED6B8F" w:rsidRDefault="00ED6B8F" w:rsidP="00ED6B8F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Cole, S. T., et al. (1998). Deciphering the biology of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Mycobacterium tuberculosis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complete genome sequence.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Nature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393, 537–544.</w:t>
      </w:r>
    </w:p>
    <w:p w14:paraId="4B255DCA" w14:textId="77777777" w:rsidR="00ED6B8F" w:rsidRPr="00ED6B8F" w:rsidRDefault="00ED6B8F" w:rsidP="00ED6B8F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Gey van Pittius, N. C., et al. (2006). Evolution and expansion of the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Mycobacterium tuberculosis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 and PPE multigene families. </w:t>
      </w:r>
      <w:r w:rsidRPr="00ED6B8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BMC Evolutionary Biology</w:t>
      </w:r>
      <w:r w:rsidRPr="00ED6B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6, 95</w:t>
      </w:r>
    </w:p>
    <w:p w14:paraId="19A89B95" w14:textId="6DC67BD3" w:rsidR="004057AD" w:rsidRPr="00ED6B8F" w:rsidRDefault="004057AD" w:rsidP="00ED6B8F">
      <w:pPr>
        <w:spacing w:line="276" w:lineRule="auto"/>
        <w:rPr>
          <w:rFonts w:ascii="Times New Roman" w:hAnsi="Times New Roman" w:cs="Times New Roman"/>
        </w:rPr>
      </w:pPr>
    </w:p>
    <w:sectPr w:rsidR="004057AD" w:rsidRPr="00ED6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61C6"/>
    <w:multiLevelType w:val="multilevel"/>
    <w:tmpl w:val="7C30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15826"/>
    <w:multiLevelType w:val="multilevel"/>
    <w:tmpl w:val="DCF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44077"/>
    <w:multiLevelType w:val="multilevel"/>
    <w:tmpl w:val="B3A2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A6D2E"/>
    <w:multiLevelType w:val="multilevel"/>
    <w:tmpl w:val="B348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25973"/>
    <w:multiLevelType w:val="multilevel"/>
    <w:tmpl w:val="C0BC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9633A6"/>
    <w:multiLevelType w:val="multilevel"/>
    <w:tmpl w:val="28CE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1341D5"/>
    <w:multiLevelType w:val="multilevel"/>
    <w:tmpl w:val="A270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433403"/>
    <w:multiLevelType w:val="multilevel"/>
    <w:tmpl w:val="245E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271D4"/>
    <w:multiLevelType w:val="multilevel"/>
    <w:tmpl w:val="248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599782">
    <w:abstractNumId w:val="5"/>
  </w:num>
  <w:num w:numId="2" w16cid:durableId="541669408">
    <w:abstractNumId w:val="7"/>
  </w:num>
  <w:num w:numId="3" w16cid:durableId="115490250">
    <w:abstractNumId w:val="8"/>
  </w:num>
  <w:num w:numId="4" w16cid:durableId="207685442">
    <w:abstractNumId w:val="1"/>
  </w:num>
  <w:num w:numId="5" w16cid:durableId="1174951609">
    <w:abstractNumId w:val="3"/>
  </w:num>
  <w:num w:numId="6" w16cid:durableId="755632625">
    <w:abstractNumId w:val="4"/>
  </w:num>
  <w:num w:numId="7" w16cid:durableId="1684630860">
    <w:abstractNumId w:val="0"/>
  </w:num>
  <w:num w:numId="8" w16cid:durableId="1873565790">
    <w:abstractNumId w:val="2"/>
  </w:num>
  <w:num w:numId="9" w16cid:durableId="934479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6D"/>
    <w:rsid w:val="00005018"/>
    <w:rsid w:val="004057AD"/>
    <w:rsid w:val="004B106D"/>
    <w:rsid w:val="0062089D"/>
    <w:rsid w:val="008A04AD"/>
    <w:rsid w:val="00BA6CC7"/>
    <w:rsid w:val="00DF3D8B"/>
    <w:rsid w:val="00E02CC3"/>
    <w:rsid w:val="00ED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0D287"/>
  <w15:chartTrackingRefBased/>
  <w15:docId w15:val="{D9448C91-8CF9-4BF2-AE23-FB0F8E3B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0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0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106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20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D6B8F"/>
    <w:rPr>
      <w:b/>
      <w:bCs/>
    </w:rPr>
  </w:style>
  <w:style w:type="character" w:styleId="Emphasis">
    <w:name w:val="Emphasis"/>
    <w:basedOn w:val="DefaultParagraphFont"/>
    <w:uiPriority w:val="20"/>
    <w:qFormat/>
    <w:rsid w:val="00ED6B8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099/mgen.0.00139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Aaradhya Aggarwal</dc:creator>
  <cp:keywords/>
  <dc:description/>
  <cp:lastModifiedBy>Aaradhya Aggarwal</cp:lastModifiedBy>
  <cp:revision>1</cp:revision>
  <dcterms:created xsi:type="dcterms:W3CDTF">2026-08-18T19:43:00Z</dcterms:created>
  <dcterms:modified xsi:type="dcterms:W3CDTF">2026-08-18T20:29:00Z</dcterms:modified>
</cp:coreProperties>
</file>