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keepNext w:val="true"/>
        <w:spacing w:before="120" w:after="120"/>
        <w:rPr/>
      </w:pPr>
      <w:r>
        <w:rPr>
          <w:b/>
          <w:color w:val="102C57"/>
          <w:sz w:val="36"/>
        </w:rPr>
        <w:t>CGTMSE Loan Scheme 2026: Eligibility, ₹10 Crore Limit, Coverage &amp; Documents</w:t>
      </w:r>
    </w:p>
    <w:p>
      <w:pPr>
        <w:pStyle w:val="Normal"/>
        <w:spacing w:lineRule="auto" w:line="276" w:before="0" w:after="160"/>
        <w:rPr/>
      </w:pPr>
      <w:r>
        <w:rPr>
          <w:b/>
          <w:color w:val="2D3748"/>
          <w:sz w:val="22"/>
        </w:rPr>
        <w:t xml:space="preserve">Guide Summary: </w:t>
      </w:r>
      <w:r>
        <w:rPr>
          <w:color w:val="2D3748"/>
          <w:sz w:val="22"/>
        </w:rPr>
        <w:t>A comprehensive, founder-focused 2026 guide to the Credit Guarantee Fund Trust for Micro and Small Enterprises (CGTMSE) loan scheme, covering the ₹10 Crore collateral-free limit, tiered guarantee coverage (75% to 90%), revised Annual Guarantee Fee (AGF) slabs starting at 0.37%, hybrid security rules, and mandatory documentation.</w:t>
      </w:r>
    </w:p>
    <w:tbl>
      <w:tblPr>
        <w:tblW w:w="9360" w:type="dxa"/>
        <w:jc w:val="center"/>
        <w:tblInd w:w="0" w:type="dxa"/>
        <w:tblCellMar>
          <w:top w:w="140" w:type="dxa"/>
          <w:left w:w="200" w:type="dxa"/>
          <w:bottom w:w="140" w:type="dxa"/>
          <w:right w:w="180" w:type="dxa"/>
        </w:tblCellMar>
        <w:tblLook w:firstRow="1" w:noVBand="1" w:lastRow="0" w:firstColumn="1" w:lastColumn="0" w:noHBand="0" w:val="04a0"/>
      </w:tblPr>
      <w:tblGrid>
        <w:gridCol w:w="9360"/>
      </w:tblGrid>
      <w:tr>
        <w:trPr>
          <w:cantSplit w:val="true"/>
        </w:trPr>
        <w:tc>
          <w:tcPr>
            <w:tcW w:w="9360" w:type="dxa"/>
            <w:tcBorders>
              <w:left w:val="single" w:sz="24" w:space="0" w:color="1E56A0"/>
            </w:tcBorders>
            <w:shd w:fill="F0F4F8"/>
          </w:tcPr>
          <w:p>
            <w:pPr>
              <w:pStyle w:val="Normal"/>
              <w:spacing w:lineRule="auto" w:line="276" w:before="40" w:after="80"/>
              <w:rPr/>
            </w:pPr>
            <w:r>
              <w:rPr>
                <w:b/>
                <w:color w:val="102C57"/>
                <w:sz w:val="22"/>
              </w:rPr>
              <w:t>IN THIS EDITORIAL GUIDE</w:t>
              <w:br/>
            </w:r>
            <w:r>
              <w:rPr>
                <w:color w:val="2D3748"/>
                <w:sz w:val="21"/>
              </w:rPr>
              <w:t>• Why the ₹10 Crore CGTMSE Ceiling Expansion Matters in 2026</w:t>
              <w:br/>
              <w:t>• What Is the CGTMSE Loan Scheme? (Ministry of MSME &amp; SIDBI Framework)</w:t>
              <w:br/>
              <w:t>• CGTMSE Eligibility Criteria: Who Qualifies &amp; Who Is Excluded?</w:t>
              <w:br/>
              <w:t>• CGTMSE Loan Limit, Guarantee Coverage &amp; Revised Annual Guarantee Fee (AGF) Slabs</w:t>
              <w:br/>
              <w:t>• Hybrid Security &amp; Special Concessions (Women, NER, ZED-Certified Units)</w:t>
              <w:br/>
              <w:t>• Mandatory CGTMSE Documents Checklist for Fast Sanction</w:t>
              <w:br/>
              <w:t>• Step-by-Step CGTMSE Application &amp; CGPAN Generation Workflow</w:t>
              <w:br/>
              <w:t>• 5 Costly Mistakes That Trigger CGTMSE Loan Rejections</w:t>
              <w:br/>
              <w:t>• Frequently Asked Questions (FAQs)</w:t>
              <w:br/>
              <w:t>• Editorial SEO Metadata &amp; CTA Guidance</w:t>
            </w:r>
          </w:p>
        </w:tc>
      </w:tr>
    </w:tbl>
    <w:p>
      <w:pPr>
        <w:pStyle w:val="Normal"/>
        <w:keepNext w:val="true"/>
        <w:spacing w:before="280" w:after="80"/>
        <w:rPr/>
      </w:pPr>
      <w:r>
        <w:rPr>
          <w:b/>
          <w:color w:val="1E56A0"/>
          <w:sz w:val="28"/>
        </w:rPr>
        <w:t>1. Why the ₹10 Crore CGTMSE Ceiling Expansion Changes MSME Financing</w:t>
      </w:r>
    </w:p>
    <w:p>
      <w:pPr>
        <w:pStyle w:val="Normal"/>
        <w:spacing w:lineRule="auto" w:line="276" w:before="0" w:after="120"/>
        <w:rPr/>
      </w:pPr>
      <w:r>
        <w:rPr>
          <w:color w:val="2D3748"/>
          <w:sz w:val="22"/>
        </w:rPr>
        <w:t xml:space="preserve">For decades, the biggest bottleneck for scaling manufacturing, engineering, and service enterprises in India has not been order book demand—it has been the insistence of commercial banks on immovable property collateral. Following the landmark expansion of the guarantee ceiling from ₹5 Crore to ₹10 Crore (effective April 2025 under </w:t>
      </w:r>
      <w:hyperlink r:id="rId2">
        <w:r>
          <w:rPr>
            <w:rStyle w:val="ListLabel1"/>
            <w:rFonts w:cs="Arial"/>
            <w:color w:val="1E56A0"/>
            <w:sz w:val="22"/>
            <w:szCs w:val="22"/>
            <w:u w:val="single"/>
          </w:rPr>
          <w:t>Credit Guarantee Scheme-I (CGS-I)</w:t>
        </w:r>
      </w:hyperlink>
      <w:r>
        <w:rPr>
          <w:color w:val="2D3748"/>
          <w:sz w:val="22"/>
        </w:rPr>
        <w:t>), Indian Micro and Small Enterprises (MSEs) can now unlock substantial institutional working capital and term debt without pledging residential or industrial real estate.</w:t>
      </w:r>
    </w:p>
    <w:p>
      <w:pPr>
        <w:pStyle w:val="Normal"/>
        <w:spacing w:lineRule="auto" w:line="276" w:before="0" w:after="120"/>
        <w:rPr/>
      </w:pPr>
      <w:r>
        <w:rPr>
          <w:color w:val="2D3748"/>
          <w:sz w:val="22"/>
        </w:rPr>
        <w:t xml:space="preserve">Structuring your capital stack around a </w:t>
      </w:r>
      <w:r>
        <w:rPr>
          <w:b/>
          <w:color w:val="2D3748"/>
          <w:sz w:val="22"/>
        </w:rPr>
        <w:t>CGTMSE loan scheme 2026</w:t>
      </w:r>
      <w:r>
        <w:rPr>
          <w:color w:val="2D3748"/>
          <w:sz w:val="22"/>
        </w:rPr>
        <w:t xml:space="preserve"> facility delivers four strategic advantages for growing businesses:</w:t>
      </w:r>
    </w:p>
    <w:p>
      <w:pPr>
        <w:pStyle w:val="ListBullet"/>
        <w:numPr>
          <w:ilvl w:val="0"/>
          <w:numId w:val="1"/>
        </w:numPr>
        <w:spacing w:lineRule="auto" w:line="276" w:before="20" w:after="60"/>
        <w:contextualSpacing/>
        <w:rPr/>
      </w:pPr>
      <w:r>
        <w:rPr>
          <w:b/>
          <w:color w:val="2D3748"/>
          <w:sz w:val="22"/>
        </w:rPr>
        <w:t xml:space="preserve">Preservation of Promoter Real Estate: </w:t>
      </w:r>
      <w:r>
        <w:rPr>
          <w:color w:val="2D3748"/>
          <w:sz w:val="22"/>
        </w:rPr>
        <w:t>Founders can secure up to ₹10 Crore in working capital (Cash Credit/Overdraft) and machinery term loans without mortgaging personal homes, commercial offices, or third-party guarantees.</w:t>
      </w:r>
    </w:p>
    <w:p>
      <w:pPr>
        <w:pStyle w:val="ListBullet"/>
        <w:numPr>
          <w:ilvl w:val="0"/>
          <w:numId w:val="1"/>
        </w:numPr>
        <w:spacing w:lineRule="auto" w:line="276" w:before="20" w:after="60"/>
        <w:contextualSpacing/>
        <w:rPr/>
      </w:pPr>
      <w:r>
        <w:rPr>
          <w:b/>
          <w:color w:val="2D3748"/>
          <w:sz w:val="22"/>
        </w:rPr>
        <w:t xml:space="preserve">Lower Cost of Capital via Revised AGF Slabs: </w:t>
      </w:r>
      <w:r>
        <w:rPr>
          <w:color w:val="2D3748"/>
          <w:sz w:val="22"/>
        </w:rPr>
        <w:t>Under the revised fee structure, the Annual Guarantee Fee (AGF) starts at just 0.37% per annum for credit facilities up to ₹10 Lakh and scales up to 1.20% for the ₹8 Crore–₹10 Crore band, making bank debt significantly cheaper than unsecured NBFC or fintech loans (which routinely charge 16%–24% interest).</w:t>
      </w:r>
    </w:p>
    <w:p>
      <w:pPr>
        <w:pStyle w:val="ListBullet"/>
        <w:numPr>
          <w:ilvl w:val="0"/>
          <w:numId w:val="1"/>
        </w:numPr>
        <w:spacing w:lineRule="auto" w:line="276" w:before="20" w:after="60"/>
        <w:contextualSpacing/>
        <w:rPr/>
      </w:pPr>
      <w:r>
        <w:rPr>
          <w:b/>
          <w:color w:val="2D3748"/>
          <w:sz w:val="22"/>
        </w:rPr>
        <w:t xml:space="preserve">Hybrid Security Flexibility for Larger Capex: </w:t>
      </w:r>
      <w:r>
        <w:rPr>
          <w:color w:val="2D3748"/>
          <w:sz w:val="22"/>
        </w:rPr>
        <w:t xml:space="preserve">Under the </w:t>
      </w:r>
      <w:hyperlink r:id="rId3">
        <w:r>
          <w:rPr>
            <w:rStyle w:val="ListLabel1"/>
            <w:rFonts w:cs="Arial"/>
            <w:color w:val="1E56A0"/>
            <w:sz w:val="22"/>
            <w:szCs w:val="22"/>
            <w:u w:val="single"/>
          </w:rPr>
          <w:t>CGTMSE Hybrid Security product</w:t>
        </w:r>
      </w:hyperlink>
      <w:r>
        <w:rPr>
          <w:color w:val="2D3748"/>
          <w:sz w:val="22"/>
        </w:rPr>
        <w:t>, businesses taking larger project loans can pledge partial tangible collateral for a portion of the credit facility while covering the remaining uncollateralized exposure up to ₹10 Crore under CGTMSE.</w:t>
      </w:r>
    </w:p>
    <w:p>
      <w:pPr>
        <w:pStyle w:val="ListBullet"/>
        <w:numPr>
          <w:ilvl w:val="0"/>
          <w:numId w:val="1"/>
        </w:numPr>
        <w:spacing w:lineRule="auto" w:line="276" w:before="20" w:after="140"/>
        <w:contextualSpacing/>
        <w:rPr/>
      </w:pPr>
      <w:r>
        <w:rPr>
          <w:b/>
          <w:color w:val="2D3748"/>
          <w:sz w:val="22"/>
        </w:rPr>
        <w:t xml:space="preserve">Streamlined Micro-Ticket Sanctioning: </w:t>
      </w:r>
      <w:r>
        <w:rPr>
          <w:color w:val="2D3748"/>
          <w:sz w:val="22"/>
        </w:rPr>
        <w:t>For smaller credit facilities up to ₹20 Lakh, special CGTMSE provisions provide 85% guarantee coverage without requiring creation of primary security or legal action prior to guarantee invocation.</w:t>
      </w:r>
    </w:p>
    <w:p>
      <w:pPr>
        <w:pStyle w:val="Normal"/>
        <w:keepNext w:val="true"/>
        <w:spacing w:before="280" w:after="80"/>
        <w:rPr/>
      </w:pPr>
      <w:r>
        <w:rPr>
          <w:b/>
          <w:color w:val="1E56A0"/>
          <w:sz w:val="28"/>
        </w:rPr>
        <w:t>2. What Is the CGTMSE Loan Scheme 2026? Core Framework &amp; Structure</w:t>
      </w:r>
    </w:p>
    <w:p>
      <w:pPr>
        <w:pStyle w:val="Normal"/>
        <w:spacing w:lineRule="auto" w:line="276" w:before="0" w:after="120"/>
        <w:rPr/>
      </w:pPr>
      <w:r>
        <w:rPr>
          <w:color w:val="2D3748"/>
          <w:sz w:val="22"/>
        </w:rPr>
        <w:t xml:space="preserve">The </w:t>
      </w:r>
      <w:hyperlink r:id="rId4">
        <w:r>
          <w:rPr>
            <w:rStyle w:val="ListLabel1"/>
            <w:rFonts w:cs="Arial"/>
            <w:color w:val="1E56A0"/>
            <w:sz w:val="22"/>
            <w:szCs w:val="22"/>
            <w:u w:val="single"/>
          </w:rPr>
          <w:t>Credit Guarantee Fund Trust for Micro and Small Enterprises (CGTMSE)</w:t>
        </w:r>
      </w:hyperlink>
      <w:r>
        <w:rPr>
          <w:color w:val="2D3748"/>
          <w:sz w:val="22"/>
        </w:rPr>
        <w:t xml:space="preserve"> was established in 2000 jointly by the Ministry of Micro, Small and Medium Enterprises, Government of India, and the </w:t>
      </w:r>
      <w:hyperlink r:id="rId5">
        <w:r>
          <w:rPr>
            <w:rStyle w:val="ListLabel1"/>
            <w:rFonts w:cs="Arial"/>
            <w:color w:val="1E56A0"/>
            <w:sz w:val="22"/>
            <w:szCs w:val="22"/>
            <w:u w:val="single"/>
          </w:rPr>
          <w:t>Small Industries Development Bank of India (SIDBI)</w:t>
        </w:r>
      </w:hyperlink>
      <w:r>
        <w:rPr>
          <w:color w:val="2D3748"/>
          <w:sz w:val="22"/>
        </w:rPr>
        <w:t xml:space="preserve">. Crucially, CGTMSE does not lend money directly to entrepreneurs. Instead, it acts as a statutory institutional guarantor to Member Lending Institutions (MLIs) including Public Sector Banks (such as </w:t>
      </w:r>
      <w:hyperlink r:id="rId6">
        <w:r>
          <w:rPr>
            <w:rStyle w:val="ListLabel1"/>
            <w:rFonts w:cs="Arial"/>
            <w:color w:val="1E56A0"/>
            <w:sz w:val="22"/>
            <w:szCs w:val="22"/>
            <w:u w:val="single"/>
          </w:rPr>
          <w:t>SBI</w:t>
        </w:r>
      </w:hyperlink>
      <w:r>
        <w:rPr>
          <w:color w:val="2D3748"/>
          <w:sz w:val="22"/>
        </w:rPr>
        <w:t xml:space="preserve">, </w:t>
      </w:r>
      <w:hyperlink r:id="rId7">
        <w:r>
          <w:rPr>
            <w:rStyle w:val="ListLabel1"/>
            <w:rFonts w:cs="Arial"/>
            <w:color w:val="1E56A0"/>
            <w:sz w:val="22"/>
            <w:szCs w:val="22"/>
            <w:u w:val="single"/>
          </w:rPr>
          <w:t>Bank of India</w:t>
        </w:r>
      </w:hyperlink>
      <w:r>
        <w:rPr>
          <w:color w:val="2D3748"/>
          <w:sz w:val="22"/>
        </w:rPr>
        <w:t xml:space="preserve">, and </w:t>
      </w:r>
      <w:hyperlink r:id="rId8">
        <w:r>
          <w:rPr>
            <w:rStyle w:val="ListLabel1"/>
            <w:rFonts w:cs="Arial"/>
            <w:color w:val="1E56A0"/>
            <w:sz w:val="22"/>
            <w:szCs w:val="22"/>
            <w:u w:val="single"/>
          </w:rPr>
          <w:t>Canara Bank</w:t>
        </w:r>
      </w:hyperlink>
      <w:r>
        <w:rPr>
          <w:color w:val="2D3748"/>
          <w:sz w:val="22"/>
        </w:rPr>
        <w:t xml:space="preserve">), Private Sector Banks (such as </w:t>
      </w:r>
      <w:hyperlink r:id="rId9">
        <w:r>
          <w:rPr>
            <w:rStyle w:val="ListLabel1"/>
            <w:rFonts w:cs="Arial"/>
            <w:color w:val="1E56A0"/>
            <w:sz w:val="22"/>
            <w:szCs w:val="22"/>
            <w:u w:val="single"/>
          </w:rPr>
          <w:t>HDFC Bank</w:t>
        </w:r>
      </w:hyperlink>
      <w:r>
        <w:rPr>
          <w:color w:val="2D3748"/>
          <w:sz w:val="22"/>
        </w:rPr>
        <w:t xml:space="preserve"> and </w:t>
      </w:r>
      <w:hyperlink r:id="rId10">
        <w:r>
          <w:rPr>
            <w:rStyle w:val="ListLabel1"/>
            <w:rFonts w:cs="Arial"/>
            <w:color w:val="1E56A0"/>
            <w:sz w:val="22"/>
            <w:szCs w:val="22"/>
            <w:u w:val="single"/>
          </w:rPr>
          <w:t>ICICI Bank</w:t>
        </w:r>
      </w:hyperlink>
      <w:r>
        <w:rPr>
          <w:color w:val="2D3748"/>
          <w:sz w:val="22"/>
        </w:rPr>
        <w:t>), Regional Rural Banks, Small Finance Banks, and eligible NBFCs.</w:t>
      </w:r>
    </w:p>
    <w:p>
      <w:pPr>
        <w:pStyle w:val="Normal"/>
        <w:spacing w:lineRule="auto" w:line="276" w:before="0" w:after="120"/>
        <w:rPr/>
      </w:pPr>
      <w:r>
        <w:rPr>
          <w:color w:val="2D3748"/>
          <w:sz w:val="22"/>
        </w:rPr>
        <w:t xml:space="preserve">When an eligible MSE applies for a collateral-free loan, the lending bank evaluates commercial viability and links the sanctioned credit facility to the CGTMSE portal to generate a unique </w:t>
      </w:r>
      <w:r>
        <w:rPr>
          <w:b/>
          <w:color w:val="2D3748"/>
          <w:sz w:val="22"/>
        </w:rPr>
        <w:t>Credit Guarantee Permanent Account Number (CGPAN)</w:t>
      </w:r>
      <w:r>
        <w:rPr>
          <w:color w:val="2D3748"/>
          <w:sz w:val="22"/>
        </w:rPr>
        <w:t>. If the borrower defaults and the account turns into a Non-Performing Asset (NPA), CGTMSE reimburses the lender for the guaranteed portion of the principal default (75% to 90% depending on the borrower category). Eligible credit facilities include:</w:t>
      </w:r>
    </w:p>
    <w:p>
      <w:pPr>
        <w:pStyle w:val="ListBullet"/>
        <w:numPr>
          <w:ilvl w:val="0"/>
          <w:numId w:val="1"/>
        </w:numPr>
        <w:spacing w:lineRule="auto" w:line="276" w:before="20" w:after="60"/>
        <w:contextualSpacing/>
        <w:rPr/>
      </w:pPr>
      <w:r>
        <w:rPr>
          <w:b/>
          <w:color w:val="2D3748"/>
          <w:sz w:val="22"/>
        </w:rPr>
        <w:t xml:space="preserve">Term Loans (TL): </w:t>
      </w:r>
      <w:r>
        <w:rPr>
          <w:color w:val="2D3748"/>
          <w:sz w:val="22"/>
        </w:rPr>
        <w:t>Capital expenditure for purchasing industrial machinery, CNC equipment, commercial equipment, factory expansion, or office modernization.</w:t>
      </w:r>
    </w:p>
    <w:p>
      <w:pPr>
        <w:pStyle w:val="ListBullet"/>
        <w:numPr>
          <w:ilvl w:val="0"/>
          <w:numId w:val="1"/>
        </w:numPr>
        <w:spacing w:lineRule="auto" w:line="276" w:before="20" w:after="60"/>
        <w:contextualSpacing/>
        <w:rPr/>
      </w:pPr>
      <w:r>
        <w:rPr>
          <w:b/>
          <w:color w:val="2D3748"/>
          <w:sz w:val="22"/>
        </w:rPr>
        <w:t xml:space="preserve">Working Capital Facilities (WC): </w:t>
      </w:r>
      <w:r>
        <w:rPr>
          <w:color w:val="2D3748"/>
          <w:sz w:val="22"/>
        </w:rPr>
        <w:t>Fund-based Cash Credit (CC) limits, Overdraft (OD) limits, and composite facilities (combining term loan and working capital) to finance raw material inventory and receivables.</w:t>
      </w:r>
    </w:p>
    <w:p>
      <w:pPr>
        <w:pStyle w:val="ListBullet"/>
        <w:numPr>
          <w:ilvl w:val="0"/>
          <w:numId w:val="1"/>
        </w:numPr>
        <w:spacing w:lineRule="auto" w:line="276" w:before="20" w:after="140"/>
        <w:contextualSpacing/>
        <w:rPr/>
      </w:pPr>
      <w:r>
        <w:rPr>
          <w:b/>
          <w:color w:val="2D3748"/>
          <w:sz w:val="22"/>
        </w:rPr>
        <w:t xml:space="preserve">Non-Fund-Based Limits (Composite): </w:t>
      </w:r>
      <w:r>
        <w:rPr>
          <w:color w:val="2D3748"/>
          <w:sz w:val="22"/>
        </w:rPr>
        <w:t>Letters of Credit (LC) and Bank Guarantees (BG) when sanctioned alongside fund-based working capital or term facilities within the overall ₹10 Crore guarantee ceiling.</w:t>
      </w:r>
    </w:p>
    <w:p>
      <w:pPr>
        <w:pStyle w:val="Normal"/>
        <w:keepNext w:val="true"/>
        <w:spacing w:before="280" w:after="80"/>
        <w:rPr/>
      </w:pPr>
      <w:r>
        <w:rPr>
          <w:b/>
          <w:color w:val="1E56A0"/>
          <w:sz w:val="28"/>
        </w:rPr>
        <w:t>3. CGTMSE Eligibility Criteria: Who Qualifies &amp; Who Is Excluded?</w:t>
      </w:r>
    </w:p>
    <w:p>
      <w:pPr>
        <w:pStyle w:val="Normal"/>
        <w:spacing w:lineRule="auto" w:line="276" w:before="0" w:after="120"/>
        <w:rPr/>
      </w:pPr>
      <w:r>
        <w:rPr>
          <w:color w:val="2D3748"/>
          <w:sz w:val="22"/>
        </w:rPr>
        <w:t xml:space="preserve">Meeting </w:t>
      </w:r>
      <w:r>
        <w:rPr>
          <w:b/>
          <w:color w:val="2D3748"/>
          <w:sz w:val="22"/>
        </w:rPr>
        <w:t>CGTMSE eligibility</w:t>
      </w:r>
      <w:r>
        <w:rPr>
          <w:color w:val="2D3748"/>
          <w:sz w:val="22"/>
        </w:rPr>
        <w:t xml:space="preserve"> requires satisfying both the statutory scheme rules set by the Trust and the internal credit underwriting norms of the lending bank:</w:t>
      </w:r>
    </w:p>
    <w:p>
      <w:pPr>
        <w:pStyle w:val="ListBullet"/>
        <w:numPr>
          <w:ilvl w:val="0"/>
          <w:numId w:val="1"/>
        </w:numPr>
        <w:spacing w:lineRule="auto" w:line="276" w:before="20" w:after="60"/>
        <w:contextualSpacing/>
        <w:rPr/>
      </w:pPr>
      <w:r>
        <w:rPr>
          <w:b/>
          <w:color w:val="2D3748"/>
          <w:sz w:val="22"/>
        </w:rPr>
        <w:t xml:space="preserve">Valid Udyam Registration (Micro &amp; Small Enterprises Only): </w:t>
      </w:r>
      <w:r>
        <w:rPr>
          <w:color w:val="2D3748"/>
          <w:sz w:val="22"/>
        </w:rPr>
        <w:t xml:space="preserve">The applicant must hold an active </w:t>
      </w:r>
      <w:hyperlink r:id="rId11">
        <w:r>
          <w:rPr>
            <w:rStyle w:val="ListLabel1"/>
            <w:rFonts w:cs="Arial"/>
            <w:color w:val="1E56A0"/>
            <w:sz w:val="22"/>
            <w:szCs w:val="22"/>
            <w:u w:val="single"/>
          </w:rPr>
          <w:t>Udyam Registration Certificate</w:t>
        </w:r>
      </w:hyperlink>
      <w:r>
        <w:rPr>
          <w:color w:val="2D3748"/>
          <w:sz w:val="22"/>
        </w:rPr>
        <w:t xml:space="preserve"> classifying the unit as a Micro Enterprise (investment up to ₹1 Crore and turnover up to ₹5 Crore) or a Small Enterprise (investment up to ₹10 Crore and turnover up to ₹50 Crore). Medium Enterprises do not qualify under CGTMSE.</w:t>
      </w:r>
    </w:p>
    <w:p>
      <w:pPr>
        <w:pStyle w:val="ListBullet"/>
        <w:numPr>
          <w:ilvl w:val="0"/>
          <w:numId w:val="1"/>
        </w:numPr>
        <w:spacing w:lineRule="auto" w:line="276" w:before="20" w:after="60"/>
        <w:contextualSpacing/>
        <w:rPr/>
      </w:pPr>
      <w:r>
        <w:rPr>
          <w:b/>
          <w:color w:val="2D3748"/>
          <w:sz w:val="22"/>
        </w:rPr>
        <w:t xml:space="preserve">Eligible Business Constitutions: </w:t>
      </w:r>
      <w:r>
        <w:rPr>
          <w:color w:val="2D3748"/>
          <w:sz w:val="22"/>
        </w:rPr>
        <w:t>Sole Proprietorships, Partnership Firms, Limited Liability Partnerships (LLPs), Private Limited Companies, Public Limited Companies, and Registered Co-operative Societies.</w:t>
      </w:r>
    </w:p>
    <w:p>
      <w:pPr>
        <w:pStyle w:val="ListBullet"/>
        <w:numPr>
          <w:ilvl w:val="0"/>
          <w:numId w:val="1"/>
        </w:numPr>
        <w:spacing w:lineRule="auto" w:line="276" w:before="20" w:after="60"/>
        <w:contextualSpacing/>
        <w:rPr/>
      </w:pPr>
      <w:r>
        <w:rPr>
          <w:b/>
          <w:color w:val="2D3748"/>
          <w:sz w:val="22"/>
        </w:rPr>
        <w:t xml:space="preserve">Permitted Economic Sectors: </w:t>
      </w:r>
      <w:r>
        <w:rPr>
          <w:color w:val="2D3748"/>
          <w:sz w:val="22"/>
        </w:rPr>
        <w:t>New (Greenfield) and existing (Brownfield) enterprises engaged in Manufacturing, Services, Retail Trade, Wholesale Trade, and Educational or Training Institutions.</w:t>
      </w:r>
    </w:p>
    <w:p>
      <w:pPr>
        <w:pStyle w:val="ListBullet"/>
        <w:numPr>
          <w:ilvl w:val="0"/>
          <w:numId w:val="1"/>
        </w:numPr>
        <w:spacing w:lineRule="auto" w:line="276" w:before="20" w:after="60"/>
        <w:contextualSpacing/>
        <w:rPr/>
      </w:pPr>
      <w:r>
        <w:rPr>
          <w:b/>
          <w:color w:val="2D3748"/>
          <w:sz w:val="22"/>
        </w:rPr>
        <w:t xml:space="preserve">Clean Credit Bureau &amp; Repayment Track Record: </w:t>
      </w:r>
      <w:r>
        <w:rPr>
          <w:color w:val="2D3748"/>
          <w:sz w:val="22"/>
        </w:rPr>
        <w:t>The enterprise and its promoters/directors must not be willful defaulters or hold Special Mention Account (SMA-2) or NPA status with any existing bank or financial institution. Most public and private banks look for a promoter CIBIL score of 700+ and a strong CMR (CIBIL MSME Rank of CMR-1 to CMR-4).</w:t>
      </w:r>
    </w:p>
    <w:p>
      <w:pPr>
        <w:pStyle w:val="ListBullet"/>
        <w:numPr>
          <w:ilvl w:val="0"/>
          <w:numId w:val="1"/>
        </w:numPr>
        <w:spacing w:lineRule="auto" w:line="276" w:before="20" w:after="140"/>
        <w:contextualSpacing/>
        <w:rPr/>
      </w:pPr>
      <w:r>
        <w:rPr>
          <w:b/>
          <w:color w:val="2D3748"/>
          <w:sz w:val="22"/>
        </w:rPr>
        <w:t xml:space="preserve">Statutory Exclusions: </w:t>
      </w:r>
      <w:r>
        <w:rPr>
          <w:color w:val="2D3748"/>
          <w:sz w:val="22"/>
        </w:rPr>
        <w:t xml:space="preserve">Self-Help Groups (SHGs), purely agricultural or crop loans, kisan credit cards, and credit facilities already backed by an incompatible government subsidy or deposit insurance scheme (Note: </w:t>
      </w:r>
      <w:hyperlink r:id="rId12">
        <w:r>
          <w:rPr>
            <w:rStyle w:val="ListLabel1"/>
            <w:rFonts w:cs="Arial"/>
            <w:color w:val="1E56A0"/>
            <w:sz w:val="22"/>
            <w:szCs w:val="22"/>
            <w:u w:val="single"/>
          </w:rPr>
          <w:t>DPIIT-recognized startups</w:t>
        </w:r>
      </w:hyperlink>
      <w:r>
        <w:rPr>
          <w:color w:val="2D3748"/>
          <w:sz w:val="22"/>
        </w:rPr>
        <w:t xml:space="preserve"> also have access to a separate dedicated Credit Guarantee Scheme for Startups (CGSS) offering cover up to ₹20 Crore).</w:t>
      </w:r>
    </w:p>
    <w:p>
      <w:pPr>
        <w:pStyle w:val="Normal"/>
        <w:keepNext w:val="true"/>
        <w:spacing w:before="280" w:after="80"/>
        <w:rPr/>
      </w:pPr>
      <w:r>
        <w:rPr>
          <w:b/>
          <w:color w:val="1E56A0"/>
          <w:sz w:val="28"/>
        </w:rPr>
        <w:t>4. CGTMSE Loan Limit, Guarantee Coverage &amp; Revised AGF Fee Slabs (2026)</w:t>
      </w:r>
    </w:p>
    <w:p>
      <w:pPr>
        <w:pStyle w:val="Normal"/>
        <w:spacing w:lineRule="auto" w:line="276" w:before="0" w:after="120"/>
        <w:rPr/>
      </w:pPr>
      <w:r>
        <w:rPr>
          <w:color w:val="2D3748"/>
          <w:sz w:val="22"/>
        </w:rPr>
        <w:t xml:space="preserve">Under the updated </w:t>
      </w:r>
      <w:hyperlink r:id="rId13">
        <w:r>
          <w:rPr>
            <w:rStyle w:val="ListLabel1"/>
            <w:rFonts w:cs="Arial"/>
            <w:color w:val="1E56A0"/>
            <w:sz w:val="22"/>
            <w:szCs w:val="22"/>
            <w:u w:val="single"/>
          </w:rPr>
          <w:t>CGTMSE CGS-I guidelines</w:t>
        </w:r>
      </w:hyperlink>
      <w:r>
        <w:rPr>
          <w:color w:val="2D3748"/>
          <w:sz w:val="22"/>
        </w:rPr>
        <w:t>, the extent of guarantee coverage depends on the borrower's category and credit limit, while the Annual Guarantee Fee (AGF) follows the revised tiered slab schedule effective from April 1, 2025 (charged on the guaranteed amount in Year 1 and on the outstanding balance in subsequent years, excluding GST):</w:t>
      </w:r>
    </w:p>
    <w:tbl>
      <w:tblPr>
        <w:tblW w:w="9361" w:type="dxa"/>
        <w:jc w:val="center"/>
        <w:tblInd w:w="0" w:type="dxa"/>
        <w:tblCellMar>
          <w:top w:w="100" w:type="dxa"/>
          <w:left w:w="120" w:type="dxa"/>
          <w:bottom w:w="100" w:type="dxa"/>
          <w:right w:w="120" w:type="dxa"/>
        </w:tblCellMar>
        <w:tblLook w:firstRow="1" w:noVBand="1" w:lastRow="0" w:firstColumn="1" w:lastColumn="0" w:noHBand="0" w:val="04a0"/>
      </w:tblPr>
      <w:tblGrid>
        <w:gridCol w:w="2340"/>
        <w:gridCol w:w="2340"/>
        <w:gridCol w:w="2340"/>
        <w:gridCol w:w="2340"/>
      </w:tblGrid>
      <w:tr>
        <w:trPr>
          <w:tblHeader w:val="true"/>
          <w:cantSplit w:val="true"/>
        </w:trPr>
        <w:tc>
          <w:tcPr>
            <w:tcW w:w="2340" w:type="dxa"/>
            <w:tcBorders>
              <w:top w:val="single" w:sz="6" w:space="0" w:color="102C57"/>
              <w:left w:val="single" w:sz="4" w:space="0" w:color="102C57"/>
              <w:bottom w:val="single" w:sz="6" w:space="0" w:color="102C57"/>
              <w:right w:val="single" w:sz="4" w:space="0" w:color="102C57"/>
            </w:tcBorders>
            <w:shd w:fill="102C57"/>
            <w:vAlign w:val="center"/>
          </w:tcPr>
          <w:p>
            <w:pPr>
              <w:pStyle w:val="Normal"/>
              <w:keepNext w:val="true"/>
              <w:spacing w:before="40" w:after="40"/>
              <w:rPr/>
            </w:pPr>
            <w:r>
              <w:rPr>
                <w:b/>
                <w:color w:val="FFFFFF"/>
                <w:sz w:val="21"/>
              </w:rPr>
              <w:t>Borrower Category</w:t>
            </w:r>
          </w:p>
        </w:tc>
        <w:tc>
          <w:tcPr>
            <w:tcW w:w="2340" w:type="dxa"/>
            <w:tcBorders>
              <w:top w:val="single" w:sz="6" w:space="0" w:color="102C57"/>
              <w:left w:val="single" w:sz="4" w:space="0" w:color="102C57"/>
              <w:bottom w:val="single" w:sz="6" w:space="0" w:color="102C57"/>
              <w:right w:val="single" w:sz="4" w:space="0" w:color="102C57"/>
            </w:tcBorders>
            <w:shd w:fill="102C57"/>
            <w:vAlign w:val="center"/>
          </w:tcPr>
          <w:p>
            <w:pPr>
              <w:pStyle w:val="Normal"/>
              <w:keepNext w:val="true"/>
              <w:spacing w:before="40" w:after="40"/>
              <w:rPr/>
            </w:pPr>
            <w:r>
              <w:rPr>
                <w:b/>
                <w:color w:val="FFFFFF"/>
                <w:sz w:val="21"/>
              </w:rPr>
              <w:t>Up to ₹5 Lakh</w:t>
            </w:r>
          </w:p>
        </w:tc>
        <w:tc>
          <w:tcPr>
            <w:tcW w:w="2340" w:type="dxa"/>
            <w:tcBorders>
              <w:top w:val="single" w:sz="6" w:space="0" w:color="102C57"/>
              <w:left w:val="single" w:sz="4" w:space="0" w:color="102C57"/>
              <w:bottom w:val="single" w:sz="6" w:space="0" w:color="102C57"/>
              <w:right w:val="single" w:sz="4" w:space="0" w:color="102C57"/>
            </w:tcBorders>
            <w:shd w:fill="102C57"/>
            <w:vAlign w:val="center"/>
          </w:tcPr>
          <w:p>
            <w:pPr>
              <w:pStyle w:val="Normal"/>
              <w:keepNext w:val="true"/>
              <w:spacing w:before="40" w:after="40"/>
              <w:rPr/>
            </w:pPr>
            <w:r>
              <w:rPr>
                <w:b/>
                <w:color w:val="FFFFFF"/>
                <w:sz w:val="21"/>
              </w:rPr>
              <w:t>Above ₹5 Lakh to ₹50 Lakh</w:t>
            </w:r>
          </w:p>
        </w:tc>
        <w:tc>
          <w:tcPr>
            <w:tcW w:w="2340" w:type="dxa"/>
            <w:tcBorders>
              <w:top w:val="single" w:sz="6" w:space="0" w:color="102C57"/>
              <w:left w:val="single" w:sz="4" w:space="0" w:color="102C57"/>
              <w:bottom w:val="single" w:sz="6" w:space="0" w:color="102C57"/>
              <w:right w:val="single" w:sz="4" w:space="0" w:color="102C57"/>
            </w:tcBorders>
            <w:shd w:fill="102C57"/>
            <w:vAlign w:val="center"/>
          </w:tcPr>
          <w:p>
            <w:pPr>
              <w:pStyle w:val="Normal"/>
              <w:keepNext w:val="true"/>
              <w:spacing w:before="40" w:after="40"/>
              <w:rPr/>
            </w:pPr>
            <w:r>
              <w:rPr>
                <w:b/>
                <w:color w:val="FFFFFF"/>
                <w:sz w:val="21"/>
              </w:rPr>
              <w:t>Above ₹50 Lakh to ₹10 Crore</w:t>
            </w:r>
          </w:p>
        </w:tc>
      </w:tr>
      <w:tr>
        <w:trPr>
          <w:cantSplit w:val="true"/>
        </w:trPr>
        <w:tc>
          <w:tcPr>
            <w:tcW w:w="2340"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color w:val="102C57"/>
                <w:sz w:val="20"/>
              </w:rPr>
              <w:t>Micro Enterprises (General)</w:t>
            </w:r>
          </w:p>
        </w:tc>
        <w:tc>
          <w:tcPr>
            <w:tcW w:w="2340"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val="false"/>
                <w:color w:val="2D3748"/>
                <w:sz w:val="20"/>
              </w:rPr>
              <w:t>85%</w:t>
            </w:r>
          </w:p>
        </w:tc>
        <w:tc>
          <w:tcPr>
            <w:tcW w:w="2340"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val="false"/>
                <w:color w:val="2D3748"/>
                <w:sz w:val="20"/>
              </w:rPr>
              <w:t>75%</w:t>
            </w:r>
          </w:p>
        </w:tc>
        <w:tc>
          <w:tcPr>
            <w:tcW w:w="2340"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val="false"/>
                <w:color w:val="2D3748"/>
                <w:sz w:val="20"/>
              </w:rPr>
              <w:t>75%</w:t>
            </w:r>
          </w:p>
        </w:tc>
      </w:tr>
      <w:tr>
        <w:trPr>
          <w:cantSplit w:val="true"/>
        </w:trPr>
        <w:tc>
          <w:tcPr>
            <w:tcW w:w="2340"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color w:val="102C57"/>
                <w:sz w:val="20"/>
              </w:rPr>
              <w:t>Small Enterprises (General) &amp; Retail/MSE Trading</w:t>
            </w:r>
          </w:p>
        </w:tc>
        <w:tc>
          <w:tcPr>
            <w:tcW w:w="2340"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val="false"/>
                <w:color w:val="2D3748"/>
                <w:sz w:val="20"/>
              </w:rPr>
              <w:t>75%</w:t>
            </w:r>
          </w:p>
        </w:tc>
        <w:tc>
          <w:tcPr>
            <w:tcW w:w="2340"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val="false"/>
                <w:color w:val="2D3748"/>
                <w:sz w:val="20"/>
              </w:rPr>
              <w:t>75%</w:t>
            </w:r>
          </w:p>
        </w:tc>
        <w:tc>
          <w:tcPr>
            <w:tcW w:w="2340"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val="false"/>
                <w:color w:val="2D3748"/>
                <w:sz w:val="20"/>
              </w:rPr>
              <w:t>75%</w:t>
            </w:r>
          </w:p>
        </w:tc>
      </w:tr>
      <w:tr>
        <w:trPr>
          <w:cantSplit w:val="true"/>
        </w:trPr>
        <w:tc>
          <w:tcPr>
            <w:tcW w:w="2340"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color w:val="102C57"/>
                <w:sz w:val="20"/>
              </w:rPr>
              <w:t>Women Entrepreneurs (Owned / Led MSEs)</w:t>
            </w:r>
          </w:p>
        </w:tc>
        <w:tc>
          <w:tcPr>
            <w:tcW w:w="2340"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val="false"/>
                <w:color w:val="2D3748"/>
                <w:sz w:val="20"/>
              </w:rPr>
              <w:t>85% (Up to 90% under select schemes)</w:t>
            </w:r>
          </w:p>
        </w:tc>
        <w:tc>
          <w:tcPr>
            <w:tcW w:w="2340"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val="false"/>
                <w:color w:val="2D3748"/>
                <w:sz w:val="20"/>
              </w:rPr>
              <w:t>85%</w:t>
            </w:r>
          </w:p>
        </w:tc>
        <w:tc>
          <w:tcPr>
            <w:tcW w:w="2340"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val="false"/>
                <w:color w:val="2D3748"/>
                <w:sz w:val="20"/>
              </w:rPr>
              <w:t>85%</w:t>
            </w:r>
          </w:p>
        </w:tc>
      </w:tr>
      <w:tr>
        <w:trPr>
          <w:cantSplit w:val="true"/>
        </w:trPr>
        <w:tc>
          <w:tcPr>
            <w:tcW w:w="2340"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color w:val="102C57"/>
                <w:sz w:val="20"/>
              </w:rPr>
              <w:t>SC/ST Entrepreneurs, PwD &amp; ZED-Certified MSEs</w:t>
            </w:r>
          </w:p>
        </w:tc>
        <w:tc>
          <w:tcPr>
            <w:tcW w:w="2340"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val="false"/>
                <w:color w:val="2D3748"/>
                <w:sz w:val="20"/>
              </w:rPr>
              <w:t>85%</w:t>
            </w:r>
          </w:p>
        </w:tc>
        <w:tc>
          <w:tcPr>
            <w:tcW w:w="2340"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val="false"/>
                <w:color w:val="2D3748"/>
                <w:sz w:val="20"/>
              </w:rPr>
              <w:t>85%</w:t>
            </w:r>
          </w:p>
        </w:tc>
        <w:tc>
          <w:tcPr>
            <w:tcW w:w="2340"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val="false"/>
                <w:color w:val="2D3748"/>
                <w:sz w:val="20"/>
              </w:rPr>
              <w:t>85%</w:t>
            </w:r>
          </w:p>
        </w:tc>
      </w:tr>
      <w:tr>
        <w:trPr>
          <w:cantSplit w:val="true"/>
        </w:trPr>
        <w:tc>
          <w:tcPr>
            <w:tcW w:w="2340"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color w:val="102C57"/>
                <w:sz w:val="20"/>
              </w:rPr>
              <w:t>MSEs in North East Region (NER), J&amp;K, Ladakh &amp; Aspirational Districts</w:t>
            </w:r>
          </w:p>
        </w:tc>
        <w:tc>
          <w:tcPr>
            <w:tcW w:w="2340"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val="false"/>
                <w:color w:val="2D3748"/>
                <w:sz w:val="20"/>
              </w:rPr>
              <w:t>80% – 85%</w:t>
            </w:r>
          </w:p>
        </w:tc>
        <w:tc>
          <w:tcPr>
            <w:tcW w:w="2340"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val="false"/>
                <w:color w:val="2D3748"/>
                <w:sz w:val="20"/>
              </w:rPr>
              <w:t>80% – 85%</w:t>
            </w:r>
          </w:p>
        </w:tc>
        <w:tc>
          <w:tcPr>
            <w:tcW w:w="2340"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val="false"/>
                <w:color w:val="2D3748"/>
                <w:sz w:val="20"/>
              </w:rPr>
              <w:t>80% – 85%</w:t>
            </w:r>
          </w:p>
        </w:tc>
      </w:tr>
      <w:tr>
        <w:trPr>
          <w:cantSplit w:val="true"/>
        </w:trPr>
        <w:tc>
          <w:tcPr>
            <w:tcW w:w="2340"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color w:val="102C57"/>
                <w:sz w:val="20"/>
              </w:rPr>
              <w:t>Special Micro Provision (Credit Facility up to ₹20 Lakh)</w:t>
            </w:r>
          </w:p>
        </w:tc>
        <w:tc>
          <w:tcPr>
            <w:tcW w:w="2340"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val="false"/>
                <w:color w:val="2D3748"/>
                <w:sz w:val="20"/>
              </w:rPr>
              <w:t>85% (Up to ₹20 Lakh slab)</w:t>
            </w:r>
          </w:p>
        </w:tc>
        <w:tc>
          <w:tcPr>
            <w:tcW w:w="2340"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val="false"/>
                <w:color w:val="2D3748"/>
                <w:sz w:val="20"/>
              </w:rPr>
              <w:t>85% (Up to ₹20 Lakh slab)</w:t>
            </w:r>
          </w:p>
        </w:tc>
        <w:tc>
          <w:tcPr>
            <w:tcW w:w="2340"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val="false"/>
                <w:color w:val="2D3748"/>
                <w:sz w:val="20"/>
              </w:rPr>
              <w:t>Standard Category Slab Applies</w:t>
            </w:r>
          </w:p>
        </w:tc>
      </w:tr>
    </w:tbl>
    <w:p>
      <w:pPr>
        <w:pStyle w:val="Normal"/>
        <w:spacing w:lineRule="auto" w:line="276" w:before="0" w:after="80"/>
        <w:rPr/>
      </w:pPr>
      <w:r>
        <w:rPr>
          <w:color w:val="2D3748"/>
          <w:sz w:val="22"/>
        </w:rPr>
        <w:t xml:space="preserve">Below is the official </w:t>
      </w:r>
      <w:hyperlink r:id="rId14">
        <w:r>
          <w:rPr>
            <w:rStyle w:val="ListLabel1"/>
            <w:rFonts w:cs="Arial"/>
            <w:color w:val="1E56A0"/>
            <w:sz w:val="22"/>
            <w:szCs w:val="22"/>
            <w:u w:val="single"/>
          </w:rPr>
          <w:t>CGTMSE Annual Guarantee Fee (AGF) slab table (w.e.f. 01.04.2025)</w:t>
        </w:r>
      </w:hyperlink>
      <w:r>
        <w:rPr>
          <w:color w:val="2D3748"/>
          <w:sz w:val="22"/>
        </w:rPr>
        <w:t xml:space="preserve"> applicable to standard Member Lending Institutions:</w:t>
      </w:r>
    </w:p>
    <w:tbl>
      <w:tblPr>
        <w:tblW w:w="9359" w:type="dxa"/>
        <w:jc w:val="center"/>
        <w:tblInd w:w="0" w:type="dxa"/>
        <w:tblCellMar>
          <w:top w:w="100" w:type="dxa"/>
          <w:left w:w="120" w:type="dxa"/>
          <w:bottom w:w="100" w:type="dxa"/>
          <w:right w:w="120" w:type="dxa"/>
        </w:tblCellMar>
        <w:tblLook w:firstRow="1" w:noVBand="1" w:lastRow="0" w:firstColumn="1" w:lastColumn="0" w:noHBand="0" w:val="04a0"/>
      </w:tblPr>
      <w:tblGrid>
        <w:gridCol w:w="3119"/>
        <w:gridCol w:w="3118"/>
        <w:gridCol w:w="3122"/>
      </w:tblGrid>
      <w:tr>
        <w:trPr>
          <w:tblHeader w:val="true"/>
          <w:cantSplit w:val="true"/>
        </w:trPr>
        <w:tc>
          <w:tcPr>
            <w:tcW w:w="3119" w:type="dxa"/>
            <w:tcBorders>
              <w:top w:val="single" w:sz="6" w:space="0" w:color="102C57"/>
              <w:left w:val="single" w:sz="4" w:space="0" w:color="102C57"/>
              <w:bottom w:val="single" w:sz="6" w:space="0" w:color="102C57"/>
              <w:right w:val="single" w:sz="4" w:space="0" w:color="102C57"/>
            </w:tcBorders>
            <w:shd w:fill="102C57"/>
            <w:vAlign w:val="center"/>
          </w:tcPr>
          <w:p>
            <w:pPr>
              <w:pStyle w:val="Normal"/>
              <w:keepNext w:val="true"/>
              <w:spacing w:before="40" w:after="40"/>
              <w:rPr/>
            </w:pPr>
            <w:r>
              <w:rPr>
                <w:b/>
                <w:color w:val="FFFFFF"/>
                <w:sz w:val="21"/>
              </w:rPr>
              <w:t>Sanctioned Credit Facility Slab</w:t>
            </w:r>
          </w:p>
        </w:tc>
        <w:tc>
          <w:tcPr>
            <w:tcW w:w="3118" w:type="dxa"/>
            <w:tcBorders>
              <w:top w:val="single" w:sz="6" w:space="0" w:color="102C57"/>
              <w:left w:val="single" w:sz="4" w:space="0" w:color="102C57"/>
              <w:bottom w:val="single" w:sz="6" w:space="0" w:color="102C57"/>
              <w:right w:val="single" w:sz="4" w:space="0" w:color="102C57"/>
            </w:tcBorders>
            <w:shd w:fill="102C57"/>
            <w:vAlign w:val="center"/>
          </w:tcPr>
          <w:p>
            <w:pPr>
              <w:pStyle w:val="Normal"/>
              <w:keepNext w:val="true"/>
              <w:spacing w:before="40" w:after="40"/>
              <w:rPr/>
            </w:pPr>
            <w:r>
              <w:rPr>
                <w:b/>
                <w:color w:val="FFFFFF"/>
                <w:sz w:val="21"/>
              </w:rPr>
              <w:t>Standard AGF Rate (p.a., excl. GST)</w:t>
            </w:r>
          </w:p>
        </w:tc>
        <w:tc>
          <w:tcPr>
            <w:tcW w:w="3122" w:type="dxa"/>
            <w:tcBorders>
              <w:top w:val="single" w:sz="6" w:space="0" w:color="102C57"/>
              <w:left w:val="single" w:sz="4" w:space="0" w:color="102C57"/>
              <w:bottom w:val="single" w:sz="6" w:space="0" w:color="102C57"/>
              <w:right w:val="single" w:sz="4" w:space="0" w:color="102C57"/>
            </w:tcBorders>
            <w:shd w:fill="102C57"/>
            <w:vAlign w:val="center"/>
          </w:tcPr>
          <w:p>
            <w:pPr>
              <w:pStyle w:val="Normal"/>
              <w:keepNext w:val="true"/>
              <w:spacing w:before="40" w:after="40"/>
              <w:rPr/>
            </w:pPr>
            <w:r>
              <w:rPr>
                <w:b/>
                <w:color w:val="FFFFFF"/>
                <w:sz w:val="21"/>
              </w:rPr>
              <w:t>Special / Concession Highlights</w:t>
            </w:r>
          </w:p>
        </w:tc>
      </w:tr>
      <w:tr>
        <w:trPr>
          <w:cantSplit w:val="true"/>
        </w:trPr>
        <w:tc>
          <w:tcPr>
            <w:tcW w:w="3119"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color w:val="102C57"/>
                <w:sz w:val="20"/>
              </w:rPr>
              <w:t>Up to ₹10 Lakh</w:t>
            </w:r>
          </w:p>
        </w:tc>
        <w:tc>
          <w:tcPr>
            <w:tcW w:w="3118"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val="false"/>
                <w:color w:val="2D3748"/>
                <w:sz w:val="20"/>
              </w:rPr>
              <w:t>0.37% p.a.</w:t>
            </w:r>
          </w:p>
        </w:tc>
        <w:tc>
          <w:tcPr>
            <w:tcW w:w="3122"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val="false"/>
                <w:color w:val="2D3748"/>
                <w:sz w:val="20"/>
              </w:rPr>
              <w:t>Lowest entry slab; 10% fee concession for Women, SC/ST, NER &amp; ZED units.</w:t>
            </w:r>
          </w:p>
        </w:tc>
      </w:tr>
      <w:tr>
        <w:trPr>
          <w:cantSplit w:val="true"/>
        </w:trPr>
        <w:tc>
          <w:tcPr>
            <w:tcW w:w="3119"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color w:val="102C57"/>
                <w:sz w:val="20"/>
              </w:rPr>
              <w:t>Above ₹10 Lakh to ₹50 Lakh</w:t>
            </w:r>
          </w:p>
        </w:tc>
        <w:tc>
          <w:tcPr>
            <w:tcW w:w="3118"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val="false"/>
                <w:color w:val="2D3748"/>
                <w:sz w:val="20"/>
              </w:rPr>
              <w:t>0.55% p.a. (0.45% under Special ≤₹20L rule)</w:t>
            </w:r>
          </w:p>
        </w:tc>
        <w:tc>
          <w:tcPr>
            <w:tcW w:w="3122"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val="false"/>
                <w:color w:val="2D3748"/>
                <w:sz w:val="20"/>
              </w:rPr>
              <w:t>Primary security creation waived under special provision up to ₹20 Lakh.</w:t>
            </w:r>
          </w:p>
        </w:tc>
      </w:tr>
      <w:tr>
        <w:trPr>
          <w:cantSplit w:val="true"/>
        </w:trPr>
        <w:tc>
          <w:tcPr>
            <w:tcW w:w="3119"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color w:val="102C57"/>
                <w:sz w:val="20"/>
              </w:rPr>
              <w:t>Above ₹50 Lakh to ₹1 Crore</w:t>
            </w:r>
          </w:p>
        </w:tc>
        <w:tc>
          <w:tcPr>
            <w:tcW w:w="3118"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val="false"/>
                <w:color w:val="2D3748"/>
                <w:sz w:val="20"/>
              </w:rPr>
              <w:t>0.60% p.a.</w:t>
            </w:r>
          </w:p>
        </w:tc>
        <w:tc>
          <w:tcPr>
            <w:tcW w:w="3122"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val="false"/>
                <w:color w:val="2D3748"/>
                <w:sz w:val="20"/>
              </w:rPr>
              <w:t>Ideal for growing working capital (CC/OD) and machinery term loans.</w:t>
            </w:r>
          </w:p>
        </w:tc>
      </w:tr>
      <w:tr>
        <w:trPr>
          <w:cantSplit w:val="true"/>
        </w:trPr>
        <w:tc>
          <w:tcPr>
            <w:tcW w:w="3119"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color w:val="102C57"/>
                <w:sz w:val="20"/>
              </w:rPr>
              <w:t>Above ₹1 Crore to ₹2 Crore</w:t>
            </w:r>
          </w:p>
        </w:tc>
        <w:tc>
          <w:tcPr>
            <w:tcW w:w="3118"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val="false"/>
                <w:color w:val="2D3748"/>
                <w:sz w:val="20"/>
              </w:rPr>
              <w:t>0.85% p.a.</w:t>
            </w:r>
          </w:p>
        </w:tc>
        <w:tc>
          <w:tcPr>
            <w:tcW w:w="3122"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val="false"/>
                <w:color w:val="2D3748"/>
                <w:sz w:val="20"/>
              </w:rPr>
              <w:t>Eligible for 2% interest subvention on green loans under SIDBI MSE-GIFT.</w:t>
            </w:r>
          </w:p>
        </w:tc>
      </w:tr>
      <w:tr>
        <w:trPr>
          <w:cantSplit w:val="true"/>
        </w:trPr>
        <w:tc>
          <w:tcPr>
            <w:tcW w:w="3119"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color w:val="102C57"/>
                <w:sz w:val="20"/>
              </w:rPr>
              <w:t>Above ₹2 Crore to ₹5 Crore</w:t>
            </w:r>
          </w:p>
        </w:tc>
        <w:tc>
          <w:tcPr>
            <w:tcW w:w="3118"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val="false"/>
                <w:color w:val="2D3748"/>
                <w:sz w:val="20"/>
              </w:rPr>
              <w:t>1.00% p.a.</w:t>
            </w:r>
          </w:p>
        </w:tc>
        <w:tc>
          <w:tcPr>
            <w:tcW w:w="3122"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val="false"/>
                <w:color w:val="2D3748"/>
                <w:sz w:val="20"/>
              </w:rPr>
              <w:t>Covers mid-market manufacturing and service expansion projects.</w:t>
            </w:r>
          </w:p>
        </w:tc>
      </w:tr>
      <w:tr>
        <w:trPr>
          <w:cantSplit w:val="true"/>
        </w:trPr>
        <w:tc>
          <w:tcPr>
            <w:tcW w:w="3119"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color w:val="102C57"/>
                <w:sz w:val="20"/>
              </w:rPr>
              <w:t>Above ₹5 Crore to ₹8 Crore</w:t>
            </w:r>
          </w:p>
        </w:tc>
        <w:tc>
          <w:tcPr>
            <w:tcW w:w="3118"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val="false"/>
                <w:color w:val="2D3748"/>
                <w:sz w:val="20"/>
              </w:rPr>
              <w:t>1.10% p.a.</w:t>
            </w:r>
          </w:p>
        </w:tc>
        <w:tc>
          <w:tcPr>
            <w:tcW w:w="3122"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val="false"/>
                <w:color w:val="2D3748"/>
                <w:sz w:val="20"/>
              </w:rPr>
              <w:t>Expanded high-ticket tier introduced under the ₹10 Crore ceiling hike.</w:t>
            </w:r>
          </w:p>
        </w:tc>
      </w:tr>
      <w:tr>
        <w:trPr>
          <w:cantSplit w:val="true"/>
        </w:trPr>
        <w:tc>
          <w:tcPr>
            <w:tcW w:w="3119"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color w:val="102C57"/>
                <w:sz w:val="20"/>
              </w:rPr>
              <w:t>Above ₹8 Crore to ₹10 Crore</w:t>
            </w:r>
          </w:p>
        </w:tc>
        <w:tc>
          <w:tcPr>
            <w:tcW w:w="3118"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val="false"/>
                <w:color w:val="2D3748"/>
                <w:sz w:val="20"/>
              </w:rPr>
              <w:t>1.20% p.a.</w:t>
            </w:r>
          </w:p>
        </w:tc>
        <w:tc>
          <w:tcPr>
            <w:tcW w:w="3122"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val="false"/>
                <w:color w:val="2D3748"/>
                <w:sz w:val="20"/>
              </w:rPr>
              <w:t>Maximum CGTMSE collateral-free or Hybrid Security coverage ceiling.</w:t>
            </w:r>
          </w:p>
        </w:tc>
      </w:tr>
    </w:tbl>
    <w:p>
      <w:pPr>
        <w:pStyle w:val="Normal"/>
        <w:keepNext w:val="true"/>
        <w:spacing w:before="280" w:after="80"/>
        <w:rPr/>
      </w:pPr>
      <w:r>
        <w:rPr>
          <w:b/>
          <w:color w:val="1E56A0"/>
          <w:sz w:val="28"/>
        </w:rPr>
        <w:t>5. Hybrid Security &amp; Special Category Concessions</w:t>
      </w:r>
    </w:p>
    <w:p>
      <w:pPr>
        <w:pStyle w:val="Normal"/>
        <w:spacing w:lineRule="auto" w:line="276" w:before="0" w:after="120"/>
        <w:rPr/>
      </w:pPr>
      <w:r>
        <w:rPr>
          <w:color w:val="2D3748"/>
          <w:sz w:val="22"/>
        </w:rPr>
        <w:t>Many business owners mistakenly believe that possessing partial collateral disqualifies them from CGTMSE, or that all borrowers pay identical guarantee fees. Two high-impact provisions every founder should utilize in 2026 are:</w:t>
      </w:r>
    </w:p>
    <w:p>
      <w:pPr>
        <w:pStyle w:val="ListBullet"/>
        <w:numPr>
          <w:ilvl w:val="0"/>
          <w:numId w:val="1"/>
        </w:numPr>
        <w:spacing w:lineRule="auto" w:line="276" w:before="20" w:after="60"/>
        <w:contextualSpacing/>
        <w:rPr/>
      </w:pPr>
      <w:r>
        <w:rPr>
          <w:b/>
          <w:color w:val="2D3748"/>
          <w:sz w:val="22"/>
        </w:rPr>
        <w:t xml:space="preserve">The Hybrid Security Model (Partial Collateral + CGTMSE Cover): </w:t>
      </w:r>
      <w:r>
        <w:rPr>
          <w:color w:val="2D3748"/>
          <w:sz w:val="22"/>
        </w:rPr>
        <w:t>Introduced to help banks sanction higher credit limits comfortably, Hybrid Security allows a bank to take tangible collateral security (such as a commercial plot or factory shed worth ₹3 Crore) for one part of a ₹12 Crore loan, while covering the remaining ₹9 Crore uncollateralized portion under CGTMSE (up to the ₹10 Crore guarantee cap). CGTMSE holds only a notional charge on the collateral.</w:t>
      </w:r>
    </w:p>
    <w:p>
      <w:pPr>
        <w:pStyle w:val="ListBullet"/>
        <w:numPr>
          <w:ilvl w:val="0"/>
          <w:numId w:val="1"/>
        </w:numPr>
        <w:spacing w:lineRule="auto" w:line="276" w:before="20" w:after="140"/>
        <w:contextualSpacing/>
        <w:rPr/>
      </w:pPr>
      <w:r>
        <w:rPr>
          <w:b/>
          <w:color w:val="2D3748"/>
          <w:sz w:val="22"/>
        </w:rPr>
        <w:t xml:space="preserve">10% AGF Concession &amp; 85%–90% Coverage for Priority Groups: </w:t>
      </w:r>
      <w:r>
        <w:rPr>
          <w:color w:val="2D3748"/>
          <w:sz w:val="22"/>
        </w:rPr>
        <w:t xml:space="preserve">As highlighted by </w:t>
      </w:r>
      <w:hyperlink r:id="rId15">
        <w:r>
          <w:rPr>
            <w:rStyle w:val="ListLabel1"/>
            <w:rFonts w:cs="Arial"/>
            <w:color w:val="1E56A0"/>
            <w:sz w:val="22"/>
            <w:szCs w:val="22"/>
            <w:u w:val="single"/>
          </w:rPr>
          <w:t>SIDBI's Women Entrepreneur Credit Guarantee guidelines</w:t>
        </w:r>
      </w:hyperlink>
      <w:r>
        <w:rPr>
          <w:color w:val="2D3748"/>
          <w:sz w:val="22"/>
        </w:rPr>
        <w:t>, MSEs owned/led by women entrepreneurs, SC/ST entrepreneurs, units in Aspirational Districts or North-Eastern states, and MSMEs holding a valid Zero Defect Zero Effect (ZED) certification receive a 10% discount on the standard Annual Guarantee Fee alongside enhanced guarantee coverage of 85% (and up to 90% in states that have signed state-level co-guarantee agreements with CGTMSE).</w:t>
      </w:r>
    </w:p>
    <w:p>
      <w:pPr>
        <w:pStyle w:val="Normal"/>
        <w:keepNext w:val="true"/>
        <w:spacing w:before="280" w:after="80"/>
        <w:rPr/>
      </w:pPr>
      <w:r>
        <w:rPr>
          <w:b/>
          <w:color w:val="1E56A0"/>
          <w:sz w:val="28"/>
        </w:rPr>
        <w:t>6. Mandatory CGTMSE Documents Checklist &amp; Step-by-Step Sanction Workflow</w:t>
      </w:r>
    </w:p>
    <w:p>
      <w:pPr>
        <w:pStyle w:val="Normal"/>
        <w:spacing w:lineRule="auto" w:line="276" w:before="0" w:after="120"/>
        <w:rPr/>
      </w:pPr>
      <w:r>
        <w:rPr>
          <w:color w:val="2D3748"/>
          <w:sz w:val="22"/>
        </w:rPr>
        <w:t xml:space="preserve">Because collateral-free lending relies entirely on cash-flow viability, assembling a complete </w:t>
      </w:r>
      <w:r>
        <w:rPr>
          <w:b/>
          <w:color w:val="2D3748"/>
          <w:sz w:val="22"/>
        </w:rPr>
        <w:t>CGTMSE documents</w:t>
      </w:r>
      <w:r>
        <w:rPr>
          <w:color w:val="2D3748"/>
          <w:sz w:val="22"/>
        </w:rPr>
        <w:t xml:space="preserve"> dossier before approaching a Member Lending Institution is critical:</w:t>
      </w:r>
    </w:p>
    <w:p>
      <w:pPr>
        <w:pStyle w:val="ListBullet"/>
        <w:numPr>
          <w:ilvl w:val="0"/>
          <w:numId w:val="1"/>
        </w:numPr>
        <w:spacing w:lineRule="auto" w:line="276" w:before="20" w:after="60"/>
        <w:contextualSpacing/>
        <w:rPr/>
      </w:pPr>
      <w:r>
        <w:rPr>
          <w:b/>
          <w:color w:val="2D3748"/>
          <w:sz w:val="22"/>
        </w:rPr>
        <w:t xml:space="preserve">1. Statutory &amp; Entity KYC Documents: </w:t>
      </w:r>
      <w:r>
        <w:rPr>
          <w:color w:val="2D3748"/>
          <w:sz w:val="22"/>
        </w:rPr>
        <w:t xml:space="preserve">Active </w:t>
      </w:r>
      <w:hyperlink r:id="rId16">
        <w:r>
          <w:rPr>
            <w:rStyle w:val="ListLabel1"/>
            <w:rFonts w:cs="Arial"/>
            <w:color w:val="1E56A0"/>
            <w:sz w:val="22"/>
            <w:szCs w:val="22"/>
            <w:u w:val="single"/>
          </w:rPr>
          <w:t>Udyam Registration Certificate</w:t>
        </w:r>
      </w:hyperlink>
      <w:r>
        <w:rPr>
          <w:color w:val="2D3748"/>
          <w:sz w:val="22"/>
        </w:rPr>
        <w:t>, PAN and Aadhaar of promoters/directors, Partnership Deed or Certificate of Incorporation (MOA/AOA), and business premises proof (ownership deed or registered lease agreement).</w:t>
      </w:r>
    </w:p>
    <w:p>
      <w:pPr>
        <w:pStyle w:val="ListBullet"/>
        <w:numPr>
          <w:ilvl w:val="0"/>
          <w:numId w:val="1"/>
        </w:numPr>
        <w:spacing w:lineRule="auto" w:line="276" w:before="20" w:after="60"/>
        <w:contextualSpacing/>
        <w:rPr/>
      </w:pPr>
      <w:r>
        <w:rPr>
          <w:b/>
          <w:color w:val="2D3748"/>
          <w:sz w:val="22"/>
        </w:rPr>
        <w:t xml:space="preserve">2. Historical Financial &amp; Tax Records: </w:t>
      </w:r>
      <w:r>
        <w:rPr>
          <w:color w:val="2D3748"/>
          <w:sz w:val="22"/>
        </w:rPr>
        <w:t>Last 2 to 3 years of Audited Financial Statements (Balance Sheet, Profit &amp; Loss, Audit Report under Section 44AB where applicable), Income Tax Returns (ITRs), 12 months of GSTR-1 and GSTR-3B filings, and 6 to 12 months of primary current account bank statements.</w:t>
      </w:r>
    </w:p>
    <w:p>
      <w:pPr>
        <w:pStyle w:val="ListBullet"/>
        <w:numPr>
          <w:ilvl w:val="0"/>
          <w:numId w:val="1"/>
        </w:numPr>
        <w:spacing w:lineRule="auto" w:line="276" w:before="20" w:after="60"/>
        <w:contextualSpacing/>
        <w:rPr/>
      </w:pPr>
      <w:r>
        <w:rPr>
          <w:b/>
          <w:color w:val="2D3748"/>
          <w:sz w:val="22"/>
        </w:rPr>
        <w:t xml:space="preserve">3. Detailed Project Report (DPR) &amp; CMA Data: </w:t>
      </w:r>
      <w:r>
        <w:rPr>
          <w:color w:val="2D3748"/>
          <w:sz w:val="22"/>
        </w:rPr>
        <w:t>A bank-grade DPR and Credit Monitoring Arrangement (CMA) spreadsheet showing 3-to-5-year projected cash flows, Debt Service Coverage Ratio (DSCR ideally ≥ 1.50x), working capital cycle assumptions, and proforma machinery quotations from OEM vendors.</w:t>
      </w:r>
    </w:p>
    <w:p>
      <w:pPr>
        <w:pStyle w:val="ListBullet"/>
        <w:numPr>
          <w:ilvl w:val="0"/>
          <w:numId w:val="1"/>
        </w:numPr>
        <w:spacing w:lineRule="auto" w:line="276" w:before="20" w:after="140"/>
        <w:contextualSpacing/>
        <w:rPr/>
      </w:pPr>
      <w:r>
        <w:rPr>
          <w:b/>
          <w:color w:val="2D3748"/>
          <w:sz w:val="22"/>
        </w:rPr>
        <w:t xml:space="preserve">4. Bank Sanction &amp; CGPAN Generation Workflow: </w:t>
      </w:r>
      <w:r>
        <w:rPr>
          <w:color w:val="2D3748"/>
          <w:sz w:val="22"/>
        </w:rPr>
        <w:t xml:space="preserve">Submit your application via your primary relationship bank or digital MSME portals such as </w:t>
      </w:r>
      <w:hyperlink r:id="rId17">
        <w:r>
          <w:rPr>
            <w:rStyle w:val="ListLabel1"/>
            <w:rFonts w:cs="Arial"/>
            <w:color w:val="1E56A0"/>
            <w:sz w:val="22"/>
            <w:szCs w:val="22"/>
            <w:u w:val="single"/>
          </w:rPr>
          <w:t>PSB Loans in 59 Minutes</w:t>
        </w:r>
      </w:hyperlink>
      <w:r>
        <w:rPr>
          <w:color w:val="2D3748"/>
          <w:sz w:val="22"/>
        </w:rPr>
        <w:t xml:space="preserve"> or </w:t>
      </w:r>
      <w:hyperlink r:id="rId18">
        <w:r>
          <w:rPr>
            <w:rStyle w:val="ListLabel1"/>
            <w:rFonts w:cs="Arial"/>
            <w:color w:val="1E56A0"/>
            <w:sz w:val="22"/>
            <w:szCs w:val="22"/>
            <w:u w:val="single"/>
          </w:rPr>
          <w:t>JanSamarth</w:t>
        </w:r>
      </w:hyperlink>
      <w:r>
        <w:rPr>
          <w:color w:val="2D3748"/>
          <w:sz w:val="22"/>
        </w:rPr>
        <w:t>. Once the bank's credit committee sanctions the facility without collateral, the branch uploads the proposal on the CGTMSE portal, generates the CGPAN, remits the upfront Year-1 AGF within 30 days of demand generation, and disburses the loan.</w:t>
      </w:r>
    </w:p>
    <w:p>
      <w:pPr>
        <w:pStyle w:val="Normal"/>
        <w:keepNext w:val="true"/>
        <w:spacing w:before="280" w:after="80"/>
        <w:rPr/>
      </w:pPr>
      <w:r>
        <w:rPr>
          <w:b/>
          <w:color w:val="1E56A0"/>
          <w:sz w:val="28"/>
        </w:rPr>
        <w:t>7. 5 Costly Mistakes That Trigger CGTMSE Loan Rejections</w:t>
      </w:r>
    </w:p>
    <w:p>
      <w:pPr>
        <w:pStyle w:val="ListBullet"/>
        <w:numPr>
          <w:ilvl w:val="0"/>
          <w:numId w:val="1"/>
        </w:numPr>
        <w:spacing w:lineRule="auto" w:line="276" w:before="20" w:after="60"/>
        <w:contextualSpacing/>
        <w:rPr/>
      </w:pPr>
      <w:r>
        <w:rPr>
          <w:b/>
          <w:color w:val="2D3748"/>
          <w:sz w:val="22"/>
        </w:rPr>
        <w:t xml:space="preserve">1. Mismatch Between Udyam NIC Codes &amp; Loan Purpose: </w:t>
      </w:r>
      <w:r>
        <w:rPr>
          <w:color w:val="2D3748"/>
          <w:sz w:val="22"/>
        </w:rPr>
        <w:t>Applying for a manufacturing machinery term loan when your Udyam certificate lists only wholesale/retail trading NIC codes causes instant compliance flags during bank scrutiny.</w:t>
      </w:r>
    </w:p>
    <w:p>
      <w:pPr>
        <w:pStyle w:val="ListBullet"/>
        <w:numPr>
          <w:ilvl w:val="0"/>
          <w:numId w:val="1"/>
        </w:numPr>
        <w:spacing w:lineRule="auto" w:line="276" w:before="20" w:after="60"/>
        <w:contextualSpacing/>
        <w:rPr/>
      </w:pPr>
      <w:r>
        <w:rPr>
          <w:b/>
          <w:color w:val="2D3748"/>
          <w:sz w:val="22"/>
        </w:rPr>
        <w:t xml:space="preserve">2. Inflated CMA Projections &amp; Weak DSCR: </w:t>
      </w:r>
      <w:r>
        <w:rPr>
          <w:color w:val="2D3748"/>
          <w:sz w:val="22"/>
        </w:rPr>
        <w:t>Submitting unrealistic revenue jumps (e.g., 300% YoY growth without backing purchase orders or letters of intent) or a projected DSCR below 1.25x leads credit officers to reject the file as commercially unviable.</w:t>
      </w:r>
    </w:p>
    <w:p>
      <w:pPr>
        <w:pStyle w:val="ListBullet"/>
        <w:numPr>
          <w:ilvl w:val="0"/>
          <w:numId w:val="1"/>
        </w:numPr>
        <w:spacing w:lineRule="auto" w:line="276" w:before="20" w:after="60"/>
        <w:contextualSpacing/>
        <w:rPr/>
      </w:pPr>
      <w:r>
        <w:rPr>
          <w:b/>
          <w:color w:val="2D3748"/>
          <w:sz w:val="22"/>
        </w:rPr>
        <w:t xml:space="preserve">3. GST vs. Bank Statement Turnover Discrepancies: </w:t>
      </w:r>
      <w:r>
        <w:rPr>
          <w:color w:val="2D3748"/>
          <w:sz w:val="22"/>
        </w:rPr>
        <w:t>Banks cross-verify GSTR-3B sales against banking credits. Unexplained circular transactions or large cash withdrawals undermine cash-flow underwriting.</w:t>
      </w:r>
    </w:p>
    <w:p>
      <w:pPr>
        <w:pStyle w:val="ListBullet"/>
        <w:numPr>
          <w:ilvl w:val="0"/>
          <w:numId w:val="1"/>
        </w:numPr>
        <w:spacing w:lineRule="auto" w:line="276" w:before="20" w:after="60"/>
        <w:contextualSpacing/>
        <w:rPr/>
      </w:pPr>
      <w:r>
        <w:rPr>
          <w:b/>
          <w:color w:val="2D3748"/>
          <w:sz w:val="22"/>
        </w:rPr>
        <w:t xml:space="preserve">4. Allowing the Bank to Demand Collateral While Charging AGF: </w:t>
      </w:r>
      <w:r>
        <w:rPr>
          <w:color w:val="2D3748"/>
          <w:sz w:val="22"/>
        </w:rPr>
        <w:t>Unless the loan is explicitly structured under the Hybrid Security product for high-ticket exposure, a bank cannot take 100% collateral security and simultaneously charge the borrower CGTMSE Annual Guarantee Fees.</w:t>
      </w:r>
    </w:p>
    <w:p>
      <w:pPr>
        <w:pStyle w:val="ListBullet"/>
        <w:numPr>
          <w:ilvl w:val="0"/>
          <w:numId w:val="1"/>
        </w:numPr>
        <w:spacing w:lineRule="auto" w:line="276" w:before="20" w:after="140"/>
        <w:contextualSpacing/>
        <w:rPr/>
      </w:pPr>
      <w:r>
        <w:rPr>
          <w:b/>
          <w:color w:val="2D3748"/>
          <w:sz w:val="22"/>
        </w:rPr>
        <w:t xml:space="preserve">5. Ignoring ZED Certification Before Applying: </w:t>
      </w:r>
      <w:r>
        <w:rPr>
          <w:color w:val="2D3748"/>
          <w:sz w:val="22"/>
        </w:rPr>
        <w:t>Obtaining Bronze, Silver, or Gold MSME ZED certification prior to filing unlocks a 10% concession on annual CGTMSE guarantee fees and higher 85% guarantee cover.</w:t>
      </w:r>
    </w:p>
    <w:p>
      <w:pPr>
        <w:pStyle w:val="Normal"/>
        <w:keepNext w:val="true"/>
        <w:spacing w:before="280" w:after="80"/>
        <w:rPr/>
      </w:pPr>
      <w:r>
        <w:rPr>
          <w:b/>
          <w:color w:val="1E56A0"/>
          <w:sz w:val="28"/>
        </w:rPr>
        <w:t>8. Frequently Asked Questions (FAQs)</w:t>
      </w:r>
    </w:p>
    <w:p>
      <w:pPr>
        <w:pStyle w:val="Normal"/>
        <w:spacing w:lineRule="auto" w:line="276" w:before="0" w:after="40"/>
        <w:rPr/>
      </w:pPr>
      <w:r>
        <w:rPr>
          <w:b/>
          <w:color w:val="2D3748"/>
          <w:sz w:val="22"/>
        </w:rPr>
        <w:t xml:space="preserve">Q1: </w:t>
      </w:r>
      <w:r>
        <w:rPr>
          <w:color w:val="2D3748"/>
          <w:sz w:val="22"/>
        </w:rPr>
        <w:t>What is the maximum collateral-free loan limit under the CGTMSE scheme in 2026?</w:t>
      </w:r>
    </w:p>
    <w:p>
      <w:pPr>
        <w:pStyle w:val="Normal"/>
        <w:spacing w:lineRule="auto" w:line="276" w:before="0" w:after="120"/>
        <w:rPr/>
      </w:pPr>
      <w:r>
        <w:rPr>
          <w:color w:val="2D3748"/>
          <w:sz w:val="22"/>
        </w:rPr>
        <w:t>The maximum credit guarantee ceiling under CGTMSE (CGS-I) is ₹10 Crore per eligible Micro or Small Enterprise borrower (raised from ₹5 Crore effective April 2025). Both pure collateral-free loans and Hybrid Security facilities can be covered up to this ₹10 Crore limit.</w:t>
      </w:r>
    </w:p>
    <w:p>
      <w:pPr>
        <w:pStyle w:val="Normal"/>
        <w:spacing w:lineRule="auto" w:line="276" w:before="0" w:after="40"/>
        <w:rPr/>
      </w:pPr>
      <w:r>
        <w:rPr>
          <w:b/>
          <w:color w:val="2D3748"/>
          <w:sz w:val="22"/>
        </w:rPr>
        <w:t xml:space="preserve">Q2: </w:t>
      </w:r>
      <w:r>
        <w:rPr>
          <w:color w:val="2D3748"/>
          <w:sz w:val="22"/>
        </w:rPr>
        <w:t>Who pays the CGTMSE Annual Guarantee Fee (AGF)—the bank or the borrower?</w:t>
      </w:r>
    </w:p>
    <w:p>
      <w:pPr>
        <w:pStyle w:val="Normal"/>
        <w:spacing w:lineRule="auto" w:line="276" w:before="0" w:after="120"/>
        <w:rPr/>
      </w:pPr>
      <w:r>
        <w:rPr>
          <w:color w:val="2D3748"/>
          <w:sz w:val="22"/>
        </w:rPr>
        <w:t>While the Member Lending Institution (bank/NBFC) remits the fee to the CGTMSE Trust within 30 days of CGPAN demand generation, the cost is typically passed on to the MSME borrower. Under the April 2025 revised slab structure, the standard AGF ranges from 0.37% p.a. (up to ₹10 Lakh) to 1.20% p.a. (above ₹8 Crore up to ₹10 Crore), plus applicable GST.</w:t>
      </w:r>
    </w:p>
    <w:p>
      <w:pPr>
        <w:pStyle w:val="Normal"/>
        <w:spacing w:lineRule="auto" w:line="276" w:before="0" w:after="40"/>
        <w:rPr/>
      </w:pPr>
      <w:r>
        <w:rPr>
          <w:b/>
          <w:color w:val="2D3748"/>
          <w:sz w:val="22"/>
        </w:rPr>
        <w:t xml:space="preserve">Q3: </w:t>
      </w:r>
      <w:r>
        <w:rPr>
          <w:color w:val="2D3748"/>
          <w:sz w:val="22"/>
        </w:rPr>
        <w:t>Are retail and wholesale traders eligible for CGTMSE loans in 2026?</w:t>
      </w:r>
    </w:p>
    <w:p>
      <w:pPr>
        <w:pStyle w:val="Normal"/>
        <w:spacing w:lineRule="auto" w:line="276" w:before="0" w:after="120"/>
        <w:rPr/>
      </w:pPr>
      <w:r>
        <w:rPr>
          <w:color w:val="2D3748"/>
          <w:sz w:val="22"/>
        </w:rPr>
        <w:t>Yes. Udyam-registered Micro and Small Enterprises engaged in retail and wholesale trade are eligible for CGTMSE coverage on working capital and term facilities, typically enjoying up to 75% guarantee coverage (and up to 85% for micro loans up to ₹20 Lakh under special provisions).</w:t>
      </w:r>
    </w:p>
    <w:p>
      <w:pPr>
        <w:pStyle w:val="Normal"/>
        <w:spacing w:lineRule="auto" w:line="276" w:before="0" w:after="40"/>
        <w:rPr/>
      </w:pPr>
      <w:r>
        <w:rPr>
          <w:b/>
          <w:color w:val="2D3748"/>
          <w:sz w:val="22"/>
        </w:rPr>
        <w:t xml:space="preserve">Q4: </w:t>
      </w:r>
      <w:r>
        <w:rPr>
          <w:color w:val="2D3748"/>
          <w:sz w:val="22"/>
        </w:rPr>
        <w:t>Does CGTMSE guarantee mean the borrower does not have to repay the loan on default?</w:t>
      </w:r>
    </w:p>
    <w:p>
      <w:pPr>
        <w:pStyle w:val="Normal"/>
        <w:spacing w:lineRule="auto" w:line="276" w:before="0" w:after="160"/>
        <w:jc w:val="left"/>
        <w:rPr/>
      </w:pPr>
      <w:r>
        <w:rPr>
          <w:color w:val="2D3748"/>
          <w:sz w:val="22"/>
        </w:rPr>
        <w:t>No. The CGTMSE guarantee protects the lending institution's balance sheet so it can lend without property collateral. If a borrower defaults, the bank is still legally required to pursue recovery proceedings against the borrower's primary business assets and credit profile, and any default severely damages the promoter's CIBIL and CMR ratings.</w:t>
        <w:br/>
        <w:br/>
        <w:br/>
      </w:r>
      <w:r>
        <w:rPr>
          <w:b/>
          <w:color w:val="102C57"/>
          <w:sz w:val="22"/>
        </w:rPr>
        <w:t xml:space="preserve">SECURE COLLATERAL-FREE MSME FUNDING WITH </w:t>
      </w:r>
      <w:r>
        <w:rPr>
          <w:b/>
          <w:color w:val="102C57"/>
          <w:sz w:val="22"/>
        </w:rPr>
        <w:t>AARAMBHGROW</w:t>
      </w:r>
      <w:r>
        <w:rPr>
          <w:b/>
          <w:color w:val="102C57"/>
          <w:sz w:val="22"/>
        </w:rPr>
        <w:br/>
        <w:br/>
      </w:r>
      <w:r>
        <w:rPr>
          <w:b/>
          <w:color w:val="2D3748"/>
          <w:sz w:val="21"/>
        </w:rPr>
        <w:t xml:space="preserve">Struggling to navigate bank underwriting, CMA financial projections, or CGTMSE CGPAN approvals? </w:t>
      </w:r>
      <w:r>
        <w:rPr>
          <w:rStyle w:val="ListLabel2"/>
          <w:rFonts w:cs="Arial"/>
          <w:b/>
          <w:color w:val="1E56A0"/>
          <w:sz w:val="21"/>
          <w:szCs w:val="21"/>
          <w:u w:val="single"/>
        </w:rPr>
        <w:t xml:space="preserve">Aarambhgrow </w:t>
      </w:r>
      <w:r>
        <w:rPr>
          <w:rStyle w:val="ListLabel2"/>
          <w:rFonts w:cs="Arial"/>
          <w:b/>
          <w:color w:val="1E56A0"/>
          <w:sz w:val="21"/>
          <w:szCs w:val="21"/>
          <w:u w:val="single"/>
        </w:rPr>
        <w:t>Services</w:t>
      </w:r>
      <w:r>
        <w:rPr>
          <w:b/>
          <w:color w:val="2D3748"/>
          <w:sz w:val="21"/>
        </w:rPr>
        <w:t xml:space="preserve"> provides turnkey MSME funding consultation across India—from Udyam and ZED certification to bank-ready Detailed Project Reports (DPR) and connecting your business with CGTMSE-enrolled banks for maximum sanction success. Visit </w:t>
      </w:r>
      <w:r>
        <w:rPr>
          <w:rStyle w:val="ListLabel2"/>
          <w:rFonts w:cs="Arial"/>
          <w:b/>
          <w:color w:val="1E56A0"/>
          <w:sz w:val="21"/>
          <w:szCs w:val="21"/>
          <w:u w:val="single"/>
        </w:rPr>
        <w:t>aarambhgrow.co.in/</w:t>
      </w:r>
      <w:r>
        <w:rPr>
          <w:b/>
          <w:color w:val="2D3748"/>
          <w:sz w:val="21"/>
        </w:rPr>
        <w:t xml:space="preserve"> today to schedule your free MSME funding consultation.</w:t>
      </w:r>
      <w:r>
        <w:rPr>
          <w:b/>
          <w:color w:val="1E56A0"/>
          <w:sz w:val="28"/>
        </w:rPr>
        <w:br/>
        <w:br/>
      </w:r>
    </w:p>
    <w:p>
      <w:pPr>
        <w:pStyle w:val="Normal"/>
        <w:keepNext w:val="true"/>
        <w:spacing w:before="480" w:after="120"/>
        <w:rPr/>
      </w:pPr>
      <w:r>
        <w:rPr>
          <w:b/>
          <w:color w:val="102C57"/>
          <w:sz w:val="36"/>
        </w:rPr>
        <w:t>CGTMSE vs Mudra Loan: Which Is Better for Your Business?</w:t>
      </w:r>
    </w:p>
    <w:p>
      <w:pPr>
        <w:pStyle w:val="Normal"/>
        <w:spacing w:lineRule="auto" w:line="276" w:before="0" w:after="160"/>
        <w:rPr/>
      </w:pPr>
      <w:r>
        <w:rPr>
          <w:b/>
          <w:color w:val="2D3748"/>
          <w:sz w:val="22"/>
        </w:rPr>
        <w:t xml:space="preserve">Guide Summary: </w:t>
      </w:r>
      <w:r>
        <w:rPr>
          <w:color w:val="2D3748"/>
          <w:sz w:val="22"/>
        </w:rPr>
        <w:t>A decision-stage comparison guide for Indian founders evaluating Pradhan Mantri MUDRA Yojana (PMMY up to ₹20 Lakh under Tarun Plus) versus CGTMSE-backed MSME loans (up to ₹10 Crore), detailing credit slabs, guarantee mechanisms (CGFMU vs CGTMSE), interest rates, documentation depth, and how to sequence both schemes as your business scales.</w:t>
      </w:r>
    </w:p>
    <w:tbl>
      <w:tblPr>
        <w:tblW w:w="9360" w:type="dxa"/>
        <w:jc w:val="center"/>
        <w:tblInd w:w="0" w:type="dxa"/>
        <w:tblCellMar>
          <w:top w:w="140" w:type="dxa"/>
          <w:left w:w="200" w:type="dxa"/>
          <w:bottom w:w="140" w:type="dxa"/>
          <w:right w:w="180" w:type="dxa"/>
        </w:tblCellMar>
        <w:tblLook w:firstRow="1" w:noVBand="1" w:lastRow="0" w:firstColumn="1" w:lastColumn="0" w:noHBand="0" w:val="04a0"/>
      </w:tblPr>
      <w:tblGrid>
        <w:gridCol w:w="9360"/>
      </w:tblGrid>
      <w:tr>
        <w:trPr>
          <w:cantSplit w:val="true"/>
        </w:trPr>
        <w:tc>
          <w:tcPr>
            <w:tcW w:w="9360" w:type="dxa"/>
            <w:tcBorders>
              <w:left w:val="single" w:sz="24" w:space="0" w:color="1E56A0"/>
            </w:tcBorders>
            <w:shd w:fill="F0F4F8"/>
          </w:tcPr>
          <w:p>
            <w:pPr>
              <w:pStyle w:val="Normal"/>
              <w:spacing w:lineRule="auto" w:line="276" w:before="40" w:after="80"/>
              <w:rPr/>
            </w:pPr>
            <w:r>
              <w:rPr>
                <w:b/>
                <w:color w:val="102C57"/>
                <w:sz w:val="22"/>
              </w:rPr>
              <w:t>IN THIS EDITORIAL GUIDE</w:t>
              <w:br/>
            </w:r>
            <w:r>
              <w:rPr>
                <w:color w:val="2D3748"/>
                <w:sz w:val="21"/>
              </w:rPr>
              <w:t>• Understanding India's Collateral-Free MSME Credit Ladder in 2026</w:t>
              <w:br/>
              <w:t>• What Is a Mudra Loan (PMMY)? Shishu, Kishore, Tarun &amp; Tarun Plus (₹20 Lakh)</w:t>
              <w:br/>
              <w:t>• What Is a CGTMSE Loan? Institutional Credit Up to ₹10 Crore</w:t>
              <w:br/>
              <w:t>• Head-to-Head Comparison: CGTMSE vs Mudra Loan (9-Point Matrix)</w:t>
              <w:br/>
              <w:t>• Decision Matrix: Which Collateral-Free Loan Fits Your Business Stage?</w:t>
              <w:br/>
              <w:t>• How to Sequence Mudra and CGTMSE as Your Enterprise Scales</w:t>
              <w:br/>
              <w:t>• Common Borrower Misconceptions About Mudra &amp; CGTMSE Loans</w:t>
              <w:br/>
              <w:t>• Frequently Asked Questions (FAQs)</w:t>
              <w:br/>
              <w:t>• Editorial SEO Metadata &amp; CTA Guidance</w:t>
            </w:r>
          </w:p>
        </w:tc>
      </w:tr>
    </w:tbl>
    <w:p>
      <w:pPr>
        <w:pStyle w:val="Normal"/>
        <w:keepNext w:val="true"/>
        <w:spacing w:before="280" w:after="80"/>
        <w:rPr/>
      </w:pPr>
      <w:r>
        <w:rPr>
          <w:b/>
          <w:color w:val="1E56A0"/>
          <w:sz w:val="28"/>
        </w:rPr>
        <w:t>1. Understanding India's Collateral-Free MSME Credit Ladder in 2026</w:t>
      </w:r>
    </w:p>
    <w:p>
      <w:pPr>
        <w:pStyle w:val="Normal"/>
        <w:spacing w:lineRule="auto" w:line="276" w:before="0" w:after="120"/>
        <w:rPr/>
      </w:pPr>
      <w:r>
        <w:rPr>
          <w:color w:val="2D3748"/>
          <w:sz w:val="22"/>
        </w:rPr>
        <w:t xml:space="preserve">When searching for a </w:t>
      </w:r>
      <w:r>
        <w:rPr>
          <w:b/>
          <w:color w:val="2D3748"/>
          <w:sz w:val="22"/>
        </w:rPr>
        <w:t>collateral free business loan</w:t>
      </w:r>
      <w:r>
        <w:rPr>
          <w:color w:val="2D3748"/>
          <w:sz w:val="22"/>
        </w:rPr>
        <w:t xml:space="preserve"> in India, almost every entrepreneur encounters two flagship government-backed names: </w:t>
      </w:r>
      <w:r>
        <w:rPr>
          <w:b/>
          <w:color w:val="2D3748"/>
          <w:sz w:val="22"/>
        </w:rPr>
        <w:t>MUDRA Loan</w:t>
      </w:r>
      <w:r>
        <w:rPr>
          <w:color w:val="2D3748"/>
          <w:sz w:val="22"/>
        </w:rPr>
        <w:t xml:space="preserve"> (under the </w:t>
      </w:r>
      <w:hyperlink r:id="rId19">
        <w:r>
          <w:rPr>
            <w:rStyle w:val="ListLabel1"/>
            <w:rFonts w:cs="Arial"/>
            <w:color w:val="1E56A0"/>
            <w:sz w:val="22"/>
            <w:szCs w:val="22"/>
            <w:u w:val="single"/>
          </w:rPr>
          <w:t>Pradhan Mantri MUDRA Yojana - PMMY</w:t>
        </w:r>
      </w:hyperlink>
      <w:r>
        <w:rPr>
          <w:color w:val="2D3748"/>
          <w:sz w:val="22"/>
        </w:rPr>
        <w:t xml:space="preserve">) and the </w:t>
      </w:r>
      <w:r>
        <w:rPr>
          <w:b/>
          <w:color w:val="2D3748"/>
          <w:sz w:val="22"/>
        </w:rPr>
        <w:t>CGTMSE Loan</w:t>
      </w:r>
      <w:r>
        <w:rPr>
          <w:color w:val="2D3748"/>
          <w:sz w:val="22"/>
        </w:rPr>
        <w:t xml:space="preserve"> (backed by the </w:t>
      </w:r>
      <w:hyperlink r:id="rId20">
        <w:r>
          <w:rPr>
            <w:rStyle w:val="ListLabel1"/>
            <w:rFonts w:cs="Arial"/>
            <w:color w:val="1E56A0"/>
            <w:sz w:val="22"/>
            <w:szCs w:val="22"/>
            <w:u w:val="single"/>
          </w:rPr>
          <w:t>Credit Guarantee Fund Trust for Micro and Small Enterprises</w:t>
        </w:r>
      </w:hyperlink>
      <w:r>
        <w:rPr>
          <w:color w:val="2D3748"/>
          <w:sz w:val="22"/>
        </w:rPr>
        <w:t>). While both eliminate the need to pledge residential or commercial property as collateral, they are designed for fundamentally different stages of business maturity and ticket sizes.</w:t>
      </w:r>
    </w:p>
    <w:p>
      <w:pPr>
        <w:pStyle w:val="Normal"/>
        <w:spacing w:lineRule="auto" w:line="276" w:before="0" w:after="120"/>
        <w:rPr/>
      </w:pPr>
      <w:r>
        <w:rPr>
          <w:color w:val="2D3748"/>
          <w:sz w:val="22"/>
        </w:rPr>
        <w:t xml:space="preserve">As highlighted in recent </w:t>
      </w:r>
      <w:hyperlink r:id="rId21">
        <w:r>
          <w:rPr>
            <w:rStyle w:val="ListLabel1"/>
            <w:rFonts w:cs="Arial"/>
            <w:color w:val="1E56A0"/>
            <w:sz w:val="22"/>
            <w:szCs w:val="22"/>
            <w:u w:val="single"/>
          </w:rPr>
          <w:t>2026 MSME lending analyses</w:t>
        </w:r>
      </w:hyperlink>
      <w:r>
        <w:rPr>
          <w:color w:val="2D3748"/>
          <w:sz w:val="22"/>
        </w:rPr>
        <w:t xml:space="preserve">, recent policy upgrades have doubled the ceiling at both ends of the ladder: PMMY now stretches up to </w:t>
      </w:r>
      <w:r>
        <w:rPr>
          <w:b/>
          <w:color w:val="2D3748"/>
          <w:sz w:val="22"/>
        </w:rPr>
        <w:t>₹20 Lakh</w:t>
      </w:r>
      <w:r>
        <w:rPr>
          <w:color w:val="2D3748"/>
          <w:sz w:val="22"/>
        </w:rPr>
        <w:t xml:space="preserve"> via the </w:t>
      </w:r>
      <w:hyperlink r:id="rId22">
        <w:r>
          <w:rPr>
            <w:rStyle w:val="ListLabel1"/>
            <w:rFonts w:cs="Arial"/>
            <w:color w:val="1E56A0"/>
            <w:sz w:val="22"/>
            <w:szCs w:val="22"/>
            <w:u w:val="single"/>
          </w:rPr>
          <w:t>Tarun Plus category</w:t>
        </w:r>
      </w:hyperlink>
      <w:r>
        <w:rPr>
          <w:color w:val="2D3748"/>
          <w:sz w:val="22"/>
        </w:rPr>
        <w:t xml:space="preserve">, while CGTMSE now guarantees credit facilities up to </w:t>
      </w:r>
      <w:r>
        <w:rPr>
          <w:b/>
          <w:color w:val="2D3748"/>
          <w:sz w:val="22"/>
        </w:rPr>
        <w:t>₹10 Crore</w:t>
      </w:r>
      <w:r>
        <w:rPr>
          <w:color w:val="2D3748"/>
          <w:sz w:val="22"/>
        </w:rPr>
        <w:t xml:space="preserve"> per borrower. Choosing the wrong scheme—or applying for a ₹50 Lakh facility under a micro-credit framework—leads to avoidable bank rejections and wasted months.</w:t>
      </w:r>
    </w:p>
    <w:p>
      <w:pPr>
        <w:pStyle w:val="Normal"/>
        <w:keepNext w:val="true"/>
        <w:spacing w:before="280" w:after="80"/>
        <w:rPr/>
      </w:pPr>
      <w:r>
        <w:rPr>
          <w:b/>
          <w:color w:val="1E56A0"/>
          <w:sz w:val="28"/>
        </w:rPr>
        <w:t>2. What Is a Mudra Loan (PMMY)? Shishu, Kishore, Tarun &amp; Tarun Plus</w:t>
      </w:r>
    </w:p>
    <w:p>
      <w:pPr>
        <w:pStyle w:val="Normal"/>
        <w:spacing w:lineRule="auto" w:line="276" w:before="0" w:after="120"/>
        <w:rPr/>
      </w:pPr>
      <w:r>
        <w:rPr>
          <w:color w:val="2D3748"/>
          <w:sz w:val="22"/>
        </w:rPr>
        <w:t xml:space="preserve">Launched in 2015 under Micro Units Development and Refinance Agency Ltd. (MUDRA, a subsidiary of </w:t>
      </w:r>
      <w:hyperlink r:id="rId23">
        <w:r>
          <w:rPr>
            <w:rStyle w:val="ListLabel1"/>
            <w:rFonts w:cs="Arial"/>
            <w:color w:val="1E56A0"/>
            <w:sz w:val="22"/>
            <w:szCs w:val="22"/>
            <w:u w:val="single"/>
          </w:rPr>
          <w:t>SIDBI</w:t>
        </w:r>
      </w:hyperlink>
      <w:r>
        <w:rPr>
          <w:color w:val="2D3748"/>
          <w:sz w:val="22"/>
        </w:rPr>
        <w:t xml:space="preserve">), </w:t>
      </w:r>
      <w:hyperlink r:id="rId24">
        <w:r>
          <w:rPr>
            <w:rStyle w:val="ListLabel1"/>
            <w:rFonts w:cs="Arial"/>
            <w:color w:val="1E56A0"/>
            <w:sz w:val="22"/>
            <w:szCs w:val="22"/>
            <w:u w:val="single"/>
          </w:rPr>
          <w:t>Pradhan Mantri MUDRA Yojana (PMMY)</w:t>
        </w:r>
      </w:hyperlink>
      <w:r>
        <w:rPr>
          <w:color w:val="2D3748"/>
          <w:sz w:val="22"/>
        </w:rPr>
        <w:t xml:space="preserve"> is a branded micro-credit programme designed to bring non-corporate, non-farm micro units—such as small shopkeepers, traders, artisans, food processors, service vendors, and light manufacturing units—into formal institutional banking.</w:t>
      </w:r>
    </w:p>
    <w:p>
      <w:pPr>
        <w:pStyle w:val="Normal"/>
        <w:spacing w:lineRule="auto" w:line="276" w:before="0" w:after="120"/>
        <w:rPr/>
      </w:pPr>
      <w:r>
        <w:rPr>
          <w:color w:val="2D3748"/>
          <w:sz w:val="22"/>
        </w:rPr>
        <w:t xml:space="preserve">In 2026, Mudra loans are structured across four distinct growth tiers and backed primarily by portfolio guarantee cover under the </w:t>
      </w:r>
      <w:hyperlink r:id="rId25">
        <w:r>
          <w:rPr>
            <w:rStyle w:val="ListLabel1"/>
            <w:rFonts w:cs="Arial"/>
            <w:color w:val="1E56A0"/>
            <w:sz w:val="22"/>
            <w:szCs w:val="22"/>
            <w:u w:val="single"/>
          </w:rPr>
          <w:t>Credit Guarantee Fund for Micro Units (CGFMU)</w:t>
        </w:r>
      </w:hyperlink>
      <w:r>
        <w:rPr>
          <w:color w:val="2D3748"/>
          <w:sz w:val="22"/>
        </w:rPr>
        <w:t xml:space="preserve"> managed by the National Credit Guarantee Trustee Company (NCGTC):</w:t>
      </w:r>
    </w:p>
    <w:p>
      <w:pPr>
        <w:pStyle w:val="ListBullet"/>
        <w:numPr>
          <w:ilvl w:val="0"/>
          <w:numId w:val="1"/>
        </w:numPr>
        <w:spacing w:lineRule="auto" w:line="276" w:before="20" w:after="60"/>
        <w:contextualSpacing/>
        <w:rPr/>
      </w:pPr>
      <w:r>
        <w:rPr>
          <w:b/>
          <w:color w:val="2D3748"/>
          <w:sz w:val="22"/>
        </w:rPr>
        <w:t xml:space="preserve">Shishu Category (Up to ₹50,000): </w:t>
      </w:r>
      <w:r>
        <w:rPr>
          <w:color w:val="2D3748"/>
          <w:sz w:val="22"/>
        </w:rPr>
        <w:t>Designed for micro-starters, street vendors, and nano-entrepreneurs purchasing basic tools or initial inventory. Zero processing fee at public sector banks.</w:t>
      </w:r>
    </w:p>
    <w:p>
      <w:pPr>
        <w:pStyle w:val="ListBullet"/>
        <w:numPr>
          <w:ilvl w:val="0"/>
          <w:numId w:val="1"/>
        </w:numPr>
        <w:spacing w:lineRule="auto" w:line="276" w:before="20" w:after="60"/>
        <w:contextualSpacing/>
        <w:rPr/>
      </w:pPr>
      <w:r>
        <w:rPr>
          <w:b/>
          <w:color w:val="2D3748"/>
          <w:sz w:val="22"/>
        </w:rPr>
        <w:t xml:space="preserve">Kishore Category (Above ₹50,000 up to ₹5 Lakh): </w:t>
      </w:r>
      <w:r>
        <w:rPr>
          <w:color w:val="2D3748"/>
          <w:sz w:val="22"/>
        </w:rPr>
        <w:t>Suited for established micro-retailers, repair workshops, and small service providers expanding working capital or purchasing commercial equipment.</w:t>
      </w:r>
    </w:p>
    <w:p>
      <w:pPr>
        <w:pStyle w:val="ListBullet"/>
        <w:numPr>
          <w:ilvl w:val="0"/>
          <w:numId w:val="1"/>
        </w:numPr>
        <w:spacing w:lineRule="auto" w:line="276" w:before="20" w:after="60"/>
        <w:contextualSpacing/>
        <w:rPr/>
      </w:pPr>
      <w:r>
        <w:rPr>
          <w:b/>
          <w:color w:val="2D3748"/>
          <w:sz w:val="22"/>
        </w:rPr>
        <w:t xml:space="preserve">Tarun Category (Above ₹5 Lakh up to ₹10 Lakh): </w:t>
      </w:r>
      <w:r>
        <w:rPr>
          <w:color w:val="2D3748"/>
          <w:sz w:val="22"/>
        </w:rPr>
        <w:t>Targeted at growing micro enterprises with verifiable tax returns and bank turnover seeking machinery or working capital expansion.</w:t>
      </w:r>
    </w:p>
    <w:p>
      <w:pPr>
        <w:pStyle w:val="ListBullet"/>
        <w:numPr>
          <w:ilvl w:val="0"/>
          <w:numId w:val="1"/>
        </w:numPr>
        <w:spacing w:lineRule="auto" w:line="276" w:before="20" w:after="140"/>
        <w:contextualSpacing/>
        <w:rPr/>
      </w:pPr>
      <w:r>
        <w:rPr>
          <w:b/>
          <w:color w:val="2D3748"/>
          <w:sz w:val="22"/>
        </w:rPr>
        <w:t xml:space="preserve">Tarun Plus Category (Above ₹10 Lakh up to ₹20 Lakh): </w:t>
      </w:r>
      <w:r>
        <w:rPr>
          <w:color w:val="2D3748"/>
          <w:sz w:val="22"/>
        </w:rPr>
        <w:t>Introduced by the Government of India in October 2024 (</w:t>
      </w:r>
      <w:hyperlink r:id="rId26">
        <w:r>
          <w:rPr>
            <w:rStyle w:val="ListLabel1"/>
            <w:rFonts w:cs="Arial"/>
            <w:color w:val="1E56A0"/>
            <w:sz w:val="22"/>
            <w:szCs w:val="22"/>
            <w:u w:val="single"/>
          </w:rPr>
          <w:t>PIB Notification</w:t>
        </w:r>
      </w:hyperlink>
      <w:r>
        <w:rPr>
          <w:color w:val="2D3748"/>
          <w:sz w:val="22"/>
        </w:rPr>
        <w:t>), this tier unlocks ₹10 Lakh to ₹20 Lakh in collateral-free funding exclusively for entrepreneurs who have previously availed and successfully repaid a loan under the Tarun category.</w:t>
      </w:r>
    </w:p>
    <w:p>
      <w:pPr>
        <w:pStyle w:val="Normal"/>
        <w:keepNext w:val="true"/>
        <w:spacing w:before="280" w:after="80"/>
        <w:rPr/>
      </w:pPr>
      <w:r>
        <w:rPr>
          <w:b/>
          <w:color w:val="1E56A0"/>
          <w:sz w:val="28"/>
        </w:rPr>
        <w:t>3. What Is a CGTMSE Loan? Institutional Credit Up to ₹10 Crore</w:t>
      </w:r>
    </w:p>
    <w:p>
      <w:pPr>
        <w:pStyle w:val="Normal"/>
        <w:spacing w:lineRule="auto" w:line="276" w:before="0" w:after="120"/>
        <w:rPr/>
      </w:pPr>
      <w:r>
        <w:rPr>
          <w:color w:val="2D3748"/>
          <w:sz w:val="22"/>
        </w:rPr>
        <w:t>Unlike Mudra-which is a defined micro-loan product band capped at ₹20 Lakh,</w:t>
      </w:r>
      <w:hyperlink r:id="rId27">
        <w:r>
          <w:rPr>
            <w:rStyle w:val="ListLabel1"/>
            <w:rFonts w:cs="Arial"/>
            <w:color w:val="1E56A0"/>
            <w:sz w:val="22"/>
            <w:szCs w:val="22"/>
            <w:u w:val="single"/>
          </w:rPr>
          <w:t>CGTMSE</w:t>
        </w:r>
      </w:hyperlink>
      <w:r>
        <w:rPr>
          <w:color w:val="2D3748"/>
          <w:sz w:val="22"/>
        </w:rPr>
        <w:t xml:space="preserve"> is a comprehensive institutional credit guarantee mechanism covering term loans and working capital facilities (Cash Credit, Overdraft, and composite limits) from </w:t>
      </w:r>
      <w:r>
        <w:rPr>
          <w:b/>
          <w:color w:val="2D3748"/>
          <w:sz w:val="22"/>
        </w:rPr>
        <w:t>₹10 Lakh up to ₹10 Crore</w:t>
      </w:r>
      <w:r>
        <w:rPr>
          <w:color w:val="2D3748"/>
          <w:sz w:val="22"/>
        </w:rPr>
        <w:t xml:space="preserve"> (and even sub-₹10 Lakh micro loans where banks opt for individual CGTMSE cover rather than CGFMU).</w:t>
      </w:r>
    </w:p>
    <w:p>
      <w:pPr>
        <w:pStyle w:val="Normal"/>
        <w:spacing w:lineRule="auto" w:line="276" w:before="0" w:after="120"/>
        <w:rPr/>
      </w:pPr>
      <w:r>
        <w:rPr>
          <w:color w:val="2D3748"/>
          <w:sz w:val="22"/>
        </w:rPr>
        <w:t>Under CGTMSE, any Udyam-registered Micro or Small Enterprise-including Private Limited Companies, LLPs, partnerships, and proprietorships-can approach a Member Lending Institution for substantial capex or working capital. The bank underwrites the proposal using formal financial ratios (DSCR, Current Ratio, TOL/TNW) and secures 75% to 85% (up to 90% for women in select categories) guarantee coverage from the Trust at an Annual Guarantee Fee between 0.37% and 1.20% p.a.</w:t>
      </w:r>
    </w:p>
    <w:p>
      <w:pPr>
        <w:pStyle w:val="Normal"/>
        <w:keepNext w:val="true"/>
        <w:spacing w:before="280" w:after="80"/>
        <w:rPr/>
      </w:pPr>
      <w:r>
        <w:rPr>
          <w:b/>
          <w:color w:val="1E56A0"/>
          <w:sz w:val="28"/>
        </w:rPr>
        <w:t>4. CGTMSE vs Mudra Loan: The Comprehensive 2026 Comparison</w:t>
      </w:r>
    </w:p>
    <w:p>
      <w:pPr>
        <w:pStyle w:val="Normal"/>
        <w:spacing w:lineRule="auto" w:line="276" w:before="0" w:after="80"/>
        <w:rPr/>
      </w:pPr>
      <w:r>
        <w:rPr>
          <w:color w:val="2D3748"/>
          <w:sz w:val="22"/>
        </w:rPr>
        <w:t xml:space="preserve">When evaluating </w:t>
      </w:r>
      <w:r>
        <w:rPr>
          <w:b/>
          <w:color w:val="2D3748"/>
          <w:sz w:val="22"/>
        </w:rPr>
        <w:t>CGTMSE vs Mudra loan</w:t>
      </w:r>
      <w:r>
        <w:rPr>
          <w:color w:val="2D3748"/>
          <w:sz w:val="22"/>
        </w:rPr>
        <w:t xml:space="preserve"> options, founders and CFOs should compare the two schemes across nine operational and regulatory dimensions:</w:t>
      </w:r>
    </w:p>
    <w:tbl>
      <w:tblPr>
        <w:tblW w:w="9359" w:type="dxa"/>
        <w:jc w:val="center"/>
        <w:tblInd w:w="0" w:type="dxa"/>
        <w:tblCellMar>
          <w:top w:w="100" w:type="dxa"/>
          <w:left w:w="120" w:type="dxa"/>
          <w:bottom w:w="100" w:type="dxa"/>
          <w:right w:w="120" w:type="dxa"/>
        </w:tblCellMar>
        <w:tblLook w:firstRow="1" w:noVBand="1" w:lastRow="0" w:firstColumn="1" w:lastColumn="0" w:noHBand="0" w:val="04a0"/>
      </w:tblPr>
      <w:tblGrid>
        <w:gridCol w:w="3119"/>
        <w:gridCol w:w="3118"/>
        <w:gridCol w:w="3122"/>
      </w:tblGrid>
      <w:tr>
        <w:trPr>
          <w:tblHeader w:val="true"/>
          <w:cantSplit w:val="true"/>
        </w:trPr>
        <w:tc>
          <w:tcPr>
            <w:tcW w:w="3119" w:type="dxa"/>
            <w:tcBorders>
              <w:top w:val="single" w:sz="6" w:space="0" w:color="102C57"/>
              <w:left w:val="single" w:sz="4" w:space="0" w:color="102C57"/>
              <w:bottom w:val="single" w:sz="6" w:space="0" w:color="102C57"/>
              <w:right w:val="single" w:sz="4" w:space="0" w:color="102C57"/>
            </w:tcBorders>
            <w:shd w:fill="102C57"/>
            <w:vAlign w:val="center"/>
          </w:tcPr>
          <w:p>
            <w:pPr>
              <w:pStyle w:val="Normal"/>
              <w:keepNext w:val="true"/>
              <w:spacing w:before="40" w:after="40"/>
              <w:rPr/>
            </w:pPr>
            <w:r>
              <w:rPr>
                <w:b/>
                <w:color w:val="FFFFFF"/>
                <w:sz w:val="21"/>
              </w:rPr>
              <w:t>Comparison Parameter</w:t>
            </w:r>
          </w:p>
        </w:tc>
        <w:tc>
          <w:tcPr>
            <w:tcW w:w="3118" w:type="dxa"/>
            <w:tcBorders>
              <w:top w:val="single" w:sz="6" w:space="0" w:color="102C57"/>
              <w:left w:val="single" w:sz="4" w:space="0" w:color="102C57"/>
              <w:bottom w:val="single" w:sz="6" w:space="0" w:color="102C57"/>
              <w:right w:val="single" w:sz="4" w:space="0" w:color="102C57"/>
            </w:tcBorders>
            <w:shd w:fill="102C57"/>
            <w:vAlign w:val="center"/>
          </w:tcPr>
          <w:p>
            <w:pPr>
              <w:pStyle w:val="Normal"/>
              <w:keepNext w:val="true"/>
              <w:spacing w:before="40" w:after="40"/>
              <w:rPr/>
            </w:pPr>
            <w:r>
              <w:rPr>
                <w:b/>
                <w:color w:val="FFFFFF"/>
                <w:sz w:val="21"/>
              </w:rPr>
              <w:t>Mudra Loan (PMMY 2026)</w:t>
            </w:r>
          </w:p>
        </w:tc>
        <w:tc>
          <w:tcPr>
            <w:tcW w:w="3122" w:type="dxa"/>
            <w:tcBorders>
              <w:top w:val="single" w:sz="6" w:space="0" w:color="102C57"/>
              <w:left w:val="single" w:sz="4" w:space="0" w:color="102C57"/>
              <w:bottom w:val="single" w:sz="6" w:space="0" w:color="102C57"/>
              <w:right w:val="single" w:sz="4" w:space="0" w:color="102C57"/>
            </w:tcBorders>
            <w:shd w:fill="102C57"/>
            <w:vAlign w:val="center"/>
          </w:tcPr>
          <w:p>
            <w:pPr>
              <w:pStyle w:val="Normal"/>
              <w:keepNext w:val="true"/>
              <w:spacing w:before="40" w:after="40"/>
              <w:rPr/>
            </w:pPr>
            <w:r>
              <w:rPr>
                <w:b/>
                <w:color w:val="FFFFFF"/>
                <w:sz w:val="21"/>
              </w:rPr>
              <w:t>CGTMSE Loan Scheme (CGS-I 2026)</w:t>
            </w:r>
          </w:p>
        </w:tc>
      </w:tr>
      <w:tr>
        <w:trPr>
          <w:cantSplit w:val="true"/>
        </w:trPr>
        <w:tc>
          <w:tcPr>
            <w:tcW w:w="3119"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color w:val="102C57"/>
                <w:sz w:val="20"/>
              </w:rPr>
              <w:t>Core Nature of Scheme</w:t>
            </w:r>
          </w:p>
        </w:tc>
        <w:tc>
          <w:tcPr>
            <w:tcW w:w="3118"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val="false"/>
                <w:color w:val="2D3748"/>
                <w:sz w:val="20"/>
              </w:rPr>
              <w:t>Branded micro-credit loan product offered in 4 tiers (Shishu, Kishore, Tarun, Tarun Plus).</w:t>
            </w:r>
          </w:p>
        </w:tc>
        <w:tc>
          <w:tcPr>
            <w:tcW w:w="3122"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val="false"/>
                <w:color w:val="2D3748"/>
                <w:sz w:val="20"/>
              </w:rPr>
              <w:t>Institutional credit guarantee mechanism backing bank/NBFC term loans and working capital.</w:t>
            </w:r>
          </w:p>
        </w:tc>
      </w:tr>
      <w:tr>
        <w:trPr>
          <w:cantSplit w:val="true"/>
        </w:trPr>
        <w:tc>
          <w:tcPr>
            <w:tcW w:w="3119"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color w:val="102C57"/>
                <w:sz w:val="20"/>
              </w:rPr>
              <w:t>Maximum Loan Limit</w:t>
            </w:r>
          </w:p>
        </w:tc>
        <w:tc>
          <w:tcPr>
            <w:tcW w:w="3118"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val="false"/>
                <w:color w:val="2D3748"/>
                <w:sz w:val="20"/>
              </w:rPr>
              <w:t>Up to ₹10 Lakh (standard); up to ₹20 Lakh under Tarun Plus (requires prior repaid Tarun loan).</w:t>
            </w:r>
          </w:p>
        </w:tc>
        <w:tc>
          <w:tcPr>
            <w:tcW w:w="3122"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val="false"/>
                <w:color w:val="2D3748"/>
                <w:sz w:val="20"/>
              </w:rPr>
              <w:t>Up to ₹10 Crore per eligible MSE borrower (raised from ₹5 Crore effective April 2025).</w:t>
            </w:r>
          </w:p>
        </w:tc>
      </w:tr>
      <w:tr>
        <w:trPr>
          <w:cantSplit w:val="true"/>
        </w:trPr>
        <w:tc>
          <w:tcPr>
            <w:tcW w:w="3119"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color w:val="102C57"/>
                <w:sz w:val="20"/>
              </w:rPr>
              <w:t>Eligible Entities</w:t>
            </w:r>
          </w:p>
        </w:tc>
        <w:tc>
          <w:tcPr>
            <w:tcW w:w="3118"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val="false"/>
                <w:color w:val="2D3748"/>
                <w:sz w:val="20"/>
              </w:rPr>
              <w:t>Non-corporate micro units (Proprietorships, Partnerships, small traders, artisans, service units).</w:t>
            </w:r>
          </w:p>
        </w:tc>
        <w:tc>
          <w:tcPr>
            <w:tcW w:w="3122"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val="false"/>
                <w:color w:val="2D3748"/>
                <w:sz w:val="20"/>
              </w:rPr>
              <w:t>All Udyam-registered Micro &amp; Small Enterprises (including Pvt Ltd, LLPs, Partnerships, Proprietorships).</w:t>
            </w:r>
          </w:p>
        </w:tc>
      </w:tr>
      <w:tr>
        <w:trPr>
          <w:cantSplit w:val="true"/>
        </w:trPr>
        <w:tc>
          <w:tcPr>
            <w:tcW w:w="3119"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color w:val="102C57"/>
                <w:sz w:val="20"/>
              </w:rPr>
              <w:t>Underlying Guarantee Trust</w:t>
            </w:r>
          </w:p>
        </w:tc>
        <w:tc>
          <w:tcPr>
            <w:tcW w:w="3118"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val="false"/>
                <w:color w:val="2D3748"/>
                <w:sz w:val="20"/>
              </w:rPr>
              <w:t>Covered under CGFMU (managed by NCGTC) at 75% of 97% of default amount (portfolio cap 15%).</w:t>
            </w:r>
          </w:p>
        </w:tc>
        <w:tc>
          <w:tcPr>
            <w:tcW w:w="3122"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val="false"/>
                <w:color w:val="2D3748"/>
                <w:sz w:val="20"/>
              </w:rPr>
              <w:t>Covered by CGTMSE (Ministry of MSME &amp; SIDBI) at 75% to 85% (up to 90% for Women MSEs).</w:t>
            </w:r>
          </w:p>
        </w:tc>
      </w:tr>
      <w:tr>
        <w:trPr>
          <w:cantSplit w:val="true"/>
        </w:trPr>
        <w:tc>
          <w:tcPr>
            <w:tcW w:w="3119"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color w:val="102C57"/>
                <w:sz w:val="20"/>
              </w:rPr>
              <w:t>Annual Guarantee Fee</w:t>
            </w:r>
          </w:p>
        </w:tc>
        <w:tc>
          <w:tcPr>
            <w:tcW w:w="3118"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val="false"/>
                <w:color w:val="2D3748"/>
                <w:sz w:val="20"/>
              </w:rPr>
              <w:t>CGFMU Standard Basic Rate is 1.00% p.a. of sanctioned/outstanding micro loan (often bundled by lender).</w:t>
            </w:r>
          </w:p>
        </w:tc>
        <w:tc>
          <w:tcPr>
            <w:tcW w:w="3122"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val="false"/>
                <w:color w:val="2D3748"/>
                <w:sz w:val="20"/>
              </w:rPr>
              <w:t>0.37% p.a. (up to ₹10L) scaling across 7 slabs to 1.20% p.a. (₹8 Cr–₹10 Cr), plus 10% concession for priority groups.</w:t>
            </w:r>
          </w:p>
        </w:tc>
      </w:tr>
      <w:tr>
        <w:trPr>
          <w:cantSplit w:val="true"/>
        </w:trPr>
        <w:tc>
          <w:tcPr>
            <w:tcW w:w="3119"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color w:val="102C57"/>
                <w:sz w:val="20"/>
              </w:rPr>
              <w:t>Collateral Requirement</w:t>
            </w:r>
          </w:p>
        </w:tc>
        <w:tc>
          <w:tcPr>
            <w:tcW w:w="3118"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val="false"/>
                <w:color w:val="2D3748"/>
                <w:sz w:val="20"/>
              </w:rPr>
              <w:t>100% collateral-free and zero third-party guarantee across all four tiers.</w:t>
            </w:r>
          </w:p>
        </w:tc>
        <w:tc>
          <w:tcPr>
            <w:tcW w:w="3122"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val="false"/>
                <w:color w:val="2D3748"/>
                <w:sz w:val="20"/>
              </w:rPr>
              <w:t>100% collateral-free up to ₹10 Cr; also supports Hybrid Security (partial collateral + guarantee).</w:t>
            </w:r>
          </w:p>
        </w:tc>
      </w:tr>
      <w:tr>
        <w:trPr>
          <w:cantSplit w:val="true"/>
        </w:trPr>
        <w:tc>
          <w:tcPr>
            <w:tcW w:w="3119"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color w:val="102C57"/>
                <w:sz w:val="20"/>
              </w:rPr>
              <w:t>Typical Interest Rate</w:t>
            </w:r>
          </w:p>
        </w:tc>
        <w:tc>
          <w:tcPr>
            <w:tcW w:w="3118"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val="false"/>
                <w:color w:val="2D3748"/>
                <w:sz w:val="20"/>
              </w:rPr>
              <w:t>~9.0% to 12.5% p.a. at PSU banks; higher (14%–22%) through NBFCs and MFIs.</w:t>
            </w:r>
          </w:p>
        </w:tc>
        <w:tc>
          <w:tcPr>
            <w:tcW w:w="3122"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val="false"/>
                <w:color w:val="2D3748"/>
                <w:sz w:val="20"/>
              </w:rPr>
              <w:t>MCLR / Repo-linked bank rates (~8.85% to 13.5% p.a. at PSU and leading private banks).</w:t>
            </w:r>
          </w:p>
        </w:tc>
      </w:tr>
      <w:tr>
        <w:trPr>
          <w:cantSplit w:val="true"/>
        </w:trPr>
        <w:tc>
          <w:tcPr>
            <w:tcW w:w="3119"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color w:val="102C57"/>
                <w:sz w:val="20"/>
              </w:rPr>
              <w:t>Credit Facilities Covered</w:t>
            </w:r>
          </w:p>
        </w:tc>
        <w:tc>
          <w:tcPr>
            <w:tcW w:w="3118"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val="false"/>
                <w:color w:val="2D3748"/>
                <w:sz w:val="20"/>
              </w:rPr>
              <w:t>Term loans, micro working capital overdrafts, and Mudra RuPay debit card limits.</w:t>
            </w:r>
          </w:p>
        </w:tc>
        <w:tc>
          <w:tcPr>
            <w:tcW w:w="3122" w:type="dxa"/>
            <w:tcBorders>
              <w:top w:val="single" w:sz="4" w:space="0" w:color="CBD5E1"/>
              <w:left w:val="single" w:sz="4" w:space="0" w:color="CBD5E1"/>
              <w:bottom w:val="single" w:sz="4" w:space="0" w:color="CBD5E1"/>
              <w:right w:val="single" w:sz="4" w:space="0" w:color="CBD5E1"/>
            </w:tcBorders>
            <w:shd w:fill="F8FAFC"/>
            <w:tcMar>
              <w:top w:w="90" w:type="dxa"/>
              <w:bottom w:w="90" w:type="dxa"/>
            </w:tcMar>
            <w:vAlign w:val="center"/>
          </w:tcPr>
          <w:p>
            <w:pPr>
              <w:pStyle w:val="Normal"/>
              <w:spacing w:lineRule="auto" w:line="266" w:before="40" w:after="40"/>
              <w:rPr/>
            </w:pPr>
            <w:r>
              <w:rPr>
                <w:b w:val="false"/>
                <w:color w:val="2D3748"/>
                <w:sz w:val="20"/>
              </w:rPr>
              <w:t>Term Loans, Cash Credit (CC), Overdraft (OD), and composite (Fund + Non-Fund LC/BG) limits.</w:t>
            </w:r>
          </w:p>
        </w:tc>
      </w:tr>
      <w:tr>
        <w:trPr>
          <w:cantSplit w:val="true"/>
        </w:trPr>
        <w:tc>
          <w:tcPr>
            <w:tcW w:w="3119"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color w:val="102C57"/>
                <w:sz w:val="20"/>
              </w:rPr>
              <w:t>Documentation &amp; Sanction Time</w:t>
            </w:r>
          </w:p>
        </w:tc>
        <w:tc>
          <w:tcPr>
            <w:tcW w:w="3118"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val="false"/>
                <w:color w:val="2D3748"/>
                <w:sz w:val="20"/>
              </w:rPr>
              <w:t>Light KYC, Udyam certificate, basic quotation &amp; 6–12m bank statements (Sanction: 3–10 days).</w:t>
            </w:r>
          </w:p>
        </w:tc>
        <w:tc>
          <w:tcPr>
            <w:tcW w:w="3122" w:type="dxa"/>
            <w:tcBorders>
              <w:top w:val="single" w:sz="4" w:space="0" w:color="CBD5E1"/>
              <w:left w:val="single" w:sz="4" w:space="0" w:color="CBD5E1"/>
              <w:bottom w:val="single" w:sz="4" w:space="0" w:color="CBD5E1"/>
              <w:right w:val="single" w:sz="4" w:space="0" w:color="CBD5E1"/>
            </w:tcBorders>
            <w:shd w:fill="FFFFFF"/>
            <w:tcMar>
              <w:top w:w="90" w:type="dxa"/>
              <w:bottom w:w="90" w:type="dxa"/>
            </w:tcMar>
            <w:vAlign w:val="center"/>
          </w:tcPr>
          <w:p>
            <w:pPr>
              <w:pStyle w:val="Normal"/>
              <w:spacing w:lineRule="auto" w:line="266" w:before="40" w:after="40"/>
              <w:rPr/>
            </w:pPr>
            <w:r>
              <w:rPr>
                <w:b w:val="false"/>
                <w:color w:val="2D3748"/>
                <w:sz w:val="20"/>
              </w:rPr>
              <w:t>Full DPR, CMA projections, 2–3 yrs audited financials, GST returns &amp; CGPAN workflow (Sanction: 2–5 weeks).</w:t>
            </w:r>
          </w:p>
        </w:tc>
      </w:tr>
    </w:tbl>
    <w:p>
      <w:pPr>
        <w:pStyle w:val="Normal"/>
        <w:keepNext w:val="true"/>
        <w:spacing w:before="280" w:after="80"/>
        <w:rPr/>
      </w:pPr>
      <w:r>
        <w:rPr>
          <w:b/>
          <w:color w:val="1E56A0"/>
          <w:sz w:val="28"/>
        </w:rPr>
        <w:t>5. Decision Matrix: Which Collateral-Free Loan Should Your Business Choose?</w:t>
      </w:r>
    </w:p>
    <w:p>
      <w:pPr>
        <w:pStyle w:val="Normal"/>
        <w:spacing w:lineRule="auto" w:line="276" w:before="0" w:after="120"/>
        <w:rPr/>
      </w:pPr>
      <w:r>
        <w:rPr>
          <w:color w:val="2D3748"/>
          <w:sz w:val="22"/>
        </w:rPr>
        <w:t xml:space="preserve">Selecting between </w:t>
      </w:r>
      <w:r>
        <w:rPr>
          <w:b/>
          <w:color w:val="2D3748"/>
          <w:sz w:val="22"/>
        </w:rPr>
        <w:t>Mudra vs CGTMSE</w:t>
      </w:r>
      <w:r>
        <w:rPr>
          <w:color w:val="2D3748"/>
          <w:sz w:val="22"/>
        </w:rPr>
        <w:t xml:space="preserve"> comes down to four clear decision rules based on your funding quantum, legal constitution, and financial track record:</w:t>
      </w:r>
    </w:p>
    <w:p>
      <w:pPr>
        <w:pStyle w:val="ListBullet"/>
        <w:numPr>
          <w:ilvl w:val="0"/>
          <w:numId w:val="1"/>
        </w:numPr>
        <w:spacing w:lineRule="auto" w:line="276" w:before="20" w:after="60"/>
        <w:contextualSpacing/>
        <w:rPr/>
      </w:pPr>
      <w:r>
        <w:rPr>
          <w:b/>
          <w:color w:val="2D3748"/>
          <w:sz w:val="22"/>
        </w:rPr>
        <w:t xml:space="preserve">Scenario A :- Funding Need Under ₹10 Lakh (New or Thin-File Micro Business): </w:t>
      </w:r>
      <w:r>
        <w:rPr>
          <w:color w:val="2D3748"/>
          <w:sz w:val="22"/>
        </w:rPr>
        <w:t xml:space="preserve">Choose a </w:t>
      </w:r>
      <w:r>
        <w:rPr>
          <w:b/>
          <w:color w:val="2D3748"/>
          <w:sz w:val="22"/>
        </w:rPr>
        <w:t>Mudra Loan (Shishu, Kishore, or Tarun)</w:t>
      </w:r>
      <w:r>
        <w:rPr>
          <w:color w:val="2D3748"/>
          <w:sz w:val="22"/>
        </w:rPr>
        <w:t xml:space="preserve">. Documentation is lightweight, processing fees are nil for Shishu/Kishore at public sector banks like </w:t>
      </w:r>
      <w:hyperlink r:id="rId28">
        <w:r>
          <w:rPr>
            <w:rStyle w:val="ListLabel1"/>
            <w:rFonts w:cs="Arial"/>
            <w:color w:val="1E56A0"/>
            <w:sz w:val="22"/>
            <w:szCs w:val="22"/>
            <w:u w:val="single"/>
          </w:rPr>
          <w:t>SBI</w:t>
        </w:r>
      </w:hyperlink>
      <w:r>
        <w:rPr>
          <w:color w:val="2D3748"/>
          <w:sz w:val="22"/>
        </w:rPr>
        <w:t>, and you do not need 3 years of audited balance sheets or complex CMA data.</w:t>
      </w:r>
    </w:p>
    <w:p>
      <w:pPr>
        <w:pStyle w:val="ListBullet"/>
        <w:numPr>
          <w:ilvl w:val="0"/>
          <w:numId w:val="1"/>
        </w:numPr>
        <w:spacing w:lineRule="auto" w:line="276" w:before="20" w:after="60"/>
        <w:contextualSpacing/>
        <w:rPr/>
      </w:pPr>
      <w:r>
        <w:rPr>
          <w:b/>
          <w:color w:val="2D3748"/>
          <w:sz w:val="22"/>
        </w:rPr>
        <w:t xml:space="preserve">Scenario B :- Funding Need of ₹10 Lakh to ₹20 Lakh: </w:t>
      </w:r>
      <w:r>
        <w:rPr>
          <w:color w:val="2D3748"/>
          <w:sz w:val="22"/>
        </w:rPr>
        <w:t xml:space="preserve">If you have already availed and cleanly repaid a Tarun Mudra loan, apply for </w:t>
      </w:r>
      <w:r>
        <w:rPr>
          <w:b/>
          <w:color w:val="2D3748"/>
          <w:sz w:val="22"/>
        </w:rPr>
        <w:t>Mudra Tarun Plus</w:t>
      </w:r>
      <w:r>
        <w:rPr>
          <w:color w:val="2D3748"/>
          <w:sz w:val="22"/>
        </w:rPr>
        <w:t xml:space="preserve"> for fast renewal. However, if you are a first-time borrower seeking ₹15 Lakh–₹20 Lakh—or if your business is incorporated as a Private Limited Company—apply for a </w:t>
      </w:r>
      <w:r>
        <w:rPr>
          <w:b/>
          <w:color w:val="2D3748"/>
          <w:sz w:val="22"/>
        </w:rPr>
        <w:t>CGTMSE-backed loan under the Special ≤₹20 Lakh Provision</w:t>
      </w:r>
      <w:r>
        <w:rPr>
          <w:color w:val="2D3748"/>
          <w:sz w:val="22"/>
        </w:rPr>
        <w:t xml:space="preserve"> (which carries an 85% guarantee cover and a low 0.37%–0.45% AGF rate compared to CGFMU's 1.00% fee).</w:t>
      </w:r>
    </w:p>
    <w:p>
      <w:pPr>
        <w:pStyle w:val="ListBullet"/>
        <w:numPr>
          <w:ilvl w:val="0"/>
          <w:numId w:val="1"/>
        </w:numPr>
        <w:spacing w:lineRule="auto" w:line="276" w:before="20" w:after="60"/>
        <w:contextualSpacing/>
        <w:rPr/>
      </w:pPr>
      <w:r>
        <w:rPr>
          <w:b/>
          <w:color w:val="2D3748"/>
          <w:sz w:val="22"/>
        </w:rPr>
        <w:t xml:space="preserve">Scenario C :- Funding Need of ₹20 Lakh to ₹10 Crore (Scaling Manufacturing, Trade, or Services): </w:t>
      </w:r>
      <w:r>
        <w:rPr>
          <w:color w:val="2D3748"/>
          <w:sz w:val="22"/>
        </w:rPr>
        <w:t xml:space="preserve">Mudra caps out strictly at ₹20 Lakh. Any collateral-free requirement above ₹20 Lakh must be structured under the </w:t>
      </w:r>
      <w:r>
        <w:rPr>
          <w:b/>
          <w:color w:val="2D3748"/>
          <w:sz w:val="22"/>
        </w:rPr>
        <w:t>CGTMSE Loan Scheme</w:t>
      </w:r>
      <w:r>
        <w:rPr>
          <w:color w:val="2D3748"/>
          <w:sz w:val="22"/>
        </w:rPr>
        <w:t xml:space="preserve"> (or CGSS up to ₹20 Crore if you hold DPIIT Startup recognition).</w:t>
      </w:r>
    </w:p>
    <w:p>
      <w:pPr>
        <w:pStyle w:val="ListBullet"/>
        <w:numPr>
          <w:ilvl w:val="0"/>
          <w:numId w:val="1"/>
        </w:numPr>
        <w:spacing w:lineRule="auto" w:line="276" w:before="20" w:after="140"/>
        <w:contextualSpacing/>
        <w:rPr/>
      </w:pPr>
      <w:r>
        <w:rPr>
          <w:b/>
          <w:color w:val="2D3748"/>
          <w:sz w:val="22"/>
        </w:rPr>
        <w:t xml:space="preserve">Scenario D :- High-Ticket Capex Above ₹2 Crore With Partial Property Security: </w:t>
      </w:r>
      <w:r>
        <w:rPr>
          <w:color w:val="2D3748"/>
          <w:sz w:val="22"/>
        </w:rPr>
        <w:t xml:space="preserve">Use </w:t>
      </w:r>
      <w:r>
        <w:rPr>
          <w:b/>
          <w:color w:val="2D3748"/>
          <w:sz w:val="22"/>
        </w:rPr>
        <w:t>CGTMSE Hybrid Security</w:t>
      </w:r>
      <w:r>
        <w:rPr>
          <w:color w:val="2D3748"/>
          <w:sz w:val="22"/>
        </w:rPr>
        <w:t>. Mudra does not support hybrid collateral structures, whereas CGTMSE allows you to pledge existing partial collateral and still cover up to ₹10 Crore of uncovered credit exposure.</w:t>
      </w:r>
    </w:p>
    <w:p>
      <w:pPr>
        <w:pStyle w:val="Normal"/>
        <w:keepNext w:val="true"/>
        <w:spacing w:before="280" w:after="80"/>
        <w:rPr/>
      </w:pPr>
      <w:r>
        <w:rPr>
          <w:b/>
          <w:color w:val="1E56A0"/>
          <w:sz w:val="28"/>
        </w:rPr>
        <w:t>6. Step-by-Step Capital Sequencing Strategy for Growing MSMEs</w:t>
      </w:r>
    </w:p>
    <w:p>
      <w:pPr>
        <w:pStyle w:val="Normal"/>
        <w:spacing w:lineRule="auto" w:line="276" w:before="0" w:after="120"/>
        <w:rPr/>
      </w:pPr>
      <w:r>
        <w:rPr>
          <w:color w:val="2D3748"/>
          <w:sz w:val="22"/>
        </w:rPr>
        <w:t>High-growth Indian businesses do not view Mudra and CGTMSE as mutually exclusive rivals; instead, they sequence them across a 3-stage institutional credit roadmap:</w:t>
      </w:r>
    </w:p>
    <w:p>
      <w:pPr>
        <w:pStyle w:val="ListBullet"/>
        <w:numPr>
          <w:ilvl w:val="0"/>
          <w:numId w:val="1"/>
        </w:numPr>
        <w:spacing w:lineRule="auto" w:line="276" w:before="20" w:after="60"/>
        <w:contextualSpacing/>
        <w:rPr/>
      </w:pPr>
      <w:r>
        <w:rPr>
          <w:b/>
          <w:color w:val="2D3748"/>
          <w:sz w:val="22"/>
        </w:rPr>
        <w:t xml:space="preserve">Stage 1 (Years 0–1: Establishing Institutional Credit History): </w:t>
      </w:r>
      <w:r>
        <w:rPr>
          <w:color w:val="2D3748"/>
          <w:sz w:val="22"/>
        </w:rPr>
        <w:t xml:space="preserve">Obtain free </w:t>
      </w:r>
      <w:hyperlink r:id="rId29">
        <w:r>
          <w:rPr>
            <w:rStyle w:val="ListLabel1"/>
            <w:rFonts w:cs="Arial"/>
            <w:color w:val="1E56A0"/>
            <w:sz w:val="22"/>
            <w:szCs w:val="22"/>
            <w:u w:val="single"/>
          </w:rPr>
          <w:t>Udyam Registration</w:t>
        </w:r>
      </w:hyperlink>
      <w:r>
        <w:rPr>
          <w:color w:val="2D3748"/>
          <w:sz w:val="22"/>
        </w:rPr>
        <w:t xml:space="preserve">, open a dedicated current account, and secure a ₹5 Lakh–₹10 Lakh Kishore or Tarun Mudra loan via the </w:t>
      </w:r>
      <w:hyperlink r:id="rId30">
        <w:r>
          <w:rPr>
            <w:rStyle w:val="ListLabel1"/>
            <w:rFonts w:cs="Arial"/>
            <w:color w:val="1E56A0"/>
            <w:sz w:val="22"/>
            <w:szCs w:val="22"/>
            <w:u w:val="single"/>
          </w:rPr>
          <w:t>JanSamarth Portal</w:t>
        </w:r>
      </w:hyperlink>
      <w:r>
        <w:rPr>
          <w:color w:val="2D3748"/>
          <w:sz w:val="22"/>
        </w:rPr>
        <w:t>. Route 100% of business sales through the bank account and pay EMIs on time for 12–18 months to build a strong CMR-1 to CMR-3 bureau score.</w:t>
      </w:r>
    </w:p>
    <w:p>
      <w:pPr>
        <w:pStyle w:val="ListBullet"/>
        <w:numPr>
          <w:ilvl w:val="0"/>
          <w:numId w:val="1"/>
        </w:numPr>
        <w:spacing w:lineRule="auto" w:line="276" w:before="20" w:after="60"/>
        <w:contextualSpacing/>
        <w:rPr/>
      </w:pPr>
      <w:r>
        <w:rPr>
          <w:b/>
          <w:color w:val="2D3748"/>
          <w:sz w:val="22"/>
        </w:rPr>
        <w:t xml:space="preserve">Stage 2 (Years 2–3: Graduating to ₹20 Lakh–₹1 Crore Working Capital): </w:t>
      </w:r>
      <w:r>
        <w:rPr>
          <w:color w:val="2D3748"/>
          <w:sz w:val="22"/>
        </w:rPr>
        <w:t>Once your GST returns and audited financials reflect steady cash flows, either unlock the ₹20 Lakh Mudra Tarun Plus tier or transition your credit line into a CGTMSE-backed Cash Credit + Term Loan facility (₹25 Lakh to ₹1 Crore) at low 0.55%–0.60% annual guarantee fees.</w:t>
      </w:r>
    </w:p>
    <w:p>
      <w:pPr>
        <w:pStyle w:val="ListBullet"/>
        <w:numPr>
          <w:ilvl w:val="0"/>
          <w:numId w:val="1"/>
        </w:numPr>
        <w:spacing w:lineRule="auto" w:line="276" w:before="20" w:after="140"/>
        <w:contextualSpacing/>
        <w:rPr/>
      </w:pPr>
      <w:r>
        <w:rPr>
          <w:b/>
          <w:color w:val="2D3748"/>
          <w:sz w:val="22"/>
        </w:rPr>
        <w:t xml:space="preserve">Stage 3 (Years 3+: Industrial Scale Up to ₹10 Crore): </w:t>
      </w:r>
      <w:r>
        <w:rPr>
          <w:color w:val="2D3748"/>
          <w:sz w:val="22"/>
        </w:rPr>
        <w:t>Obtain MSME ZED Certification to lock in a 10% fee discount and 85% coverage, prepare a multi-year CMA &amp; Detailed Project Report, and scale your CGTMSE-backed working capital and machinery limits up to ₹10 Crore as turnover expands.</w:t>
      </w:r>
    </w:p>
    <w:p>
      <w:pPr>
        <w:pStyle w:val="Normal"/>
        <w:keepNext w:val="true"/>
        <w:spacing w:before="280" w:after="80"/>
        <w:rPr/>
      </w:pPr>
      <w:r>
        <w:rPr>
          <w:b/>
          <w:color w:val="1E56A0"/>
          <w:sz w:val="28"/>
        </w:rPr>
        <w:t>7. Common Borrower Misconceptions About Mudra &amp; CGTMSE Loans</w:t>
      </w:r>
    </w:p>
    <w:p>
      <w:pPr>
        <w:pStyle w:val="ListBullet"/>
        <w:numPr>
          <w:ilvl w:val="0"/>
          <w:numId w:val="1"/>
        </w:numPr>
        <w:spacing w:lineRule="auto" w:line="276" w:before="20" w:after="60"/>
        <w:contextualSpacing/>
        <w:rPr/>
      </w:pPr>
      <w:r>
        <w:rPr>
          <w:b/>
          <w:color w:val="2D3748"/>
          <w:sz w:val="22"/>
        </w:rPr>
        <w:t xml:space="preserve">1. Misconception :- 'Mudra and CGTMSE Provide Free Government Subsidies': </w:t>
      </w:r>
      <w:r>
        <w:rPr>
          <w:color w:val="2D3748"/>
          <w:sz w:val="22"/>
        </w:rPr>
        <w:t>Neither Mudra nor CGTMSE is a capital subsidy scheme. Both are commercial credit frameworks that eliminate collateral requirements via sovereign-backed guarantees. If you want an upfront capital subsidy (15% to 35% margin money subsidy) for a new manufacturing or service unit, you should evaluate the PMEGP (Prime Minister's Employment Generation Programme) scheme.</w:t>
      </w:r>
    </w:p>
    <w:p>
      <w:pPr>
        <w:pStyle w:val="ListBullet"/>
        <w:numPr>
          <w:ilvl w:val="0"/>
          <w:numId w:val="1"/>
        </w:numPr>
        <w:spacing w:lineRule="auto" w:line="276" w:before="20" w:after="60"/>
        <w:contextualSpacing/>
        <w:rPr/>
      </w:pPr>
      <w:r>
        <w:rPr>
          <w:b/>
          <w:color w:val="2D3748"/>
          <w:sz w:val="22"/>
        </w:rPr>
        <w:t xml:space="preserve">2. Misconception :- 'Any New Borrower Can Directly Claim ₹20 Lakh Under Mudra': </w:t>
      </w:r>
      <w:r>
        <w:rPr>
          <w:color w:val="2D3748"/>
          <w:sz w:val="22"/>
        </w:rPr>
        <w:t>The ₹10 Lakh to ₹20 Lakh Tarun Plus slab is strictly restricted to repeat borrowers who have previously taken and successfully closed a Tarun category loan (₹5 Lakh–₹10 Lakh). First-time borrowers needing ₹15 Lakh–₹20 Lakh must use CGTMSE.</w:t>
      </w:r>
    </w:p>
    <w:p>
      <w:pPr>
        <w:pStyle w:val="ListBullet"/>
        <w:numPr>
          <w:ilvl w:val="0"/>
          <w:numId w:val="1"/>
        </w:numPr>
        <w:spacing w:lineRule="auto" w:line="276" w:before="20" w:after="140"/>
        <w:contextualSpacing/>
        <w:rPr/>
      </w:pPr>
      <w:r>
        <w:rPr>
          <w:b/>
          <w:color w:val="2D3748"/>
          <w:sz w:val="22"/>
        </w:rPr>
        <w:t xml:space="preserve">3. Misconception :- 'Banks Cannot Reject a CGTMSE or Mudra Application': </w:t>
      </w:r>
      <w:r>
        <w:rPr>
          <w:color w:val="2D3748"/>
          <w:sz w:val="22"/>
        </w:rPr>
        <w:t>Guarantee coverage does not override commercial credit appraisal. Banks retain full discretion to reject proposals that lack cash-flow viability, show poor CIBIL/CMR scores, or have incomplete tax and GST trails.</w:t>
      </w:r>
    </w:p>
    <w:p>
      <w:pPr>
        <w:pStyle w:val="Normal"/>
        <w:keepNext w:val="true"/>
        <w:spacing w:before="280" w:after="80"/>
        <w:rPr/>
      </w:pPr>
      <w:r>
        <w:rPr>
          <w:b/>
          <w:color w:val="1E56A0"/>
          <w:sz w:val="28"/>
        </w:rPr>
        <w:t>8. Frequently Asked Questions (FAQs)</w:t>
      </w:r>
    </w:p>
    <w:p>
      <w:pPr>
        <w:pStyle w:val="Normal"/>
        <w:spacing w:lineRule="auto" w:line="276" w:before="0" w:after="40"/>
        <w:rPr/>
      </w:pPr>
      <w:r>
        <w:rPr>
          <w:b/>
          <w:color w:val="2D3748"/>
          <w:sz w:val="22"/>
        </w:rPr>
        <w:t xml:space="preserve">Q1: </w:t>
      </w:r>
      <w:r>
        <w:rPr>
          <w:color w:val="2D3748"/>
          <w:sz w:val="22"/>
        </w:rPr>
        <w:t>Can a Private Limited Company apply for both Mudra and CGTMSE loans?</w:t>
      </w:r>
    </w:p>
    <w:p>
      <w:pPr>
        <w:pStyle w:val="Normal"/>
        <w:spacing w:lineRule="auto" w:line="276" w:before="0" w:after="120"/>
        <w:rPr/>
      </w:pPr>
      <w:r>
        <w:rPr>
          <w:color w:val="2D3748"/>
          <w:sz w:val="22"/>
        </w:rPr>
        <w:t>No. Pradhan Mantri MUDRA Yojana (PMMY) is specifically restricted to non-corporate micro units (Proprietorships, Partnerships, and informal micro enterprises). Private Limited Companies and corporate MSMEs must apply under the CGTMSE scheme (up to ₹10 Crore) or Startup India's CGSS (up to ₹20 Crore).</w:t>
      </w:r>
    </w:p>
    <w:p>
      <w:pPr>
        <w:pStyle w:val="Normal"/>
        <w:spacing w:lineRule="auto" w:line="276" w:before="0" w:after="40"/>
        <w:rPr/>
      </w:pPr>
      <w:r>
        <w:rPr>
          <w:b/>
          <w:color w:val="2D3748"/>
          <w:sz w:val="22"/>
        </w:rPr>
        <w:t xml:space="preserve">Q2: </w:t>
      </w:r>
      <w:r>
        <w:rPr>
          <w:color w:val="2D3748"/>
          <w:sz w:val="22"/>
        </w:rPr>
        <w:t>Which loan has a lower guarantee fee for a ₹10 Lakh credit facility—Mudra or CGTMSE?</w:t>
      </w:r>
    </w:p>
    <w:p>
      <w:pPr>
        <w:pStyle w:val="Normal"/>
        <w:spacing w:lineRule="auto" w:line="276" w:before="0" w:after="120"/>
        <w:rPr/>
      </w:pPr>
      <w:r>
        <w:rPr>
          <w:color w:val="2D3748"/>
          <w:sz w:val="22"/>
        </w:rPr>
        <w:t>Under the April 2025 revision, CGTMSE charges a standard Annual Guarantee Fee of just 0.37% p.a. for loans up to ₹10 Lakh (and 0.55% p.a. for ₹10 Lakh–₹50 Lakh), whereas the CGFMU portfolio guarantee backing Mudra loans carries a Standard Basic Rate of 1.00% p.a. However, for micro-tickets under ₹5 Lakh, Mudra offers faster sanctioning with minimal paperwork.</w:t>
      </w:r>
    </w:p>
    <w:p>
      <w:pPr>
        <w:pStyle w:val="Normal"/>
        <w:spacing w:lineRule="auto" w:line="276" w:before="0" w:after="40"/>
        <w:rPr/>
      </w:pPr>
      <w:r>
        <w:rPr>
          <w:b/>
          <w:color w:val="2D3748"/>
          <w:sz w:val="22"/>
        </w:rPr>
        <w:t xml:space="preserve">Q3: </w:t>
      </w:r>
      <w:r>
        <w:rPr>
          <w:color w:val="2D3748"/>
          <w:sz w:val="22"/>
        </w:rPr>
        <w:t>Can I hold an active Mudra loan and later apply for a CGTMSE loan?</w:t>
      </w:r>
    </w:p>
    <w:p>
      <w:pPr>
        <w:pStyle w:val="Normal"/>
        <w:spacing w:lineRule="auto" w:line="276" w:before="0" w:after="120"/>
        <w:rPr/>
      </w:pPr>
      <w:r>
        <w:rPr>
          <w:color w:val="2D3748"/>
          <w:sz w:val="22"/>
        </w:rPr>
        <w:t>Yes. Many businesses start with a Kishore or Tarun Mudra loan and subsequently either foreclose/take over that limit into a larger CGTMSE-backed Cash Credit facility or avail an additional CGTMSE term loan for new machinery, provided their overall cash flows and DSCR support the combined debt service.</w:t>
      </w:r>
    </w:p>
    <w:p>
      <w:pPr>
        <w:pStyle w:val="Normal"/>
        <w:spacing w:lineRule="auto" w:line="276" w:before="0" w:after="40"/>
        <w:rPr/>
      </w:pPr>
      <w:r>
        <w:rPr>
          <w:b/>
          <w:color w:val="2D3748"/>
          <w:sz w:val="22"/>
        </w:rPr>
        <w:t xml:space="preserve">Q4: </w:t>
      </w:r>
      <w:r>
        <w:rPr>
          <w:color w:val="2D3748"/>
          <w:sz w:val="22"/>
        </w:rPr>
        <w:t>How do I check if my business qualifies for CGTMSE vs Mudra before visiting a bank?</w:t>
      </w:r>
    </w:p>
    <w:p>
      <w:pPr>
        <w:pStyle w:val="Normal"/>
        <w:spacing w:lineRule="auto" w:line="276" w:before="0" w:after="160"/>
        <w:rPr/>
      </w:pPr>
      <w:r>
        <w:rPr>
          <w:color w:val="2D3748"/>
          <w:sz w:val="22"/>
        </w:rPr>
        <w:t>Verify that your Udyam Registration is active, pull your personal CIBIL and company CMR report, and match your required loan amount against your last 12 months of GST/bank turnover (banks typically sanction working capital up to 20%–25% of projected annual turnover). Working with an MSME advisory consultant ensures your CMA data and project report match the exact scheme underwriting norms.</w:t>
        <w:br/>
        <w:br/>
      </w:r>
      <w:r>
        <w:rPr>
          <w:b/>
          <w:color w:val="102C57"/>
          <w:sz w:val="22"/>
        </w:rPr>
        <w:t xml:space="preserve">MAXIMIZE YOUR MSME LOAN APPROVAL CHANCES WITH </w:t>
      </w:r>
      <w:r>
        <w:rPr>
          <w:b/>
          <w:color w:val="102C57"/>
          <w:sz w:val="22"/>
        </w:rPr>
        <w:t>AARAMBHGROW</w:t>
      </w:r>
      <w:r>
        <w:rPr>
          <w:b/>
          <w:color w:val="102C57"/>
          <w:sz w:val="22"/>
        </w:rPr>
        <w:br/>
      </w:r>
      <w:r>
        <w:rPr>
          <w:color w:val="2D3748"/>
          <w:sz w:val="21"/>
        </w:rPr>
        <w:t xml:space="preserve">Not sure whether your enterprise should file under Mudra Tarun Plus, CGTMSE (up to ₹10 Crore), or PMEGP subsidy schemes? </w:t>
      </w:r>
      <w:r>
        <w:rPr>
          <w:rStyle w:val="ListLabel2"/>
          <w:rFonts w:cs="Arial"/>
          <w:b/>
          <w:color w:val="1E56A0"/>
          <w:sz w:val="21"/>
          <w:szCs w:val="21"/>
          <w:u w:val="single"/>
        </w:rPr>
        <w:t>aarambhgrow.co.in/</w:t>
      </w:r>
      <w:r>
        <w:rPr>
          <w:color w:val="2D3748"/>
          <w:sz w:val="21"/>
        </w:rPr>
        <w:t xml:space="preserve"> helps startups and MSMEs across India evaluate scheme eligibility, structure bank-ready Detailed Project Reports (DPR) and CMA financials, obtain Udyam and ZED certifications, and coordinate directly with CGTMSE-enrolled banks. Visit </w:t>
      </w:r>
      <w:r>
        <w:rPr>
          <w:rStyle w:val="ListLabel2"/>
          <w:rFonts w:cs="Arial"/>
          <w:b/>
          <w:color w:val="1E56A0"/>
          <w:sz w:val="21"/>
          <w:szCs w:val="21"/>
          <w:u w:val="single"/>
        </w:rPr>
        <w:t>aarambhgrow.co.in/services/cgtmse</w:t>
      </w:r>
      <w:r>
        <w:rPr>
          <w:color w:val="2D3748"/>
          <w:sz w:val="21"/>
        </w:rPr>
        <w:t xml:space="preserve"> today to unlock collateral-free funding for your business.</w:t>
      </w:r>
    </w:p>
    <w:p>
      <w:pPr>
        <w:pStyle w:val="Normal"/>
        <w:keepNext w:val="true"/>
        <w:spacing w:before="280" w:after="80"/>
        <w:rPr/>
      </w:pPr>
      <w:r>
        <w:rPr/>
      </w:r>
    </w:p>
    <w:sectPr>
      <w:type w:val="nextPage"/>
      <w:pgSz w:w="12240" w:h="15840"/>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Arial">
    <w:charset w:val="00"/>
    <w:family w:val="roman"/>
    <w:pitch w:val="variable"/>
  </w:font>
  <w:font w:name="Calibri">
    <w:charset w:val="00"/>
    <w:family w:val="roman"/>
    <w:pitch w:val="variable"/>
  </w:font>
  <w:font w:name="Courier">
    <w:altName w:val="Courier New"/>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360"/>
        </w:tabs>
        <w:ind w:left="360" w:hanging="360"/>
      </w:pPr>
      <w:rPr>
        <w:rFonts w:ascii="Symbol" w:hAnsi="Symbol" w:cs="Symbol" w:hint="default"/>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2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2"/>
        <w:lang w:val="en-US" w:eastAsia="en-US" w:bidi="ar-SA"/>
      </w:rPr>
    </w:rPrDefault>
    <w:pPrDefault>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olor w:val="2D3748"/>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ListLabel1">
    <w:name w:val="ListLabel 1"/>
    <w:qFormat/>
    <w:rPr>
      <w:rFonts w:ascii="Arial" w:hAnsi="Arial" w:cs="Arial"/>
      <w:color w:val="1E56A0"/>
      <w:sz w:val="22"/>
      <w:szCs w:val="22"/>
      <w:u w:val="single"/>
    </w:rPr>
  </w:style>
  <w:style w:type="character" w:styleId="InternetLink">
    <w:name w:val="Internet Link"/>
    <w:rPr>
      <w:color w:val="000080"/>
      <w:u w:val="single"/>
      <w:lang w:val="zxx" w:eastAsia="zxx" w:bidi="zxx"/>
    </w:rPr>
  </w:style>
  <w:style w:type="character" w:styleId="ListLabel2">
    <w:name w:val="ListLabel 2"/>
    <w:qFormat/>
    <w:rPr>
      <w:rFonts w:ascii="Arial" w:hAnsi="Arial" w:cs="Arial"/>
      <w:b/>
      <w:color w:val="1E56A0"/>
      <w:sz w:val="21"/>
      <w:szCs w:val="21"/>
      <w:u w:val="single"/>
    </w:rPr>
  </w:style>
  <w:style w:type="character" w:styleId="ListLabel3">
    <w:name w:val="ListLabel 3"/>
    <w:qFormat/>
    <w:rPr>
      <w:rFonts w:cs="Symbol"/>
    </w:rPr>
  </w:style>
  <w:style w:type="character" w:styleId="ListLabel4">
    <w:name w:val="ListLabel 4"/>
    <w:qFormat/>
    <w:rPr>
      <w:rFonts w:cs="Arial"/>
      <w:color w:val="1E56A0"/>
      <w:sz w:val="22"/>
      <w:szCs w:val="22"/>
      <w:u w:val="single"/>
    </w:rPr>
  </w:style>
  <w:style w:type="character" w:styleId="ListLabel5">
    <w:name w:val="ListLabel 5"/>
    <w:qFormat/>
    <w:rPr>
      <w:rFonts w:cs="Arial"/>
      <w:b/>
      <w:color w:val="1E56A0"/>
      <w:sz w:val="21"/>
      <w:szCs w:val="21"/>
      <w:u w:val="single"/>
    </w:rPr>
  </w:style>
  <w:style w:type="paragraph" w:styleId="Heading">
    <w:name w:val="Heading"/>
    <w:basedOn w:val="Normal"/>
    <w:next w:val="TextBody"/>
    <w:qFormat/>
    <w:pPr>
      <w:keepNext w:val="true"/>
      <w:spacing w:before="240" w:after="120"/>
    </w:pPr>
    <w:rPr>
      <w:rFonts w:ascii="Arial" w:hAnsi="Arial" w:eastAsia="Microsoft YaHei" w:cs="Lucida 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bi.bank.in/web/business/sme/sme-government-schemes/cgtmse" TargetMode="External"/><Relationship Id="rId3" Type="http://schemas.openxmlformats.org/officeDocument/2006/relationships/hyperlink" Target="https://sbi.bank.in/documents/26274/3200842/CGTMSE+CONSOLIDATED+FEATURES.pdf/a2280ee1-15dc-eb9d-2ef8-cb0b4a28200b?t=1754630937332" TargetMode="External"/><Relationship Id="rId4" Type="http://schemas.openxmlformats.org/officeDocument/2006/relationships/hyperlink" Target="https://inter.cgtmse.in/" TargetMode="External"/><Relationship Id="rId5" Type="http://schemas.openxmlformats.org/officeDocument/2006/relationships/hyperlink" Target="https://www.sidbi.in/cgtmse" TargetMode="External"/><Relationship Id="rId6" Type="http://schemas.openxmlformats.org/officeDocument/2006/relationships/hyperlink" Target="https://sbi.bank.in/web/business/sme/sme-government-schemes/cgtmse" TargetMode="External"/><Relationship Id="rId7" Type="http://schemas.openxmlformats.org/officeDocument/2006/relationships/hyperlink" Target="https://bankofindia.bank.in/guarantee-schemes/cgtmse" TargetMode="External"/><Relationship Id="rId8" Type="http://schemas.openxmlformats.org/officeDocument/2006/relationships/hyperlink" Target="https://www.canarabank.bank.in/cgtmse" TargetMode="External"/><Relationship Id="rId9" Type="http://schemas.openxmlformats.org/officeDocument/2006/relationships/hyperlink" Target="https://www.hdfc.bank.in/msme-banking/msme-government-schemes/credit-guarantee-fund-trust-for-micro-and-small-enterprises-cgtmse" TargetMode="External"/><Relationship Id="rId10" Type="http://schemas.openxmlformats.org/officeDocument/2006/relationships/hyperlink" Target="https://www.icici.bank.in/business-banking/business-loans/cgtmse" TargetMode="External"/><Relationship Id="rId11" Type="http://schemas.openxmlformats.org/officeDocument/2006/relationships/hyperlink" Target="https://udyamregistration.gov.in/PrintUdyamApplication.aspx" TargetMode="External"/><Relationship Id="rId12" Type="http://schemas.openxmlformats.org/officeDocument/2006/relationships/hyperlink" Target="https://www.startupindia.gov.in/content/sih/en/credit-guarantee-scheme-for-startups.html" TargetMode="External"/><Relationship Id="rId13" Type="http://schemas.openxmlformats.org/officeDocument/2006/relationships/hyperlink" Target="https://dcmsme.gov.in/CLCS_TUS_Scheme/Credit_Guarantee_Scheme/Scheme_Guidelines.aspx" TargetMode="External"/><Relationship Id="rId14" Type="http://schemas.openxmlformats.org/officeDocument/2006/relationships/hyperlink" Target="https://sbi.bank.in/documents/136/49244919/CGTMSE+GUARANTEE+FEE+STRUCTURE+WEF+01042025.pdf/76fcb441-841e-a468-2d2f-de07ad458757?t=1753765100000" TargetMode="External"/><Relationship Id="rId15" Type="http://schemas.openxmlformats.org/officeDocument/2006/relationships/hyperlink" Target="https://www.sidbi.in/blog/credit-guarantee-women-entrepreneurs" TargetMode="External"/><Relationship Id="rId16" Type="http://schemas.openxmlformats.org/officeDocument/2006/relationships/hyperlink" Target="https://udyamregistration.gov.in/PrintUdyamApplication.aspx" TargetMode="External"/><Relationship Id="rId17" Type="http://schemas.openxmlformats.org/officeDocument/2006/relationships/hyperlink" Target="https://www.psbloansin59minutes.com/collateral-free-loan-under-cgtmse-scheme" TargetMode="External"/><Relationship Id="rId18" Type="http://schemas.openxmlformats.org/officeDocument/2006/relationships/hyperlink" Target="https://www.jansamarth.in/business-loan-pradhan-mantri-mudra-yojana-scheme" TargetMode="External"/><Relationship Id="rId19" Type="http://schemas.openxmlformats.org/officeDocument/2006/relationships/hyperlink" Target="https://www.myscheme.gov.in/schemes/pmmy" TargetMode="External"/><Relationship Id="rId20" Type="http://schemas.openxmlformats.org/officeDocument/2006/relationships/hyperlink" Target="https://inter.cgtmse.in/" TargetMode="External"/><Relationship Id="rId21" Type="http://schemas.openxmlformats.org/officeDocument/2006/relationships/hyperlink" Target="https://www.finvastra.com/blog/collateral-free-msme-loans-2026-mudra-cgtmse" TargetMode="External"/><Relationship Id="rId22" Type="http://schemas.openxmlformats.org/officeDocument/2006/relationships/hyperlink" Target="https://www.pib.gov.in/PressReleasePage.aspx?PRID=2069170" TargetMode="External"/><Relationship Id="rId23" Type="http://schemas.openxmlformats.org/officeDocument/2006/relationships/hyperlink" Target="https://www.sidbi.in/about" TargetMode="External"/><Relationship Id="rId24" Type="http://schemas.openxmlformats.org/officeDocument/2006/relationships/hyperlink" Target="https://sbi.bank.in/web/business/sme/sme-government-schemes/pmmy" TargetMode="External"/><Relationship Id="rId25" Type="http://schemas.openxmlformats.org/officeDocument/2006/relationships/hyperlink" Target="https://www.ncgtc.in/en/product-details/CGFMU/Credit-Guarantee-Fund-for-Micro-Units-(CGFMU)" TargetMode="External"/><Relationship Id="rId26" Type="http://schemas.openxmlformats.org/officeDocument/2006/relationships/hyperlink" Target="https://www.pib.gov.in/PressReleasePage.aspx?PRID=2069170" TargetMode="External"/><Relationship Id="rId27" Type="http://schemas.openxmlformats.org/officeDocument/2006/relationships/hyperlink" Target="https://inter.cgtmse.in/" TargetMode="External"/><Relationship Id="rId28" Type="http://schemas.openxmlformats.org/officeDocument/2006/relationships/hyperlink" Target="https://sbi.bank.in/web/business/sme/sme-government-schemes/pmmy" TargetMode="External"/><Relationship Id="rId29" Type="http://schemas.openxmlformats.org/officeDocument/2006/relationships/hyperlink" Target="https://udyamregistration.gov.in/PrintUdyamApplication.aspx" TargetMode="External"/><Relationship Id="rId30" Type="http://schemas.openxmlformats.org/officeDocument/2006/relationships/hyperlink" Target="https://www.jansamarth.in/business-loan-pradhan-mantri-mudra-yojana-scheme" TargetMode="Externa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Relationship Id="rId3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Neat_Office/6.2.8.2$Windows_x86 LibreOffice_project/</Application>
  <Pages>12</Pages>
  <Words>4130</Words>
  <Characters>23049</Characters>
  <CharactersWithSpaces>26945</CharactersWithSpaces>
  <Paragraphs>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2026-10-28T17:29:24Z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