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3459E"/>
          <w:spacing w:val="30"/>
          <w:sz w:val="18"/>
          <w:szCs w:val="18"/>
        </w:rPr>
        <w:t xml:space="preserve">REPORTE DE ARQUITECTURAS · MARCO DE 14 CRITERIOS</w:t>
      </w:r>
    </w:p>
    <w:p>
      <w:pPr>
        <w:spacing w:after="120"/>
      </w:pPr>
      <w:r>
        <w:rPr>
          <w:rFonts w:ascii="Calibri" w:cs="Calibri" w:eastAsia="Calibri" w:hAnsi="Calibri"/>
          <w:b/>
          <w:bCs/>
          <w:color w:val="1B2430"/>
          <w:sz w:val="40"/>
          <w:szCs w:val="40"/>
        </w:rPr>
        <w:t xml:space="preserve">¿Qué harness de agentes resiste un entorno empresarial?</w:t>
      </w:r>
    </w:p>
    <w:p>
      <w:pPr>
        <w:spacing w:after="100" w:line="276"/>
      </w:pPr>
      <w:r>
        <w:rPr>
          <w:rFonts w:ascii="Calibri" w:cs="Calibri" w:eastAsia="Calibri" w:hAnsi="Calibri"/>
          <w:color w:val="455063"/>
          <w:sz w:val="22"/>
          <w:szCs w:val="22"/>
        </w:rPr>
        <w:t xml:space="preserve">Ocho proyectos confrontados contra los catorce criterios de </w:t>
      </w:r>
      <w:r>
        <w:rPr>
          <w:rFonts w:ascii="Calibri" w:cs="Calibri" w:eastAsia="Calibri" w:hAnsi="Calibri"/>
          <w:i/>
          <w:iCs/>
          <w:color w:val="1B2430"/>
          <w:sz w:val="22"/>
          <w:szCs w:val="22"/>
        </w:rPr>
        <w:t xml:space="preserve">harness-empresarial-general.md</w:t>
      </w:r>
      <w:r>
        <w:rPr>
          <w:rFonts w:ascii="Calibri" w:cs="Calibri" w:eastAsia="Calibri" w:hAnsi="Calibri"/>
          <w:color w:val="455063"/>
          <w:sz w:val="22"/>
          <w:szCs w:val="22"/>
        </w:rPr>
        <w:t xml:space="preserve">. La pregunta no es cuál tiene mejor demo, sino cuál fue diseñado para vivir detrás de un webhook, con multi-tenencia, identidad delegada y auditoría regulatoria.</w:t>
      </w:r>
    </w:p>
    <w:p>
      <w:pPr>
        <w:spacing w:after="200"/>
      </w:pPr>
      <w:r>
        <w:rPr>
          <w:rFonts w:ascii="Calibri" w:cs="Calibri" w:eastAsia="Calibri" w:hAnsi="Calibri"/>
          <w:color w:val="6B7684"/>
          <w:sz w:val="17"/>
          <w:szCs w:val="17"/>
        </w:rPr>
        <w:t xml:space="preserve">8 documentos analizados   ·   14 criterios   ·   Fuente: los .md de arquitectura del repo   ·   2026-08-10</w:t>
      </w:r>
    </w:p>
    <w:p>
      <w:pPr>
        <w:pBdr>
          <w:bottom w:val="single" w:color="23459E" w:sz="6"/>
        </w:pBdr>
        <w:spacing w:after="200"/>
      </w:pPr>
      <w:r>
        <w:rPr>
          <w:rFonts w:ascii="Calibri" w:cs="Calibri" w:eastAsia="Calibri" w:hAnsi="Calibri"/>
          <w:color w:val="455063"/>
          <w:sz w:val="21"/>
          <w:szCs w:val="21"/>
        </w:rPr>
        <w:t xml:space="preserve"/>
      </w:r>
    </w:p>
    <w:p>
      <w:pPr>
        <w:pStyle w:val="Heading1"/>
        <w:spacing w:after="140" w:before="320"/>
      </w:pPr>
      <w:r>
        <w:rPr>
          <w:rFonts w:ascii="Calibri" w:cs="Calibri" w:eastAsia="Calibri" w:hAnsi="Calibri"/>
          <w:b/>
          <w:bCs/>
          <w:color w:val="1B2430"/>
          <w:sz w:val="30"/>
          <w:szCs w:val="30"/>
        </w:rPr>
        <w:t xml:space="preserve">Cómo leer esto</w:t>
      </w:r>
    </w:p>
    <w:p>
      <w:pPr>
        <w:spacing w:after="120" w:line="276"/>
      </w:pPr>
      <w:r>
        <w:rPr>
          <w:rFonts w:ascii="Calibri" w:cs="Calibri" w:eastAsia="Calibri" w:hAnsi="Calibri"/>
          <w:color w:val="455063"/>
          <w:sz w:val="21"/>
          <w:szCs w:val="21"/>
        </w:rPr>
        <w:t xml:space="preserve">El documento maestro sostiene una tesis incómoda: casi todos los harnesses de hoy nacieron con el modelo mental </w:t>
      </w:r>
      <w:r>
        <w:rPr>
          <w:rFonts w:ascii="Calibri" w:cs="Calibri" w:eastAsia="Calibri" w:hAnsi="Calibri"/>
          <w:b/>
          <w:bCs/>
          <w:color w:val="1B2430"/>
          <w:sz w:val="21"/>
          <w:szCs w:val="21"/>
        </w:rPr>
        <w:t xml:space="preserve">“un humano, un terminal, un ciclo”</w:t>
      </w:r>
      <w:r>
        <w:rPr>
          <w:rFonts w:ascii="Calibri" w:cs="Calibri" w:eastAsia="Calibri" w:hAnsi="Calibri"/>
          <w:color w:val="455063"/>
          <w:sz w:val="21"/>
          <w:szCs w:val="21"/>
        </w:rPr>
        <w:t xml:space="preserve">. Sirven para asistir a un desarrollador, no para sostener miles de sesiones concurrentes de clientes en un contexto regulado. Evaluar “cuál cumple” exige separar tres cosas.</w:t>
      </w:r>
    </w:p>
    <w:p>
      <w:pPr>
        <w:pStyle w:val="ListParagraph"/>
        <w:numPr>
          <w:ilvl w:val="0"/>
          <w:numId w:val="2"/>
        </w:numPr>
        <w:spacing w:after="100" w:line="276"/>
      </w:pPr>
      <w:r>
        <w:rPr>
          <w:rFonts w:ascii="Calibri" w:cs="Calibri" w:eastAsia="Calibri" w:hAnsi="Calibri"/>
          <w:b/>
          <w:bCs/>
          <w:color w:val="1B2430"/>
          <w:sz w:val="21"/>
          <w:szCs w:val="21"/>
        </w:rPr>
        <w:t xml:space="preserve">Dos de los ocho ni siquiera son harnesses. </w:t>
      </w:r>
      <w:r>
        <w:rPr>
          <w:rFonts w:ascii="Calibri" w:cs="Calibri" w:eastAsia="Calibri" w:hAnsi="Calibri"/>
          <w:color w:val="455063"/>
          <w:sz w:val="21"/>
          <w:szCs w:val="21"/>
        </w:rPr>
        <w:t xml:space="preserve">memU es un subsistema de memoria (sidecar, sin LLM propio) y OpenHands Agent Canvas es solo el frontend React — “el trabajo real lo hace el Agent Server”, ausente del documento. No pueden cumplir el marco porque no son la capa de runtime que el marco evalúa. Se analizan aparte.</w:t>
      </w:r>
    </w:p>
    <w:p>
      <w:pPr>
        <w:pStyle w:val="ListParagraph"/>
        <w:numPr>
          <w:ilvl w:val="0"/>
          <w:numId w:val="2"/>
        </w:numPr>
        <w:spacing w:after="100" w:line="276"/>
      </w:pPr>
      <w:r>
        <w:rPr>
          <w:rFonts w:ascii="Calibri" w:cs="Calibri" w:eastAsia="Calibri" w:hAnsi="Calibri"/>
          <w:b/>
          <w:bCs/>
          <w:color w:val="1B2430"/>
          <w:sz w:val="21"/>
          <w:szCs w:val="21"/>
        </w:rPr>
        <w:t xml:space="preserve">De los seis harnesses reales, ninguno cubre los catorce criterios. </w:t>
      </w:r>
      <w:r>
        <w:rPr>
          <w:rFonts w:ascii="Calibri" w:cs="Calibri" w:eastAsia="Calibri" w:hAnsi="Calibri"/>
          <w:color w:val="455063"/>
          <w:sz w:val="21"/>
          <w:szCs w:val="21"/>
        </w:rPr>
        <w:t xml:space="preserve">Y eso es exactamente lo que predice el maestro (“ningún harness público cubre todos los criterios”). Lo que cambia entre ellos es cuántas capas empresariales ya vienen resueltas de fábrica versus cuántas hay que construir por fuera.</w:t>
      </w:r>
    </w:p>
    <w:p>
      <w:pPr>
        <w:pStyle w:val="Heading1"/>
        <w:spacing w:after="140" w:before="320"/>
      </w:pPr>
      <w:r>
        <w:rPr>
          <w:rFonts w:ascii="Calibri" w:cs="Calibri" w:eastAsia="Calibri" w:hAnsi="Calibri"/>
          <w:b/>
          <w:bCs/>
          <w:color w:val="1B2430"/>
          <w:sz w:val="30"/>
          <w:szCs w:val="30"/>
        </w:rPr>
        <w:t xml:space="preserve">1 · Los criterios de comparación</w:t>
      </w:r>
    </w:p>
    <w:p>
      <w:pPr>
        <w:spacing w:after="140" w:before="0" w:line="276"/>
      </w:pPr>
      <w:r>
        <w:rPr>
          <w:rFonts w:ascii="Calibri" w:cs="Calibri" w:eastAsia="Calibri" w:hAnsi="Calibri"/>
          <w:i/>
          <w:iCs/>
          <w:color w:val="6B7684"/>
          <w:sz w:val="20"/>
          <w:szCs w:val="20"/>
        </w:rPr>
        <w:t xml:space="preserve">Los catorce ejes del marco. Cada columna del cuadro corresponde a uno de estos códigos.</w:t>
      </w:r>
    </w:p>
    <w:tbl>
      <w:tblPr>
        <w:tblW w:type="dxa" w:w="14400"/>
        <w:tblBorders>
          <w:top w:val="single" w:color="C7D0DB" w:sz="2"/>
          <w:left w:val="single" w:color="C7D0DB" w:sz="2"/>
          <w:bottom w:val="single" w:color="C7D0DB" w:sz="2"/>
          <w:right w:val="single" w:color="C7D0DB" w:sz="2"/>
          <w:insideH w:val="single" w:color="auto" w:sz="4"/>
          <w:insideV w:val="single" w:color="auto" w:sz="4"/>
        </w:tblBorders>
      </w:tblPr>
      <w:tblGrid>
        <w:gridCol w:w="1300"/>
        <w:gridCol w:w="3600"/>
        <w:gridCol w:w="9500"/>
      </w:tblGrid>
      <w:tr>
        <w:trPr>
          <w:tblHeader/>
        </w:trPr>
        <w:tc>
          <w:tcPr>
            <w:tcW w:type="dxa" w:w="1300"/>
            <w:tcBorders>
              <w:top w:val="single" w:color="C7D0DB" w:sz="2"/>
              <w:left w:val="single" w:color="C7D0DB" w:sz="2"/>
              <w:bottom w:val="single" w:color="C7D0DB" w:sz="2"/>
              <w:right w:val="single" w:color="C7D0DB" w:sz="2"/>
            </w:tcBorders>
            <w:shd w:fill="1B2430"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9"/>
                <w:szCs w:val="19"/>
              </w:rPr>
              <w:t xml:space="preserve">Cód.</w:t>
            </w:r>
          </w:p>
        </w:tc>
        <w:tc>
          <w:tcPr>
            <w:tcW w:type="dxa" w:w="3600"/>
            <w:tcBorders>
              <w:top w:val="single" w:color="C7D0DB" w:sz="2"/>
              <w:left w:val="single" w:color="C7D0DB" w:sz="2"/>
              <w:bottom w:val="single" w:color="C7D0DB" w:sz="2"/>
              <w:right w:val="single" w:color="C7D0DB" w:sz="2"/>
            </w:tcBorders>
            <w:shd w:fill="1B2430"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9"/>
                <w:szCs w:val="19"/>
              </w:rPr>
              <w:t xml:space="preserve">Criterio</w:t>
            </w:r>
          </w:p>
        </w:tc>
        <w:tc>
          <w:tcPr>
            <w:tcW w:type="dxa" w:w="9500"/>
            <w:tcBorders>
              <w:top w:val="single" w:color="C7D0DB" w:sz="2"/>
              <w:left w:val="single" w:color="C7D0DB" w:sz="2"/>
              <w:bottom w:val="single" w:color="C7D0DB" w:sz="2"/>
              <w:right w:val="single" w:color="C7D0DB" w:sz="2"/>
            </w:tcBorders>
            <w:shd w:fill="1B2430"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9"/>
                <w:szCs w:val="19"/>
              </w:rPr>
              <w:t xml:space="preserve">Pregunta guía</w:t>
            </w:r>
          </w:p>
        </w:tc>
      </w:tr>
      <w:tr>
        <w:tc>
          <w:tcPr>
            <w:tcW w:type="dxa" w:w="1300"/>
            <w:tcBorders>
              <w:top w:val="single" w:color="C7D0DB" w:sz="2"/>
              <w:left w:val="single" w:color="C7D0DB" w:sz="2"/>
              <w:bottom w:val="single" w:color="C7D0DB" w:sz="2"/>
              <w:right w:val="single" w:color="C7D0DB" w:sz="2"/>
            </w:tcBorders>
            <w:shd w:fill="FFFFFF" w:color="auto" w:val="clear"/>
            <w:tcMar>
              <w:top w:type="dxa" w:w="60"/>
              <w:left w:type="dxa" w:w="90"/>
              <w:bottom w:type="dxa" w:w="60"/>
              <w:right w:type="dxa" w:w="90"/>
            </w:tcMar>
            <w:vAlign w:val="center"/>
          </w:tcPr>
          <w:p>
            <w:pPr>
              <w:spacing w:after="0" w:line="230"/>
            </w:pPr>
            <w:r>
              <w:rPr>
                <w:rFonts w:ascii="Calibri" w:cs="Calibri" w:eastAsia="Calibri" w:hAnsi="Calibri"/>
                <w:b/>
                <w:bCs/>
                <w:color w:val="23459E"/>
                <w:sz w:val="19"/>
                <w:szCs w:val="19"/>
              </w:rPr>
              <w:t xml:space="preserve">C1</w:t>
            </w:r>
          </w:p>
        </w:tc>
        <w:tc>
          <w:tcPr>
            <w:tcW w:type="dxa" w:w="3600"/>
            <w:tcBorders>
              <w:top w:val="single" w:color="C7D0DB" w:sz="2"/>
              <w:left w:val="single" w:color="C7D0DB" w:sz="2"/>
              <w:bottom w:val="single" w:color="C7D0DB" w:sz="2"/>
              <w:right w:val="single" w:color="C7D0DB" w:sz="2"/>
            </w:tcBorders>
            <w:shd w:fill="FFFFFF" w:color="auto" w:val="clear"/>
            <w:tcMar>
              <w:top w:type="dxa" w:w="60"/>
              <w:left w:type="dxa" w:w="90"/>
              <w:bottom w:type="dxa" w:w="60"/>
              <w:right w:type="dxa" w:w="90"/>
            </w:tcMar>
            <w:vAlign w:val="center"/>
          </w:tcPr>
          <w:p>
            <w:pPr>
              <w:spacing w:after="0" w:line="230"/>
            </w:pPr>
            <w:r>
              <w:rPr>
                <w:rFonts w:ascii="Calibri" w:cs="Calibri" w:eastAsia="Calibri" w:hAnsi="Calibri"/>
                <w:b/>
                <w:bCs/>
                <w:color w:val="1B2430"/>
                <w:sz w:val="19"/>
                <w:szCs w:val="19"/>
              </w:rPr>
              <w:t xml:space="preserve">Modelo de activación</w:t>
            </w:r>
          </w:p>
        </w:tc>
        <w:tc>
          <w:tcPr>
            <w:tcW w:type="dxa" w:w="9500"/>
            <w:tcBorders>
              <w:top w:val="single" w:color="C7D0DB" w:sz="2"/>
              <w:left w:val="single" w:color="C7D0DB" w:sz="2"/>
              <w:bottom w:val="single" w:color="C7D0DB" w:sz="2"/>
              <w:right w:val="single" w:color="C7D0DB" w:sz="2"/>
            </w:tcBorders>
            <w:shd w:fill="FFFFFF" w:color="auto" w:val="clear"/>
            <w:tcMar>
              <w:top w:type="dxa" w:w="60"/>
              <w:left w:type="dxa" w:w="90"/>
              <w:bottom w:type="dxa" w:w="60"/>
              <w:right w:type="dxa" w:w="90"/>
            </w:tcMar>
            <w:vAlign w:val="center"/>
          </w:tcPr>
          <w:p>
            <w:pPr>
              <w:spacing w:after="0" w:line="230"/>
            </w:pPr>
            <w:r>
              <w:rPr>
                <w:rFonts w:ascii="Calibri" w:cs="Calibri" w:eastAsia="Calibri" w:hAnsi="Calibri"/>
                <w:color w:val="455063"/>
                <w:sz w:val="19"/>
                <w:szCs w:val="19"/>
              </w:rPr>
              <w:t xml:space="preserve">¿El ciclo del agente está desacoplado del canal de entrada? Webhook, cola, REST/gRPC, cron.</w:t>
            </w:r>
          </w:p>
        </w:tc>
      </w:tr>
      <w:tr>
        <w:tc>
          <w:tcPr>
            <w:tcW w:type="dxa" w:w="1300"/>
            <w:tcBorders>
              <w:top w:val="single" w:color="C7D0DB" w:sz="2"/>
              <w:left w:val="single" w:color="C7D0DB" w:sz="2"/>
              <w:bottom w:val="single" w:color="C7D0DB" w:sz="2"/>
              <w:right w:val="single" w:color="C7D0DB" w:sz="2"/>
            </w:tcBorders>
            <w:shd w:fill="EEF2F7" w:color="auto" w:val="clear"/>
            <w:tcMar>
              <w:top w:type="dxa" w:w="60"/>
              <w:left w:type="dxa" w:w="90"/>
              <w:bottom w:type="dxa" w:w="60"/>
              <w:right w:type="dxa" w:w="90"/>
            </w:tcMar>
            <w:vAlign w:val="center"/>
          </w:tcPr>
          <w:p>
            <w:pPr>
              <w:spacing w:after="0" w:line="230"/>
            </w:pPr>
            <w:r>
              <w:rPr>
                <w:rFonts w:ascii="Calibri" w:cs="Calibri" w:eastAsia="Calibri" w:hAnsi="Calibri"/>
                <w:b/>
                <w:bCs/>
                <w:color w:val="23459E"/>
                <w:sz w:val="19"/>
                <w:szCs w:val="19"/>
              </w:rPr>
              <w:t xml:space="preserve">C2</w:t>
            </w:r>
          </w:p>
        </w:tc>
        <w:tc>
          <w:tcPr>
            <w:tcW w:type="dxa" w:w="3600"/>
            <w:tcBorders>
              <w:top w:val="single" w:color="C7D0DB" w:sz="2"/>
              <w:left w:val="single" w:color="C7D0DB" w:sz="2"/>
              <w:bottom w:val="single" w:color="C7D0DB" w:sz="2"/>
              <w:right w:val="single" w:color="C7D0DB" w:sz="2"/>
            </w:tcBorders>
            <w:shd w:fill="EEF2F7" w:color="auto" w:val="clear"/>
            <w:tcMar>
              <w:top w:type="dxa" w:w="60"/>
              <w:left w:type="dxa" w:w="90"/>
              <w:bottom w:type="dxa" w:w="60"/>
              <w:right w:type="dxa" w:w="90"/>
            </w:tcMar>
            <w:vAlign w:val="center"/>
          </w:tcPr>
          <w:p>
            <w:pPr>
              <w:spacing w:after="0" w:line="230"/>
            </w:pPr>
            <w:r>
              <w:rPr>
                <w:rFonts w:ascii="Calibri" w:cs="Calibri" w:eastAsia="Calibri" w:hAnsi="Calibri"/>
                <w:b/>
                <w:bCs/>
                <w:color w:val="1B2430"/>
                <w:sz w:val="19"/>
                <w:szCs w:val="19"/>
              </w:rPr>
              <w:t xml:space="preserve">Persistencia de sesión</w:t>
            </w:r>
          </w:p>
        </w:tc>
        <w:tc>
          <w:tcPr>
            <w:tcW w:type="dxa" w:w="9500"/>
            <w:tcBorders>
              <w:top w:val="single" w:color="C7D0DB" w:sz="2"/>
              <w:left w:val="single" w:color="C7D0DB" w:sz="2"/>
              <w:bottom w:val="single" w:color="C7D0DB" w:sz="2"/>
              <w:right w:val="single" w:color="C7D0DB" w:sz="2"/>
            </w:tcBorders>
            <w:shd w:fill="EEF2F7" w:color="auto" w:val="clear"/>
            <w:tcMar>
              <w:top w:type="dxa" w:w="60"/>
              <w:left w:type="dxa" w:w="90"/>
              <w:bottom w:type="dxa" w:w="60"/>
              <w:right w:type="dxa" w:w="90"/>
            </w:tcMar>
            <w:vAlign w:val="center"/>
          </w:tcPr>
          <w:p>
            <w:pPr>
              <w:spacing w:after="0" w:line="230"/>
            </w:pPr>
            <w:r>
              <w:rPr>
                <w:rFonts w:ascii="Calibri" w:cs="Calibri" w:eastAsia="Calibri" w:hAnsi="Calibri"/>
                <w:color w:val="455063"/>
                <w:sz w:val="19"/>
                <w:szCs w:val="19"/>
              </w:rPr>
              <w:t xml:space="preserve">¿Sesiones de larga duración con checkpoint, hibernación y reanudación tras caída?</w:t>
            </w:r>
          </w:p>
        </w:tc>
      </w:tr>
      <w:tr>
        <w:tc>
          <w:tcPr>
            <w:tcW w:type="dxa" w:w="1300"/>
            <w:tcBorders>
              <w:top w:val="single" w:color="C7D0DB" w:sz="2"/>
              <w:left w:val="single" w:color="C7D0DB" w:sz="2"/>
              <w:bottom w:val="single" w:color="C7D0DB" w:sz="2"/>
              <w:right w:val="single" w:color="C7D0DB" w:sz="2"/>
            </w:tcBorders>
            <w:shd w:fill="FFFFFF" w:color="auto" w:val="clear"/>
            <w:tcMar>
              <w:top w:type="dxa" w:w="60"/>
              <w:left w:type="dxa" w:w="90"/>
              <w:bottom w:type="dxa" w:w="60"/>
              <w:right w:type="dxa" w:w="90"/>
            </w:tcMar>
            <w:vAlign w:val="center"/>
          </w:tcPr>
          <w:p>
            <w:pPr>
              <w:spacing w:after="0" w:line="230"/>
            </w:pPr>
            <w:r>
              <w:rPr>
                <w:rFonts w:ascii="Calibri" w:cs="Calibri" w:eastAsia="Calibri" w:hAnsi="Calibri"/>
                <w:b/>
                <w:bCs/>
                <w:color w:val="23459E"/>
                <w:sz w:val="19"/>
                <w:szCs w:val="19"/>
              </w:rPr>
              <w:t xml:space="preserve">C3</w:t>
            </w:r>
          </w:p>
        </w:tc>
        <w:tc>
          <w:tcPr>
            <w:tcW w:type="dxa" w:w="3600"/>
            <w:tcBorders>
              <w:top w:val="single" w:color="C7D0DB" w:sz="2"/>
              <w:left w:val="single" w:color="C7D0DB" w:sz="2"/>
              <w:bottom w:val="single" w:color="C7D0DB" w:sz="2"/>
              <w:right w:val="single" w:color="C7D0DB" w:sz="2"/>
            </w:tcBorders>
            <w:shd w:fill="FFFFFF" w:color="auto" w:val="clear"/>
            <w:tcMar>
              <w:top w:type="dxa" w:w="60"/>
              <w:left w:type="dxa" w:w="90"/>
              <w:bottom w:type="dxa" w:w="60"/>
              <w:right w:type="dxa" w:w="90"/>
            </w:tcMar>
            <w:vAlign w:val="center"/>
          </w:tcPr>
          <w:p>
            <w:pPr>
              <w:spacing w:after="0" w:line="230"/>
            </w:pPr>
            <w:r>
              <w:rPr>
                <w:rFonts w:ascii="Calibri" w:cs="Calibri" w:eastAsia="Calibri" w:hAnsi="Calibri"/>
                <w:b/>
                <w:bCs/>
                <w:color w:val="1B2430"/>
                <w:sz w:val="19"/>
                <w:szCs w:val="19"/>
              </w:rPr>
              <w:t xml:space="preserve">Concurrencia y multi-tenencia</w:t>
            </w:r>
          </w:p>
        </w:tc>
        <w:tc>
          <w:tcPr>
            <w:tcW w:type="dxa" w:w="9500"/>
            <w:tcBorders>
              <w:top w:val="single" w:color="C7D0DB" w:sz="2"/>
              <w:left w:val="single" w:color="C7D0DB" w:sz="2"/>
              <w:bottom w:val="single" w:color="C7D0DB" w:sz="2"/>
              <w:right w:val="single" w:color="C7D0DB" w:sz="2"/>
            </w:tcBorders>
            <w:shd w:fill="FFFFFF" w:color="auto" w:val="clear"/>
            <w:tcMar>
              <w:top w:type="dxa" w:w="60"/>
              <w:left w:type="dxa" w:w="90"/>
              <w:bottom w:type="dxa" w:w="60"/>
              <w:right w:type="dxa" w:w="90"/>
            </w:tcMar>
            <w:vAlign w:val="center"/>
          </w:tcPr>
          <w:p>
            <w:pPr>
              <w:spacing w:after="0" w:line="230"/>
            </w:pPr>
            <w:r>
              <w:rPr>
                <w:rFonts w:ascii="Calibri" w:cs="Calibri" w:eastAsia="Calibri" w:hAnsi="Calibri"/>
                <w:color w:val="455063"/>
                <w:sz w:val="19"/>
                <w:szCs w:val="19"/>
              </w:rPr>
              <w:t xml:space="preserve">¿Aislamiento estricto entre tenants, con cuotas y sandboxing por-tenant?</w:t>
            </w:r>
          </w:p>
        </w:tc>
      </w:tr>
      <w:tr>
        <w:tc>
          <w:tcPr>
            <w:tcW w:type="dxa" w:w="1300"/>
            <w:tcBorders>
              <w:top w:val="single" w:color="C7D0DB" w:sz="2"/>
              <w:left w:val="single" w:color="C7D0DB" w:sz="2"/>
              <w:bottom w:val="single" w:color="C7D0DB" w:sz="2"/>
              <w:right w:val="single" w:color="C7D0DB" w:sz="2"/>
            </w:tcBorders>
            <w:shd w:fill="EEF2F7" w:color="auto" w:val="clear"/>
            <w:tcMar>
              <w:top w:type="dxa" w:w="60"/>
              <w:left w:type="dxa" w:w="90"/>
              <w:bottom w:type="dxa" w:w="60"/>
              <w:right w:type="dxa" w:w="90"/>
            </w:tcMar>
            <w:vAlign w:val="center"/>
          </w:tcPr>
          <w:p>
            <w:pPr>
              <w:spacing w:after="0" w:line="230"/>
            </w:pPr>
            <w:r>
              <w:rPr>
                <w:rFonts w:ascii="Calibri" w:cs="Calibri" w:eastAsia="Calibri" w:hAnsi="Calibri"/>
                <w:b/>
                <w:bCs/>
                <w:color w:val="23459E"/>
                <w:sz w:val="19"/>
                <w:szCs w:val="19"/>
              </w:rPr>
              <w:t xml:space="preserve">C4</w:t>
            </w:r>
          </w:p>
        </w:tc>
        <w:tc>
          <w:tcPr>
            <w:tcW w:type="dxa" w:w="3600"/>
            <w:tcBorders>
              <w:top w:val="single" w:color="C7D0DB" w:sz="2"/>
              <w:left w:val="single" w:color="C7D0DB" w:sz="2"/>
              <w:bottom w:val="single" w:color="C7D0DB" w:sz="2"/>
              <w:right w:val="single" w:color="C7D0DB" w:sz="2"/>
            </w:tcBorders>
            <w:shd w:fill="EEF2F7" w:color="auto" w:val="clear"/>
            <w:tcMar>
              <w:top w:type="dxa" w:w="60"/>
              <w:left w:type="dxa" w:w="90"/>
              <w:bottom w:type="dxa" w:w="60"/>
              <w:right w:type="dxa" w:w="90"/>
            </w:tcMar>
            <w:vAlign w:val="center"/>
          </w:tcPr>
          <w:p>
            <w:pPr>
              <w:spacing w:after="0" w:line="230"/>
            </w:pPr>
            <w:r>
              <w:rPr>
                <w:rFonts w:ascii="Calibri" w:cs="Calibri" w:eastAsia="Calibri" w:hAnsi="Calibri"/>
                <w:b/>
                <w:bCs/>
                <w:color w:val="1B2430"/>
                <w:sz w:val="19"/>
                <w:szCs w:val="19"/>
              </w:rPr>
              <w:t xml:space="preserve">Identidad y delegación</w:t>
            </w:r>
          </w:p>
        </w:tc>
        <w:tc>
          <w:tcPr>
            <w:tcW w:type="dxa" w:w="9500"/>
            <w:tcBorders>
              <w:top w:val="single" w:color="C7D0DB" w:sz="2"/>
              <w:left w:val="single" w:color="C7D0DB" w:sz="2"/>
              <w:bottom w:val="single" w:color="C7D0DB" w:sz="2"/>
              <w:right w:val="single" w:color="C7D0DB" w:sz="2"/>
            </w:tcBorders>
            <w:shd w:fill="EEF2F7" w:color="auto" w:val="clear"/>
            <w:tcMar>
              <w:top w:type="dxa" w:w="60"/>
              <w:left w:type="dxa" w:w="90"/>
              <w:bottom w:type="dxa" w:w="60"/>
              <w:right w:type="dxa" w:w="90"/>
            </w:tcMar>
            <w:vAlign w:val="center"/>
          </w:tcPr>
          <w:p>
            <w:pPr>
              <w:spacing w:after="0" w:line="230"/>
            </w:pPr>
            <w:r>
              <w:rPr>
                <w:rFonts w:ascii="Calibri" w:cs="Calibri" w:eastAsia="Calibri" w:hAnsi="Calibri"/>
                <w:color w:val="455063"/>
                <w:sz w:val="19"/>
                <w:szCs w:val="19"/>
              </w:rPr>
              <w:t xml:space="preserve">¿Cuenta de servicio o delegación on-behalf-of del usuario final autenticado?</w:t>
            </w:r>
          </w:p>
        </w:tc>
      </w:tr>
      <w:tr>
        <w:tc>
          <w:tcPr>
            <w:tcW w:type="dxa" w:w="1300"/>
            <w:tcBorders>
              <w:top w:val="single" w:color="C7D0DB" w:sz="2"/>
              <w:left w:val="single" w:color="C7D0DB" w:sz="2"/>
              <w:bottom w:val="single" w:color="C7D0DB" w:sz="2"/>
              <w:right w:val="single" w:color="C7D0DB" w:sz="2"/>
            </w:tcBorders>
            <w:shd w:fill="FFFFFF" w:color="auto" w:val="clear"/>
            <w:tcMar>
              <w:top w:type="dxa" w:w="60"/>
              <w:left w:type="dxa" w:w="90"/>
              <w:bottom w:type="dxa" w:w="60"/>
              <w:right w:type="dxa" w:w="90"/>
            </w:tcMar>
            <w:vAlign w:val="center"/>
          </w:tcPr>
          <w:p>
            <w:pPr>
              <w:spacing w:after="0" w:line="230"/>
            </w:pPr>
            <w:r>
              <w:rPr>
                <w:rFonts w:ascii="Calibri" w:cs="Calibri" w:eastAsia="Calibri" w:hAnsi="Calibri"/>
                <w:b/>
                <w:bCs/>
                <w:color w:val="23459E"/>
                <w:sz w:val="19"/>
                <w:szCs w:val="19"/>
              </w:rPr>
              <w:t xml:space="preserve">C5</w:t>
            </w:r>
          </w:p>
        </w:tc>
        <w:tc>
          <w:tcPr>
            <w:tcW w:type="dxa" w:w="3600"/>
            <w:tcBorders>
              <w:top w:val="single" w:color="C7D0DB" w:sz="2"/>
              <w:left w:val="single" w:color="C7D0DB" w:sz="2"/>
              <w:bottom w:val="single" w:color="C7D0DB" w:sz="2"/>
              <w:right w:val="single" w:color="C7D0DB" w:sz="2"/>
            </w:tcBorders>
            <w:shd w:fill="FFFFFF" w:color="auto" w:val="clear"/>
            <w:tcMar>
              <w:top w:type="dxa" w:w="60"/>
              <w:left w:type="dxa" w:w="90"/>
              <w:bottom w:type="dxa" w:w="60"/>
              <w:right w:type="dxa" w:w="90"/>
            </w:tcMar>
            <w:vAlign w:val="center"/>
          </w:tcPr>
          <w:p>
            <w:pPr>
              <w:spacing w:after="0" w:line="230"/>
            </w:pPr>
            <w:r>
              <w:rPr>
                <w:rFonts w:ascii="Calibri" w:cs="Calibri" w:eastAsia="Calibri" w:hAnsi="Calibri"/>
                <w:b/>
                <w:bCs/>
                <w:color w:val="1B2430"/>
                <w:sz w:val="19"/>
                <w:szCs w:val="19"/>
              </w:rPr>
              <w:t xml:space="preserve">Auditoría y trazabilidad</w:t>
            </w:r>
          </w:p>
        </w:tc>
        <w:tc>
          <w:tcPr>
            <w:tcW w:type="dxa" w:w="9500"/>
            <w:tcBorders>
              <w:top w:val="single" w:color="C7D0DB" w:sz="2"/>
              <w:left w:val="single" w:color="C7D0DB" w:sz="2"/>
              <w:bottom w:val="single" w:color="C7D0DB" w:sz="2"/>
              <w:right w:val="single" w:color="C7D0DB" w:sz="2"/>
            </w:tcBorders>
            <w:shd w:fill="FFFFFF" w:color="auto" w:val="clear"/>
            <w:tcMar>
              <w:top w:type="dxa" w:w="60"/>
              <w:left w:type="dxa" w:w="90"/>
              <w:bottom w:type="dxa" w:w="60"/>
              <w:right w:type="dxa" w:w="90"/>
            </w:tcMar>
            <w:vAlign w:val="center"/>
          </w:tcPr>
          <w:p>
            <w:pPr>
              <w:spacing w:after="0" w:line="230"/>
            </w:pPr>
            <w:r>
              <w:rPr>
                <w:rFonts w:ascii="Calibri" w:cs="Calibri" w:eastAsia="Calibri" w:hAnsi="Calibri"/>
                <w:color w:val="455063"/>
                <w:sz w:val="19"/>
                <w:szCs w:val="19"/>
              </w:rPr>
              <w:t xml:space="preserve">¿Registro inmutable (append-only) con replay forense de prompt/tool/respuesta?</w:t>
            </w:r>
          </w:p>
        </w:tc>
      </w:tr>
      <w:tr>
        <w:tc>
          <w:tcPr>
            <w:tcW w:type="dxa" w:w="1300"/>
            <w:tcBorders>
              <w:top w:val="single" w:color="C7D0DB" w:sz="2"/>
              <w:left w:val="single" w:color="C7D0DB" w:sz="2"/>
              <w:bottom w:val="single" w:color="C7D0DB" w:sz="2"/>
              <w:right w:val="single" w:color="C7D0DB" w:sz="2"/>
            </w:tcBorders>
            <w:shd w:fill="EEF2F7" w:color="auto" w:val="clear"/>
            <w:tcMar>
              <w:top w:type="dxa" w:w="60"/>
              <w:left w:type="dxa" w:w="90"/>
              <w:bottom w:type="dxa" w:w="60"/>
              <w:right w:type="dxa" w:w="90"/>
            </w:tcMar>
            <w:vAlign w:val="center"/>
          </w:tcPr>
          <w:p>
            <w:pPr>
              <w:spacing w:after="0" w:line="230"/>
            </w:pPr>
            <w:r>
              <w:rPr>
                <w:rFonts w:ascii="Calibri" w:cs="Calibri" w:eastAsia="Calibri" w:hAnsi="Calibri"/>
                <w:b/>
                <w:bCs/>
                <w:color w:val="23459E"/>
                <w:sz w:val="19"/>
                <w:szCs w:val="19"/>
              </w:rPr>
              <w:t xml:space="preserve">C6</w:t>
            </w:r>
          </w:p>
        </w:tc>
        <w:tc>
          <w:tcPr>
            <w:tcW w:type="dxa" w:w="3600"/>
            <w:tcBorders>
              <w:top w:val="single" w:color="C7D0DB" w:sz="2"/>
              <w:left w:val="single" w:color="C7D0DB" w:sz="2"/>
              <w:bottom w:val="single" w:color="C7D0DB" w:sz="2"/>
              <w:right w:val="single" w:color="C7D0DB" w:sz="2"/>
            </w:tcBorders>
            <w:shd w:fill="EEF2F7" w:color="auto" w:val="clear"/>
            <w:tcMar>
              <w:top w:type="dxa" w:w="60"/>
              <w:left w:type="dxa" w:w="90"/>
              <w:bottom w:type="dxa" w:w="60"/>
              <w:right w:type="dxa" w:w="90"/>
            </w:tcMar>
            <w:vAlign w:val="center"/>
          </w:tcPr>
          <w:p>
            <w:pPr>
              <w:spacing w:after="0" w:line="230"/>
            </w:pPr>
            <w:r>
              <w:rPr>
                <w:rFonts w:ascii="Calibri" w:cs="Calibri" w:eastAsia="Calibri" w:hAnsi="Calibri"/>
                <w:b/>
                <w:bCs/>
                <w:color w:val="1B2430"/>
                <w:sz w:val="19"/>
                <w:szCs w:val="19"/>
              </w:rPr>
              <w:t xml:space="preserve">Gobernanza y guardrails</w:t>
            </w:r>
          </w:p>
        </w:tc>
        <w:tc>
          <w:tcPr>
            <w:tcW w:type="dxa" w:w="9500"/>
            <w:tcBorders>
              <w:top w:val="single" w:color="C7D0DB" w:sz="2"/>
              <w:left w:val="single" w:color="C7D0DB" w:sz="2"/>
              <w:bottom w:val="single" w:color="C7D0DB" w:sz="2"/>
              <w:right w:val="single" w:color="C7D0DB" w:sz="2"/>
            </w:tcBorders>
            <w:shd w:fill="EEF2F7" w:color="auto" w:val="clear"/>
            <w:tcMar>
              <w:top w:type="dxa" w:w="60"/>
              <w:left w:type="dxa" w:w="90"/>
              <w:bottom w:type="dxa" w:w="60"/>
              <w:right w:type="dxa" w:w="90"/>
            </w:tcMar>
            <w:vAlign w:val="center"/>
          </w:tcPr>
          <w:p>
            <w:pPr>
              <w:spacing w:after="0" w:line="230"/>
            </w:pPr>
            <w:r>
              <w:rPr>
                <w:rFonts w:ascii="Calibri" w:cs="Calibri" w:eastAsia="Calibri" w:hAnsi="Calibri"/>
                <w:color w:val="455063"/>
                <w:sz w:val="19"/>
                <w:szCs w:val="19"/>
              </w:rPr>
              <w:t xml:space="preserve">¿Aprobación humana, políticas por rol y límites de gasto como primitivas del runtime?</w:t>
            </w:r>
          </w:p>
        </w:tc>
      </w:tr>
      <w:tr>
        <w:tc>
          <w:tcPr>
            <w:tcW w:type="dxa" w:w="1300"/>
            <w:tcBorders>
              <w:top w:val="single" w:color="C7D0DB" w:sz="2"/>
              <w:left w:val="single" w:color="C7D0DB" w:sz="2"/>
              <w:bottom w:val="single" w:color="C7D0DB" w:sz="2"/>
              <w:right w:val="single" w:color="C7D0DB" w:sz="2"/>
            </w:tcBorders>
            <w:shd w:fill="FFFFFF" w:color="auto" w:val="clear"/>
            <w:tcMar>
              <w:top w:type="dxa" w:w="60"/>
              <w:left w:type="dxa" w:w="90"/>
              <w:bottom w:type="dxa" w:w="60"/>
              <w:right w:type="dxa" w:w="90"/>
            </w:tcMar>
            <w:vAlign w:val="center"/>
          </w:tcPr>
          <w:p>
            <w:pPr>
              <w:spacing w:after="0" w:line="230"/>
            </w:pPr>
            <w:r>
              <w:rPr>
                <w:rFonts w:ascii="Calibri" w:cs="Calibri" w:eastAsia="Calibri" w:hAnsi="Calibri"/>
                <w:b/>
                <w:bCs/>
                <w:color w:val="23459E"/>
                <w:sz w:val="19"/>
                <w:szCs w:val="19"/>
              </w:rPr>
              <w:t xml:space="preserve">C7</w:t>
            </w:r>
          </w:p>
        </w:tc>
        <w:tc>
          <w:tcPr>
            <w:tcW w:type="dxa" w:w="3600"/>
            <w:tcBorders>
              <w:top w:val="single" w:color="C7D0DB" w:sz="2"/>
              <w:left w:val="single" w:color="C7D0DB" w:sz="2"/>
              <w:bottom w:val="single" w:color="C7D0DB" w:sz="2"/>
              <w:right w:val="single" w:color="C7D0DB" w:sz="2"/>
            </w:tcBorders>
            <w:shd w:fill="FFFFFF" w:color="auto" w:val="clear"/>
            <w:tcMar>
              <w:top w:type="dxa" w:w="60"/>
              <w:left w:type="dxa" w:w="90"/>
              <w:bottom w:type="dxa" w:w="60"/>
              <w:right w:type="dxa" w:w="90"/>
            </w:tcMar>
            <w:vAlign w:val="center"/>
          </w:tcPr>
          <w:p>
            <w:pPr>
              <w:spacing w:after="0" w:line="230"/>
            </w:pPr>
            <w:r>
              <w:rPr>
                <w:rFonts w:ascii="Calibri" w:cs="Calibri" w:eastAsia="Calibri" w:hAnsi="Calibri"/>
                <w:b/>
                <w:bCs/>
                <w:color w:val="1B2430"/>
                <w:sz w:val="19"/>
                <w:szCs w:val="19"/>
              </w:rPr>
              <w:t xml:space="preserve">Semántica de fallo</w:t>
            </w:r>
          </w:p>
        </w:tc>
        <w:tc>
          <w:tcPr>
            <w:tcW w:type="dxa" w:w="9500"/>
            <w:tcBorders>
              <w:top w:val="single" w:color="C7D0DB" w:sz="2"/>
              <w:left w:val="single" w:color="C7D0DB" w:sz="2"/>
              <w:bottom w:val="single" w:color="C7D0DB" w:sz="2"/>
              <w:right w:val="single" w:color="C7D0DB" w:sz="2"/>
            </w:tcBorders>
            <w:shd w:fill="FFFFFF" w:color="auto" w:val="clear"/>
            <w:tcMar>
              <w:top w:type="dxa" w:w="60"/>
              <w:left w:type="dxa" w:w="90"/>
              <w:bottom w:type="dxa" w:w="60"/>
              <w:right w:type="dxa" w:w="90"/>
            </w:tcMar>
            <w:vAlign w:val="center"/>
          </w:tcPr>
          <w:p>
            <w:pPr>
              <w:spacing w:after="0" w:line="230"/>
            </w:pPr>
            <w:r>
              <w:rPr>
                <w:rFonts w:ascii="Calibri" w:cs="Calibri" w:eastAsia="Calibri" w:hAnsi="Calibri"/>
                <w:color w:val="455063"/>
                <w:sz w:val="19"/>
                <w:szCs w:val="19"/>
              </w:rPr>
              <w:t xml:space="preserve">¿Idempotencia, reintentos, dead-letter queue y escalamiento sin humano observando?</w:t>
            </w:r>
          </w:p>
        </w:tc>
      </w:tr>
      <w:tr>
        <w:tc>
          <w:tcPr>
            <w:tcW w:type="dxa" w:w="1300"/>
            <w:tcBorders>
              <w:top w:val="single" w:color="C7D0DB" w:sz="2"/>
              <w:left w:val="single" w:color="C7D0DB" w:sz="2"/>
              <w:bottom w:val="single" w:color="C7D0DB" w:sz="2"/>
              <w:right w:val="single" w:color="C7D0DB" w:sz="2"/>
            </w:tcBorders>
            <w:shd w:fill="EEF2F7" w:color="auto" w:val="clear"/>
            <w:tcMar>
              <w:top w:type="dxa" w:w="60"/>
              <w:left w:type="dxa" w:w="90"/>
              <w:bottom w:type="dxa" w:w="60"/>
              <w:right w:type="dxa" w:w="90"/>
            </w:tcMar>
            <w:vAlign w:val="center"/>
          </w:tcPr>
          <w:p>
            <w:pPr>
              <w:spacing w:after="0" w:line="230"/>
            </w:pPr>
            <w:r>
              <w:rPr>
                <w:rFonts w:ascii="Calibri" w:cs="Calibri" w:eastAsia="Calibri" w:hAnsi="Calibri"/>
                <w:b/>
                <w:bCs/>
                <w:color w:val="23459E"/>
                <w:sz w:val="19"/>
                <w:szCs w:val="19"/>
              </w:rPr>
              <w:t xml:space="preserve">C8</w:t>
            </w:r>
          </w:p>
        </w:tc>
        <w:tc>
          <w:tcPr>
            <w:tcW w:type="dxa" w:w="3600"/>
            <w:tcBorders>
              <w:top w:val="single" w:color="C7D0DB" w:sz="2"/>
              <w:left w:val="single" w:color="C7D0DB" w:sz="2"/>
              <w:bottom w:val="single" w:color="C7D0DB" w:sz="2"/>
              <w:right w:val="single" w:color="C7D0DB" w:sz="2"/>
            </w:tcBorders>
            <w:shd w:fill="EEF2F7" w:color="auto" w:val="clear"/>
            <w:tcMar>
              <w:top w:type="dxa" w:w="60"/>
              <w:left w:type="dxa" w:w="90"/>
              <w:bottom w:type="dxa" w:w="60"/>
              <w:right w:type="dxa" w:w="90"/>
            </w:tcMar>
            <w:vAlign w:val="center"/>
          </w:tcPr>
          <w:p>
            <w:pPr>
              <w:spacing w:after="0" w:line="230"/>
            </w:pPr>
            <w:r>
              <w:rPr>
                <w:rFonts w:ascii="Calibri" w:cs="Calibri" w:eastAsia="Calibri" w:hAnsi="Calibri"/>
                <w:b/>
                <w:bCs/>
                <w:color w:val="1B2430"/>
                <w:sz w:val="19"/>
                <w:szCs w:val="19"/>
              </w:rPr>
              <w:t xml:space="preserve">Integración saliente</w:t>
            </w:r>
          </w:p>
        </w:tc>
        <w:tc>
          <w:tcPr>
            <w:tcW w:type="dxa" w:w="9500"/>
            <w:tcBorders>
              <w:top w:val="single" w:color="C7D0DB" w:sz="2"/>
              <w:left w:val="single" w:color="C7D0DB" w:sz="2"/>
              <w:bottom w:val="single" w:color="C7D0DB" w:sz="2"/>
              <w:right w:val="single" w:color="C7D0DB" w:sz="2"/>
            </w:tcBorders>
            <w:shd w:fill="EEF2F7" w:color="auto" w:val="clear"/>
            <w:tcMar>
              <w:top w:type="dxa" w:w="60"/>
              <w:left w:type="dxa" w:w="90"/>
              <w:bottom w:type="dxa" w:w="60"/>
              <w:right w:type="dxa" w:w="90"/>
            </w:tcMar>
            <w:vAlign w:val="center"/>
          </w:tcPr>
          <w:p>
            <w:pPr>
              <w:spacing w:after="0" w:line="230"/>
            </w:pPr>
            <w:r>
              <w:rPr>
                <w:rFonts w:ascii="Calibri" w:cs="Calibri" w:eastAsia="Calibri" w:hAnsi="Calibri"/>
                <w:color w:val="455063"/>
                <w:sz w:val="19"/>
                <w:szCs w:val="19"/>
              </w:rPr>
              <w:t xml:space="preserve">¿Puntos de extensión limpios (MCP) para sistemas reales, incluido legacy?</w:t>
            </w:r>
          </w:p>
        </w:tc>
      </w:tr>
      <w:tr>
        <w:tc>
          <w:tcPr>
            <w:tcW w:type="dxa" w:w="1300"/>
            <w:tcBorders>
              <w:top w:val="single" w:color="C7D0DB" w:sz="2"/>
              <w:left w:val="single" w:color="C7D0DB" w:sz="2"/>
              <w:bottom w:val="single" w:color="C7D0DB" w:sz="2"/>
              <w:right w:val="single" w:color="C7D0DB" w:sz="2"/>
            </w:tcBorders>
            <w:shd w:fill="FFFFFF" w:color="auto" w:val="clear"/>
            <w:tcMar>
              <w:top w:type="dxa" w:w="60"/>
              <w:left w:type="dxa" w:w="90"/>
              <w:bottom w:type="dxa" w:w="60"/>
              <w:right w:type="dxa" w:w="90"/>
            </w:tcMar>
            <w:vAlign w:val="center"/>
          </w:tcPr>
          <w:p>
            <w:pPr>
              <w:spacing w:after="0" w:line="230"/>
            </w:pPr>
            <w:r>
              <w:rPr>
                <w:rFonts w:ascii="Calibri" w:cs="Calibri" w:eastAsia="Calibri" w:hAnsi="Calibri"/>
                <w:b/>
                <w:bCs/>
                <w:color w:val="23459E"/>
                <w:sz w:val="19"/>
                <w:szCs w:val="19"/>
              </w:rPr>
              <w:t xml:space="preserve">C9</w:t>
            </w:r>
          </w:p>
        </w:tc>
        <w:tc>
          <w:tcPr>
            <w:tcW w:type="dxa" w:w="3600"/>
            <w:tcBorders>
              <w:top w:val="single" w:color="C7D0DB" w:sz="2"/>
              <w:left w:val="single" w:color="C7D0DB" w:sz="2"/>
              <w:bottom w:val="single" w:color="C7D0DB" w:sz="2"/>
              <w:right w:val="single" w:color="C7D0DB" w:sz="2"/>
            </w:tcBorders>
            <w:shd w:fill="FFFFFF" w:color="auto" w:val="clear"/>
            <w:tcMar>
              <w:top w:type="dxa" w:w="60"/>
              <w:left w:type="dxa" w:w="90"/>
              <w:bottom w:type="dxa" w:w="60"/>
              <w:right w:type="dxa" w:w="90"/>
            </w:tcMar>
            <w:vAlign w:val="center"/>
          </w:tcPr>
          <w:p>
            <w:pPr>
              <w:spacing w:after="0" w:line="230"/>
            </w:pPr>
            <w:r>
              <w:rPr>
                <w:rFonts w:ascii="Calibri" w:cs="Calibri" w:eastAsia="Calibri" w:hAnsi="Calibri"/>
                <w:b/>
                <w:bCs/>
                <w:color w:val="1B2430"/>
                <w:sz w:val="19"/>
                <w:szCs w:val="19"/>
              </w:rPr>
              <w:t xml:space="preserve">Memoria a largo plazo</w:t>
            </w:r>
          </w:p>
        </w:tc>
        <w:tc>
          <w:tcPr>
            <w:tcW w:type="dxa" w:w="9500"/>
            <w:tcBorders>
              <w:top w:val="single" w:color="C7D0DB" w:sz="2"/>
              <w:left w:val="single" w:color="C7D0DB" w:sz="2"/>
              <w:bottom w:val="single" w:color="C7D0DB" w:sz="2"/>
              <w:right w:val="single" w:color="C7D0DB" w:sz="2"/>
            </w:tcBorders>
            <w:shd w:fill="FFFFFF" w:color="auto" w:val="clear"/>
            <w:tcMar>
              <w:top w:type="dxa" w:w="60"/>
              <w:left w:type="dxa" w:w="90"/>
              <w:bottom w:type="dxa" w:w="60"/>
              <w:right w:type="dxa" w:w="90"/>
            </w:tcMar>
            <w:vAlign w:val="center"/>
          </w:tcPr>
          <w:p>
            <w:pPr>
              <w:spacing w:after="0" w:line="230"/>
            </w:pPr>
            <w:r>
              <w:rPr>
                <w:rFonts w:ascii="Calibri" w:cs="Calibri" w:eastAsia="Calibri" w:hAnsi="Calibri"/>
                <w:color w:val="455063"/>
                <w:sz w:val="19"/>
                <w:szCs w:val="19"/>
              </w:rPr>
              <w:t xml:space="preserve">¿Memoria por cliente/caso, con residencia de datos y cifrado separados del runtime?</w:t>
            </w:r>
          </w:p>
        </w:tc>
      </w:tr>
      <w:tr>
        <w:tc>
          <w:tcPr>
            <w:tcW w:type="dxa" w:w="1300"/>
            <w:tcBorders>
              <w:top w:val="single" w:color="C7D0DB" w:sz="2"/>
              <w:left w:val="single" w:color="C7D0DB" w:sz="2"/>
              <w:bottom w:val="single" w:color="C7D0DB" w:sz="2"/>
              <w:right w:val="single" w:color="C7D0DB" w:sz="2"/>
            </w:tcBorders>
            <w:shd w:fill="EEF2F7" w:color="auto" w:val="clear"/>
            <w:tcMar>
              <w:top w:type="dxa" w:w="60"/>
              <w:left w:type="dxa" w:w="90"/>
              <w:bottom w:type="dxa" w:w="60"/>
              <w:right w:type="dxa" w:w="90"/>
            </w:tcMar>
            <w:vAlign w:val="center"/>
          </w:tcPr>
          <w:p>
            <w:pPr>
              <w:spacing w:after="0" w:line="230"/>
            </w:pPr>
            <w:r>
              <w:rPr>
                <w:rFonts w:ascii="Calibri" w:cs="Calibri" w:eastAsia="Calibri" w:hAnsi="Calibri"/>
                <w:b/>
                <w:bCs/>
                <w:color w:val="23459E"/>
                <w:sz w:val="19"/>
                <w:szCs w:val="19"/>
              </w:rPr>
              <w:t xml:space="preserve">C10</w:t>
            </w:r>
          </w:p>
        </w:tc>
        <w:tc>
          <w:tcPr>
            <w:tcW w:type="dxa" w:w="3600"/>
            <w:tcBorders>
              <w:top w:val="single" w:color="C7D0DB" w:sz="2"/>
              <w:left w:val="single" w:color="C7D0DB" w:sz="2"/>
              <w:bottom w:val="single" w:color="C7D0DB" w:sz="2"/>
              <w:right w:val="single" w:color="C7D0DB" w:sz="2"/>
            </w:tcBorders>
            <w:shd w:fill="EEF2F7" w:color="auto" w:val="clear"/>
            <w:tcMar>
              <w:top w:type="dxa" w:w="60"/>
              <w:left w:type="dxa" w:w="90"/>
              <w:bottom w:type="dxa" w:w="60"/>
              <w:right w:type="dxa" w:w="90"/>
            </w:tcMar>
            <w:vAlign w:val="center"/>
          </w:tcPr>
          <w:p>
            <w:pPr>
              <w:spacing w:after="0" w:line="230"/>
            </w:pPr>
            <w:r>
              <w:rPr>
                <w:rFonts w:ascii="Calibri" w:cs="Calibri" w:eastAsia="Calibri" w:hAnsi="Calibri"/>
                <w:b/>
                <w:bCs/>
                <w:color w:val="1B2430"/>
                <w:sz w:val="19"/>
                <w:szCs w:val="19"/>
              </w:rPr>
              <w:t xml:space="preserve">Topología de despliegue</w:t>
            </w:r>
          </w:p>
        </w:tc>
        <w:tc>
          <w:tcPr>
            <w:tcW w:type="dxa" w:w="9500"/>
            <w:tcBorders>
              <w:top w:val="single" w:color="C7D0DB" w:sz="2"/>
              <w:left w:val="single" w:color="C7D0DB" w:sz="2"/>
              <w:bottom w:val="single" w:color="C7D0DB" w:sz="2"/>
              <w:right w:val="single" w:color="C7D0DB" w:sz="2"/>
            </w:tcBorders>
            <w:shd w:fill="EEF2F7" w:color="auto" w:val="clear"/>
            <w:tcMar>
              <w:top w:type="dxa" w:w="60"/>
              <w:left w:type="dxa" w:w="90"/>
              <w:bottom w:type="dxa" w:w="60"/>
              <w:right w:type="dxa" w:w="90"/>
            </w:tcMar>
            <w:vAlign w:val="center"/>
          </w:tcPr>
          <w:p>
            <w:pPr>
              <w:spacing w:after="0" w:line="230"/>
            </w:pPr>
            <w:r>
              <w:rPr>
                <w:rFonts w:ascii="Calibri" w:cs="Calibri" w:eastAsia="Calibri" w:hAnsi="Calibri"/>
                <w:color w:val="455063"/>
                <w:sz w:val="19"/>
                <w:szCs w:val="19"/>
              </w:rPr>
              <w:t xml:space="preserve">¿Servicio distribuido con escala horizontal (K8s), o proceso único de escritorio?</w:t>
            </w:r>
          </w:p>
        </w:tc>
      </w:tr>
      <w:tr>
        <w:tc>
          <w:tcPr>
            <w:tcW w:type="dxa" w:w="1300"/>
            <w:tcBorders>
              <w:top w:val="single" w:color="C7D0DB" w:sz="2"/>
              <w:left w:val="single" w:color="C7D0DB" w:sz="2"/>
              <w:bottom w:val="single" w:color="C7D0DB" w:sz="2"/>
              <w:right w:val="single" w:color="C7D0DB" w:sz="2"/>
            </w:tcBorders>
            <w:shd w:fill="FFFFFF" w:color="auto" w:val="clear"/>
            <w:tcMar>
              <w:top w:type="dxa" w:w="60"/>
              <w:left w:type="dxa" w:w="90"/>
              <w:bottom w:type="dxa" w:w="60"/>
              <w:right w:type="dxa" w:w="90"/>
            </w:tcMar>
            <w:vAlign w:val="center"/>
          </w:tcPr>
          <w:p>
            <w:pPr>
              <w:spacing w:after="0" w:line="230"/>
            </w:pPr>
            <w:r>
              <w:rPr>
                <w:rFonts w:ascii="Calibri" w:cs="Calibri" w:eastAsia="Calibri" w:hAnsi="Calibri"/>
                <w:b/>
                <w:bCs/>
                <w:color w:val="23459E"/>
                <w:sz w:val="19"/>
                <w:szCs w:val="19"/>
              </w:rPr>
              <w:t xml:space="preserve">C11</w:t>
            </w:r>
          </w:p>
        </w:tc>
        <w:tc>
          <w:tcPr>
            <w:tcW w:type="dxa" w:w="3600"/>
            <w:tcBorders>
              <w:top w:val="single" w:color="C7D0DB" w:sz="2"/>
              <w:left w:val="single" w:color="C7D0DB" w:sz="2"/>
              <w:bottom w:val="single" w:color="C7D0DB" w:sz="2"/>
              <w:right w:val="single" w:color="C7D0DB" w:sz="2"/>
            </w:tcBorders>
            <w:shd w:fill="FFFFFF" w:color="auto" w:val="clear"/>
            <w:tcMar>
              <w:top w:type="dxa" w:w="60"/>
              <w:left w:type="dxa" w:w="90"/>
              <w:bottom w:type="dxa" w:w="60"/>
              <w:right w:type="dxa" w:w="90"/>
            </w:tcMar>
            <w:vAlign w:val="center"/>
          </w:tcPr>
          <w:p>
            <w:pPr>
              <w:spacing w:after="0" w:line="230"/>
            </w:pPr>
            <w:r>
              <w:rPr>
                <w:rFonts w:ascii="Calibri" w:cs="Calibri" w:eastAsia="Calibri" w:hAnsi="Calibri"/>
                <w:b/>
                <w:bCs/>
                <w:color w:val="1B2430"/>
                <w:sz w:val="19"/>
                <w:szCs w:val="19"/>
              </w:rPr>
              <w:t xml:space="preserve">Contrato y versionado de tools</w:t>
            </w:r>
          </w:p>
        </w:tc>
        <w:tc>
          <w:tcPr>
            <w:tcW w:type="dxa" w:w="9500"/>
            <w:tcBorders>
              <w:top w:val="single" w:color="C7D0DB" w:sz="2"/>
              <w:left w:val="single" w:color="C7D0DB" w:sz="2"/>
              <w:bottom w:val="single" w:color="C7D0DB" w:sz="2"/>
              <w:right w:val="single" w:color="C7D0DB" w:sz="2"/>
            </w:tcBorders>
            <w:shd w:fill="FFFFFF" w:color="auto" w:val="clear"/>
            <w:tcMar>
              <w:top w:type="dxa" w:w="60"/>
              <w:left w:type="dxa" w:w="90"/>
              <w:bottom w:type="dxa" w:w="60"/>
              <w:right w:type="dxa" w:w="90"/>
            </w:tcMar>
            <w:vAlign w:val="center"/>
          </w:tcPr>
          <w:p>
            <w:pPr>
              <w:spacing w:after="0" w:line="230"/>
            </w:pPr>
            <w:r>
              <w:rPr>
                <w:rFonts w:ascii="Calibri" w:cs="Calibri" w:eastAsia="Calibri" w:hAnsi="Calibri"/>
                <w:color w:val="455063"/>
                <w:sz w:val="19"/>
                <w:szCs w:val="19"/>
              </w:rPr>
              <w:t xml:space="preserve">¿El catálogo de herramientas evoluciona con versionado y compatibilidad hacia atrás?</w:t>
            </w:r>
          </w:p>
        </w:tc>
      </w:tr>
      <w:tr>
        <w:tc>
          <w:tcPr>
            <w:tcW w:type="dxa" w:w="1300"/>
            <w:tcBorders>
              <w:top w:val="single" w:color="C7D0DB" w:sz="2"/>
              <w:left w:val="single" w:color="C7D0DB" w:sz="2"/>
              <w:bottom w:val="single" w:color="C7D0DB" w:sz="2"/>
              <w:right w:val="single" w:color="C7D0DB" w:sz="2"/>
            </w:tcBorders>
            <w:shd w:fill="EEF2F7" w:color="auto" w:val="clear"/>
            <w:tcMar>
              <w:top w:type="dxa" w:w="60"/>
              <w:left w:type="dxa" w:w="90"/>
              <w:bottom w:type="dxa" w:w="60"/>
              <w:right w:type="dxa" w:w="90"/>
            </w:tcMar>
            <w:vAlign w:val="center"/>
          </w:tcPr>
          <w:p>
            <w:pPr>
              <w:spacing w:after="0" w:line="230"/>
            </w:pPr>
            <w:r>
              <w:rPr>
                <w:rFonts w:ascii="Calibri" w:cs="Calibri" w:eastAsia="Calibri" w:hAnsi="Calibri"/>
                <w:b/>
                <w:bCs/>
                <w:color w:val="23459E"/>
                <w:sz w:val="19"/>
                <w:szCs w:val="19"/>
              </w:rPr>
              <w:t xml:space="preserve">C12</w:t>
            </w:r>
          </w:p>
        </w:tc>
        <w:tc>
          <w:tcPr>
            <w:tcW w:type="dxa" w:w="3600"/>
            <w:tcBorders>
              <w:top w:val="single" w:color="C7D0DB" w:sz="2"/>
              <w:left w:val="single" w:color="C7D0DB" w:sz="2"/>
              <w:bottom w:val="single" w:color="C7D0DB" w:sz="2"/>
              <w:right w:val="single" w:color="C7D0DB" w:sz="2"/>
            </w:tcBorders>
            <w:shd w:fill="EEF2F7" w:color="auto" w:val="clear"/>
            <w:tcMar>
              <w:top w:type="dxa" w:w="60"/>
              <w:left w:type="dxa" w:w="90"/>
              <w:bottom w:type="dxa" w:w="60"/>
              <w:right w:type="dxa" w:w="90"/>
            </w:tcMar>
            <w:vAlign w:val="center"/>
          </w:tcPr>
          <w:p>
            <w:pPr>
              <w:spacing w:after="0" w:line="230"/>
            </w:pPr>
            <w:r>
              <w:rPr>
                <w:rFonts w:ascii="Calibri" w:cs="Calibri" w:eastAsia="Calibri" w:hAnsi="Calibri"/>
                <w:b/>
                <w:bCs/>
                <w:color w:val="1B2430"/>
                <w:sz w:val="19"/>
                <w:szCs w:val="19"/>
              </w:rPr>
              <w:t xml:space="preserve">Evaluación y regresión</w:t>
            </w:r>
          </w:p>
        </w:tc>
        <w:tc>
          <w:tcPr>
            <w:tcW w:type="dxa" w:w="9500"/>
            <w:tcBorders>
              <w:top w:val="single" w:color="C7D0DB" w:sz="2"/>
              <w:left w:val="single" w:color="C7D0DB" w:sz="2"/>
              <w:bottom w:val="single" w:color="C7D0DB" w:sz="2"/>
              <w:right w:val="single" w:color="C7D0DB" w:sz="2"/>
            </w:tcBorders>
            <w:shd w:fill="EEF2F7" w:color="auto" w:val="clear"/>
            <w:tcMar>
              <w:top w:type="dxa" w:w="60"/>
              <w:left w:type="dxa" w:w="90"/>
              <w:bottom w:type="dxa" w:w="60"/>
              <w:right w:type="dxa" w:w="90"/>
            </w:tcMar>
            <w:vAlign w:val="center"/>
          </w:tcPr>
          <w:p>
            <w:pPr>
              <w:spacing w:after="0" w:line="230"/>
            </w:pPr>
            <w:r>
              <w:rPr>
                <w:rFonts w:ascii="Calibri" w:cs="Calibri" w:eastAsia="Calibri" w:hAnsi="Calibri"/>
                <w:color w:val="455063"/>
                <w:sz w:val="19"/>
                <w:szCs w:val="19"/>
              </w:rPr>
              <w:t xml:space="preserve">¿Harness de evaluación separado, con datasets de negocio en CI?</w:t>
            </w:r>
          </w:p>
        </w:tc>
      </w:tr>
      <w:tr>
        <w:tc>
          <w:tcPr>
            <w:tcW w:type="dxa" w:w="1300"/>
            <w:tcBorders>
              <w:top w:val="single" w:color="C7D0DB" w:sz="2"/>
              <w:left w:val="single" w:color="C7D0DB" w:sz="2"/>
              <w:bottom w:val="single" w:color="C7D0DB" w:sz="2"/>
              <w:right w:val="single" w:color="C7D0DB" w:sz="2"/>
            </w:tcBorders>
            <w:shd w:fill="FFFFFF" w:color="auto" w:val="clear"/>
            <w:tcMar>
              <w:top w:type="dxa" w:w="60"/>
              <w:left w:type="dxa" w:w="90"/>
              <w:bottom w:type="dxa" w:w="60"/>
              <w:right w:type="dxa" w:w="90"/>
            </w:tcMar>
            <w:vAlign w:val="center"/>
          </w:tcPr>
          <w:p>
            <w:pPr>
              <w:spacing w:after="0" w:line="230"/>
            </w:pPr>
            <w:r>
              <w:rPr>
                <w:rFonts w:ascii="Calibri" w:cs="Calibri" w:eastAsia="Calibri" w:hAnsi="Calibri"/>
                <w:b/>
                <w:bCs/>
                <w:color w:val="23459E"/>
                <w:sz w:val="19"/>
                <w:szCs w:val="19"/>
              </w:rPr>
              <w:t xml:space="preserve">C13</w:t>
            </w:r>
          </w:p>
        </w:tc>
        <w:tc>
          <w:tcPr>
            <w:tcW w:type="dxa" w:w="3600"/>
            <w:tcBorders>
              <w:top w:val="single" w:color="C7D0DB" w:sz="2"/>
              <w:left w:val="single" w:color="C7D0DB" w:sz="2"/>
              <w:bottom w:val="single" w:color="C7D0DB" w:sz="2"/>
              <w:right w:val="single" w:color="C7D0DB" w:sz="2"/>
            </w:tcBorders>
            <w:shd w:fill="FFFFFF" w:color="auto" w:val="clear"/>
            <w:tcMar>
              <w:top w:type="dxa" w:w="60"/>
              <w:left w:type="dxa" w:w="90"/>
              <w:bottom w:type="dxa" w:w="60"/>
              <w:right w:type="dxa" w:w="90"/>
            </w:tcMar>
            <w:vAlign w:val="center"/>
          </w:tcPr>
          <w:p>
            <w:pPr>
              <w:spacing w:after="0" w:line="230"/>
            </w:pPr>
            <w:r>
              <w:rPr>
                <w:rFonts w:ascii="Calibri" w:cs="Calibri" w:eastAsia="Calibri" w:hAnsi="Calibri"/>
                <w:b/>
                <w:bCs/>
                <w:color w:val="1B2430"/>
                <w:sz w:val="19"/>
                <w:szCs w:val="19"/>
              </w:rPr>
              <w:t xml:space="preserve">Observabilidad de negocio</w:t>
            </w:r>
          </w:p>
        </w:tc>
        <w:tc>
          <w:tcPr>
            <w:tcW w:type="dxa" w:w="9500"/>
            <w:tcBorders>
              <w:top w:val="single" w:color="C7D0DB" w:sz="2"/>
              <w:left w:val="single" w:color="C7D0DB" w:sz="2"/>
              <w:bottom w:val="single" w:color="C7D0DB" w:sz="2"/>
              <w:right w:val="single" w:color="C7D0DB" w:sz="2"/>
            </w:tcBorders>
            <w:shd w:fill="FFFFFF" w:color="auto" w:val="clear"/>
            <w:tcMar>
              <w:top w:type="dxa" w:w="60"/>
              <w:left w:type="dxa" w:w="90"/>
              <w:bottom w:type="dxa" w:w="60"/>
              <w:right w:type="dxa" w:w="90"/>
            </w:tcMar>
            <w:vAlign w:val="center"/>
          </w:tcPr>
          <w:p>
            <w:pPr>
              <w:spacing w:after="0" w:line="230"/>
            </w:pPr>
            <w:r>
              <w:rPr>
                <w:rFonts w:ascii="Calibri" w:cs="Calibri" w:eastAsia="Calibri" w:hAnsi="Calibri"/>
                <w:color w:val="455063"/>
                <w:sz w:val="19"/>
                <w:szCs w:val="19"/>
              </w:rPr>
              <w:t xml:space="preserve">¿Costo por tenant/caso, tasa de resolución, retorno — no solo latencia y tokens?</w:t>
            </w:r>
          </w:p>
        </w:tc>
      </w:tr>
      <w:tr>
        <w:tc>
          <w:tcPr>
            <w:tcW w:type="dxa" w:w="1300"/>
            <w:tcBorders>
              <w:top w:val="single" w:color="C7D0DB" w:sz="2"/>
              <w:left w:val="single" w:color="C7D0DB" w:sz="2"/>
              <w:bottom w:val="single" w:color="C7D0DB" w:sz="2"/>
              <w:right w:val="single" w:color="C7D0DB" w:sz="2"/>
            </w:tcBorders>
            <w:shd w:fill="EEF2F7" w:color="auto" w:val="clear"/>
            <w:tcMar>
              <w:top w:type="dxa" w:w="60"/>
              <w:left w:type="dxa" w:w="90"/>
              <w:bottom w:type="dxa" w:w="60"/>
              <w:right w:type="dxa" w:w="90"/>
            </w:tcMar>
            <w:vAlign w:val="center"/>
          </w:tcPr>
          <w:p>
            <w:pPr>
              <w:spacing w:after="0" w:line="230"/>
            </w:pPr>
            <w:r>
              <w:rPr>
                <w:rFonts w:ascii="Calibri" w:cs="Calibri" w:eastAsia="Calibri" w:hAnsi="Calibri"/>
                <w:b/>
                <w:bCs/>
                <w:color w:val="23459E"/>
                <w:sz w:val="19"/>
                <w:szCs w:val="19"/>
              </w:rPr>
              <w:t xml:space="preserve">C14</w:t>
            </w:r>
          </w:p>
        </w:tc>
        <w:tc>
          <w:tcPr>
            <w:tcW w:type="dxa" w:w="3600"/>
            <w:tcBorders>
              <w:top w:val="single" w:color="C7D0DB" w:sz="2"/>
              <w:left w:val="single" w:color="C7D0DB" w:sz="2"/>
              <w:bottom w:val="single" w:color="C7D0DB" w:sz="2"/>
              <w:right w:val="single" w:color="C7D0DB" w:sz="2"/>
            </w:tcBorders>
            <w:shd w:fill="EEF2F7" w:color="auto" w:val="clear"/>
            <w:tcMar>
              <w:top w:type="dxa" w:w="60"/>
              <w:left w:type="dxa" w:w="90"/>
              <w:bottom w:type="dxa" w:w="60"/>
              <w:right w:type="dxa" w:w="90"/>
            </w:tcMar>
            <w:vAlign w:val="center"/>
          </w:tcPr>
          <w:p>
            <w:pPr>
              <w:spacing w:after="0" w:line="230"/>
            </w:pPr>
            <w:r>
              <w:rPr>
                <w:rFonts w:ascii="Calibri" w:cs="Calibri" w:eastAsia="Calibri" w:hAnsi="Calibri"/>
                <w:b/>
                <w:bCs/>
                <w:color w:val="1B2430"/>
                <w:sz w:val="19"/>
                <w:szCs w:val="19"/>
              </w:rPr>
              <w:t xml:space="preserve">Patrones humano-agente</w:t>
            </w:r>
          </w:p>
        </w:tc>
        <w:tc>
          <w:tcPr>
            <w:tcW w:type="dxa" w:w="9500"/>
            <w:tcBorders>
              <w:top w:val="single" w:color="C7D0DB" w:sz="2"/>
              <w:left w:val="single" w:color="C7D0DB" w:sz="2"/>
              <w:bottom w:val="single" w:color="C7D0DB" w:sz="2"/>
              <w:right w:val="single" w:color="C7D0DB" w:sz="2"/>
            </w:tcBorders>
            <w:shd w:fill="EEF2F7" w:color="auto" w:val="clear"/>
            <w:tcMar>
              <w:top w:type="dxa" w:w="60"/>
              <w:left w:type="dxa" w:w="90"/>
              <w:bottom w:type="dxa" w:w="60"/>
              <w:right w:type="dxa" w:w="90"/>
            </w:tcMar>
            <w:vAlign w:val="center"/>
          </w:tcPr>
          <w:p>
            <w:pPr>
              <w:spacing w:after="0" w:line="230"/>
            </w:pPr>
            <w:r>
              <w:rPr>
                <w:rFonts w:ascii="Calibri" w:cs="Calibri" w:eastAsia="Calibri" w:hAnsi="Calibri"/>
                <w:color w:val="455063"/>
                <w:sz w:val="19"/>
                <w:szCs w:val="19"/>
              </w:rPr>
              <w:t xml:space="preserve">¿Tablero asíncrono, interrupción por umbral, HITL, handoff — no solo chat síncrono?</w:t>
            </w:r>
          </w:p>
        </w:tc>
      </w:tr>
    </w:tbl>
    <w:p>
      <w:r>
        <w:br/>
        <w:t xml:space="preserve"/>
      </w:r>
    </w:p>
    <w:p>
      <w:pPr>
        <w:pStyle w:val="Heading1"/>
        <w:spacing w:after="140" w:before="320"/>
      </w:pPr>
      <w:r>
        <w:rPr>
          <w:rFonts w:ascii="Calibri" w:cs="Calibri" w:eastAsia="Calibri" w:hAnsi="Calibri"/>
          <w:b/>
          <w:bCs/>
          <w:color w:val="1B2430"/>
          <w:sz w:val="30"/>
          <w:szCs w:val="30"/>
        </w:rPr>
        <w:t xml:space="preserve">2 · El cuadro comparativo</w:t>
      </w:r>
    </w:p>
    <w:p>
      <w:pPr>
        <w:spacing w:after="120" w:before="0" w:line="276"/>
      </w:pPr>
      <w:r>
        <w:rPr>
          <w:rFonts w:ascii="Calibri" w:cs="Calibri" w:eastAsia="Calibri" w:hAnsi="Calibri"/>
          <w:i/>
          <w:iCs/>
          <w:color w:val="6B7684"/>
          <w:sz w:val="20"/>
          <w:szCs w:val="20"/>
        </w:rPr>
        <w:t xml:space="preserve">Seis harnesses reales × catorce criterios. Puntaje: cumple 1 · parcial 0,5 · ausente 0.</w:t>
      </w:r>
    </w:p>
    <w:p>
      <w:pPr>
        <w:spacing w:after="160" w:line="276"/>
      </w:pPr>
      <w:r>
        <w:rPr>
          <w:color w:val="1B7A4E"/>
          <w:sz w:val="24"/>
          <w:szCs w:val="24"/>
        </w:rPr>
        <w:t xml:space="preserve">●</w:t>
      </w:r>
      <w:r>
        <w:rPr>
          <w:rFonts w:ascii="Calibri" w:cs="Calibri" w:eastAsia="Calibri" w:hAnsi="Calibri"/>
          <w:b/>
          <w:bCs/>
          <w:color w:val="1B2430"/>
          <w:sz w:val="20"/>
          <w:szCs w:val="20"/>
        </w:rPr>
        <w:t xml:space="preserve">  Cumple = 1     </w:t>
      </w:r>
      <w:r>
        <w:rPr>
          <w:color w:val="8A5E10"/>
          <w:sz w:val="24"/>
          <w:szCs w:val="24"/>
        </w:rPr>
        <w:t xml:space="preserve">◐</w:t>
      </w:r>
      <w:r>
        <w:rPr>
          <w:rFonts w:ascii="Calibri" w:cs="Calibri" w:eastAsia="Calibri" w:hAnsi="Calibri"/>
          <w:b/>
          <w:bCs/>
          <w:color w:val="1B2430"/>
          <w:sz w:val="20"/>
          <w:szCs w:val="20"/>
        </w:rPr>
        <w:t xml:space="preserve">  Parcial = 0,5     </w:t>
      </w:r>
      <w:r>
        <w:rPr>
          <w:color w:val="A8362D"/>
          <w:sz w:val="24"/>
          <w:szCs w:val="24"/>
        </w:rPr>
        <w:t xml:space="preserve">○</w:t>
      </w:r>
      <w:r>
        <w:rPr>
          <w:rFonts w:ascii="Calibri" w:cs="Calibri" w:eastAsia="Calibri" w:hAnsi="Calibri"/>
          <w:b/>
          <w:bCs/>
          <w:color w:val="1B2430"/>
          <w:sz w:val="20"/>
          <w:szCs w:val="20"/>
        </w:rPr>
        <w:t xml:space="preserve">  Ausente / débil = 0</w:t>
      </w:r>
    </w:p>
    <w:tbl>
      <w:tblPr>
        <w:tblW w:type="dxa" w:w="14400"/>
        <w:tblBorders>
          <w:top w:val="single" w:color="C7D0DB" w:sz="2"/>
          <w:left w:val="single" w:color="C7D0DB" w:sz="2"/>
          <w:bottom w:val="single" w:color="C7D0DB" w:sz="2"/>
          <w:right w:val="single" w:color="C7D0DB" w:sz="2"/>
          <w:insideH w:val="single" w:color="auto" w:sz="4"/>
          <w:insideV w:val="single" w:color="auto" w:sz="4"/>
        </w:tblBorders>
      </w:tblPr>
      <w:tblGrid>
        <w:gridCol w:w="3300"/>
        <w:gridCol w:w="1850"/>
        <w:gridCol w:w="1850"/>
        <w:gridCol w:w="1850"/>
        <w:gridCol w:w="1850"/>
        <w:gridCol w:w="1850"/>
        <w:gridCol w:w="1850"/>
      </w:tblGrid>
      <w:tr>
        <w:trPr>
          <w:tblHeader/>
        </w:trPr>
        <w:tc>
          <w:tcPr>
            <w:tcW w:type="dxa" w:w="3300"/>
            <w:tcBorders>
              <w:top w:val="single" w:color="C7D0DB" w:sz="2"/>
              <w:left w:val="single" w:color="C7D0DB" w:sz="2"/>
              <w:bottom w:val="single" w:color="C7D0DB" w:sz="2"/>
              <w:right w:val="single" w:color="C7D0DB" w:sz="2"/>
            </w:tcBorders>
            <w:shd w:fill="1B2430" w:color="auto" w:val="clear"/>
            <w:tcMar>
              <w:top w:type="dxa" w:w="60"/>
              <w:left w:type="dxa" w:w="90"/>
              <w:bottom w:type="dxa" w:w="60"/>
              <w:right w:type="dxa" w:w="90"/>
            </w:tcMar>
            <w:vAlign w:val="center"/>
          </w:tcPr>
          <w:p>
            <w:pPr>
              <w:spacing w:after="0" w:line="240"/>
              <w:jc w:val="left"/>
            </w:pPr>
            <w:r>
              <w:rPr>
                <w:rFonts w:ascii="Calibri" w:cs="Calibri" w:eastAsia="Calibri" w:hAnsi="Calibri"/>
                <w:b/>
                <w:bCs/>
                <w:color w:val="FFFFFF"/>
                <w:sz w:val="19"/>
                <w:szCs w:val="19"/>
              </w:rPr>
              <w:t xml:space="preserve">Criterio</w:t>
            </w:r>
          </w:p>
        </w:tc>
        <w:tc>
          <w:tcPr>
            <w:tcW w:type="dxa" w:w="1850"/>
            <w:tcBorders>
              <w:top w:val="single" w:color="C7D0DB" w:sz="2"/>
              <w:left w:val="single" w:color="C7D0DB" w:sz="2"/>
              <w:bottom w:val="single" w:color="C7D0DB" w:sz="2"/>
              <w:right w:val="single" w:color="C7D0DB" w:sz="2"/>
            </w:tcBorders>
            <w:shd w:fill="1B2430"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9"/>
                <w:szCs w:val="19"/>
              </w:rPr>
              <w:t xml:space="preserve">DeerFlow</w:t>
            </w:r>
          </w:p>
        </w:tc>
        <w:tc>
          <w:tcPr>
            <w:tcW w:type="dxa" w:w="1850"/>
            <w:tcBorders>
              <w:top w:val="single" w:color="C7D0DB" w:sz="2"/>
              <w:left w:val="single" w:color="C7D0DB" w:sz="2"/>
              <w:bottom w:val="single" w:color="C7D0DB" w:sz="2"/>
              <w:right w:val="single" w:color="C7D0DB" w:sz="2"/>
            </w:tcBorders>
            <w:shd w:fill="1B2430"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9"/>
                <w:szCs w:val="19"/>
              </w:rPr>
              <w:t xml:space="preserve">OpenCode</w:t>
            </w:r>
          </w:p>
        </w:tc>
        <w:tc>
          <w:tcPr>
            <w:tcW w:type="dxa" w:w="1850"/>
            <w:tcBorders>
              <w:top w:val="single" w:color="C7D0DB" w:sz="2"/>
              <w:left w:val="single" w:color="C7D0DB" w:sz="2"/>
              <w:bottom w:val="single" w:color="C7D0DB" w:sz="2"/>
              <w:right w:val="single" w:color="C7D0DB" w:sz="2"/>
            </w:tcBorders>
            <w:shd w:fill="1B2430"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9"/>
                <w:szCs w:val="19"/>
              </w:rPr>
              <w:t xml:space="preserve">Hive</w:t>
            </w:r>
          </w:p>
        </w:tc>
        <w:tc>
          <w:tcPr>
            <w:tcW w:type="dxa" w:w="1850"/>
            <w:tcBorders>
              <w:top w:val="single" w:color="C7D0DB" w:sz="2"/>
              <w:left w:val="single" w:color="C7D0DB" w:sz="2"/>
              <w:bottom w:val="single" w:color="C7D0DB" w:sz="2"/>
              <w:right w:val="single" w:color="C7D0DB" w:sz="2"/>
            </w:tcBorders>
            <w:shd w:fill="1B2430"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9"/>
                <w:szCs w:val="19"/>
              </w:rPr>
              <w:t xml:space="preserve">Pi</w:t>
            </w:r>
          </w:p>
        </w:tc>
        <w:tc>
          <w:tcPr>
            <w:tcW w:type="dxa" w:w="1850"/>
            <w:tcBorders>
              <w:top w:val="single" w:color="C7D0DB" w:sz="2"/>
              <w:left w:val="single" w:color="C7D0DB" w:sz="2"/>
              <w:bottom w:val="single" w:color="C7D0DB" w:sz="2"/>
              <w:right w:val="single" w:color="C7D0DB" w:sz="2"/>
            </w:tcBorders>
            <w:shd w:fill="1B2430"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9"/>
                <w:szCs w:val="19"/>
              </w:rPr>
              <w:t xml:space="preserve">Codex</w:t>
            </w:r>
          </w:p>
        </w:tc>
        <w:tc>
          <w:tcPr>
            <w:tcW w:type="dxa" w:w="1850"/>
            <w:tcBorders>
              <w:top w:val="single" w:color="C7D0DB" w:sz="2"/>
              <w:left w:val="single" w:color="C7D0DB" w:sz="2"/>
              <w:bottom w:val="single" w:color="C7D0DB" w:sz="2"/>
              <w:right w:val="single" w:color="C7D0DB" w:sz="2"/>
            </w:tcBorders>
            <w:shd w:fill="1B2430" w:color="auto"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9"/>
                <w:szCs w:val="19"/>
              </w:rPr>
              <w:t xml:space="preserve">Claude Code</w:t>
            </w:r>
          </w:p>
        </w:tc>
      </w:tr>
      <w:tr>
        <w:tc>
          <w:tcPr>
            <w:tcW w:type="dxa" w:w="3300"/>
            <w:tcBorders>
              <w:top w:val="single" w:color="C7D0DB" w:sz="2"/>
              <w:left w:val="single" w:color="C7D0DB" w:sz="2"/>
              <w:bottom w:val="single" w:color="C7D0DB" w:sz="2"/>
              <w:right w:val="single" w:color="C7D0DB" w:sz="2"/>
            </w:tcBorders>
            <w:shd w:fill="FFFFFF" w:color="auto" w:val="clear"/>
            <w:tcMar>
              <w:top w:type="dxa" w:w="60"/>
              <w:left w:type="dxa" w:w="90"/>
              <w:bottom w:type="dxa" w:w="60"/>
              <w:right w:type="dxa" w:w="90"/>
            </w:tcMar>
            <w:vAlign w:val="center"/>
          </w:tcPr>
          <w:p>
            <w:pPr>
              <w:spacing w:after="0" w:line="230"/>
            </w:pPr>
            <w:r>
              <w:rPr>
                <w:rFonts w:ascii="Calibri" w:cs="Calibri" w:eastAsia="Calibri" w:hAnsi="Calibri"/>
                <w:b/>
                <w:bCs/>
                <w:color w:val="23459E"/>
                <w:sz w:val="18"/>
                <w:szCs w:val="18"/>
              </w:rPr>
              <w:t xml:space="preserve">C1  </w:t>
            </w:r>
            <w:r>
              <w:rPr>
                <w:rFonts w:ascii="Calibri" w:cs="Calibri" w:eastAsia="Calibri" w:hAnsi="Calibri"/>
                <w:b/>
                <w:bCs/>
                <w:color w:val="1B2430"/>
                <w:sz w:val="19"/>
                <w:szCs w:val="19"/>
              </w:rPr>
              <w:t xml:space="preserve">Modelo de activación</w:t>
            </w:r>
          </w:p>
        </w:tc>
        <w:tc>
          <w:tcPr>
            <w:tcW w:type="dxa" w:w="1850"/>
            <w:tcBorders>
              <w:top w:val="single" w:color="C7D0DB" w:sz="2"/>
              <w:left w:val="single" w:color="C7D0DB" w:sz="2"/>
              <w:bottom w:val="single" w:color="C7D0DB" w:sz="2"/>
              <w:right w:val="single" w:color="C7D0DB" w:sz="2"/>
            </w:tcBorders>
            <w:shd w:fill="CDECCF"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1B7A4E"/>
                <w:sz w:val="26"/>
                <w:szCs w:val="26"/>
              </w:rPr>
              <w:t xml:space="preserve">●</w:t>
            </w:r>
          </w:p>
        </w:tc>
        <w:tc>
          <w:tcPr>
            <w:tcW w:type="dxa" w:w="1850"/>
            <w:tcBorders>
              <w:top w:val="single" w:color="C7D0DB" w:sz="2"/>
              <w:left w:val="single" w:color="C7D0DB" w:sz="2"/>
              <w:bottom w:val="single" w:color="C7D0DB" w:sz="2"/>
              <w:right w:val="single" w:color="C7D0DB" w:sz="2"/>
            </w:tcBorders>
            <w:shd w:fill="CDECCF"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1B7A4E"/>
                <w:sz w:val="26"/>
                <w:szCs w:val="26"/>
              </w:rPr>
              <w:t xml:space="preserve">●</w:t>
            </w:r>
          </w:p>
        </w:tc>
        <w:tc>
          <w:tcPr>
            <w:tcW w:type="dxa" w:w="1850"/>
            <w:tcBorders>
              <w:top w:val="single" w:color="C7D0DB" w:sz="2"/>
              <w:left w:val="single" w:color="C7D0DB" w:sz="2"/>
              <w:bottom w:val="single" w:color="C7D0DB" w:sz="2"/>
              <w:right w:val="single" w:color="C7D0DB" w:sz="2"/>
            </w:tcBorders>
            <w:shd w:fill="CDECCF"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1B7A4E"/>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r>
      <w:tr>
        <w:tc>
          <w:tcPr>
            <w:tcW w:type="dxa" w:w="3300"/>
            <w:tcBorders>
              <w:top w:val="single" w:color="C7D0DB" w:sz="2"/>
              <w:left w:val="single" w:color="C7D0DB" w:sz="2"/>
              <w:bottom w:val="single" w:color="C7D0DB" w:sz="2"/>
              <w:right w:val="single" w:color="C7D0DB" w:sz="2"/>
            </w:tcBorders>
            <w:shd w:fill="EEF2F7" w:color="auto" w:val="clear"/>
            <w:tcMar>
              <w:top w:type="dxa" w:w="60"/>
              <w:left w:type="dxa" w:w="90"/>
              <w:bottom w:type="dxa" w:w="60"/>
              <w:right w:type="dxa" w:w="90"/>
            </w:tcMar>
            <w:vAlign w:val="center"/>
          </w:tcPr>
          <w:p>
            <w:pPr>
              <w:spacing w:after="0" w:line="230"/>
            </w:pPr>
            <w:r>
              <w:rPr>
                <w:rFonts w:ascii="Calibri" w:cs="Calibri" w:eastAsia="Calibri" w:hAnsi="Calibri"/>
                <w:b/>
                <w:bCs/>
                <w:color w:val="23459E"/>
                <w:sz w:val="18"/>
                <w:szCs w:val="18"/>
              </w:rPr>
              <w:t xml:space="preserve">C2  </w:t>
            </w:r>
            <w:r>
              <w:rPr>
                <w:rFonts w:ascii="Calibri" w:cs="Calibri" w:eastAsia="Calibri" w:hAnsi="Calibri"/>
                <w:b/>
                <w:bCs/>
                <w:color w:val="1B2430"/>
                <w:sz w:val="19"/>
                <w:szCs w:val="19"/>
              </w:rPr>
              <w:t xml:space="preserve">Persistencia de sesión</w:t>
            </w:r>
          </w:p>
        </w:tc>
        <w:tc>
          <w:tcPr>
            <w:tcW w:type="dxa" w:w="1850"/>
            <w:tcBorders>
              <w:top w:val="single" w:color="C7D0DB" w:sz="2"/>
              <w:left w:val="single" w:color="C7D0DB" w:sz="2"/>
              <w:bottom w:val="single" w:color="C7D0DB" w:sz="2"/>
              <w:right w:val="single" w:color="C7D0DB" w:sz="2"/>
            </w:tcBorders>
            <w:shd w:fill="CDECCF"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1B7A4E"/>
                <w:sz w:val="26"/>
                <w:szCs w:val="26"/>
              </w:rPr>
              <w:t xml:space="preserve">●</w:t>
            </w:r>
          </w:p>
        </w:tc>
        <w:tc>
          <w:tcPr>
            <w:tcW w:type="dxa" w:w="1850"/>
            <w:tcBorders>
              <w:top w:val="single" w:color="C7D0DB" w:sz="2"/>
              <w:left w:val="single" w:color="C7D0DB" w:sz="2"/>
              <w:bottom w:val="single" w:color="C7D0DB" w:sz="2"/>
              <w:right w:val="single" w:color="C7D0DB" w:sz="2"/>
            </w:tcBorders>
            <w:shd w:fill="CDECCF"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1B7A4E"/>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CDECCF"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1B7A4E"/>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r>
      <w:tr>
        <w:tc>
          <w:tcPr>
            <w:tcW w:type="dxa" w:w="3300"/>
            <w:tcBorders>
              <w:top w:val="single" w:color="C7D0DB" w:sz="2"/>
              <w:left w:val="single" w:color="C7D0DB" w:sz="2"/>
              <w:bottom w:val="single" w:color="C7D0DB" w:sz="2"/>
              <w:right w:val="single" w:color="C7D0DB" w:sz="2"/>
            </w:tcBorders>
            <w:shd w:fill="FFFFFF" w:color="auto" w:val="clear"/>
            <w:tcMar>
              <w:top w:type="dxa" w:w="60"/>
              <w:left w:type="dxa" w:w="90"/>
              <w:bottom w:type="dxa" w:w="60"/>
              <w:right w:type="dxa" w:w="90"/>
            </w:tcMar>
            <w:vAlign w:val="center"/>
          </w:tcPr>
          <w:p>
            <w:pPr>
              <w:spacing w:after="0" w:line="230"/>
            </w:pPr>
            <w:r>
              <w:rPr>
                <w:rFonts w:ascii="Calibri" w:cs="Calibri" w:eastAsia="Calibri" w:hAnsi="Calibri"/>
                <w:b/>
                <w:bCs/>
                <w:color w:val="23459E"/>
                <w:sz w:val="18"/>
                <w:szCs w:val="18"/>
              </w:rPr>
              <w:t xml:space="preserve">C3  </w:t>
            </w:r>
            <w:r>
              <w:rPr>
                <w:rFonts w:ascii="Calibri" w:cs="Calibri" w:eastAsia="Calibri" w:hAnsi="Calibri"/>
                <w:b/>
                <w:bCs/>
                <w:color w:val="1B2430"/>
                <w:sz w:val="19"/>
                <w:szCs w:val="19"/>
              </w:rPr>
              <w:t xml:space="preserve">Concurrencia y multi-tenencia</w:t>
            </w:r>
          </w:p>
        </w:tc>
        <w:tc>
          <w:tcPr>
            <w:tcW w:type="dxa" w:w="1850"/>
            <w:tcBorders>
              <w:top w:val="single" w:color="C7D0DB" w:sz="2"/>
              <w:left w:val="single" w:color="C7D0DB" w:sz="2"/>
              <w:bottom w:val="single" w:color="C7D0DB" w:sz="2"/>
              <w:right w:val="single" w:color="C7D0DB" w:sz="2"/>
            </w:tcBorders>
            <w:shd w:fill="CDECCF"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1B7A4E"/>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5D9D6"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A8362D"/>
                <w:sz w:val="26"/>
                <w:szCs w:val="26"/>
              </w:rPr>
              <w:t xml:space="preserve">○</w:t>
            </w:r>
          </w:p>
        </w:tc>
        <w:tc>
          <w:tcPr>
            <w:tcW w:type="dxa" w:w="1850"/>
            <w:tcBorders>
              <w:top w:val="single" w:color="C7D0DB" w:sz="2"/>
              <w:left w:val="single" w:color="C7D0DB" w:sz="2"/>
              <w:bottom w:val="single" w:color="C7D0DB" w:sz="2"/>
              <w:right w:val="single" w:color="C7D0DB" w:sz="2"/>
            </w:tcBorders>
            <w:shd w:fill="F5D9D6"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A8362D"/>
                <w:sz w:val="26"/>
                <w:szCs w:val="26"/>
              </w:rPr>
              <w:t xml:space="preserve">○</w:t>
            </w:r>
          </w:p>
        </w:tc>
      </w:tr>
      <w:tr>
        <w:tc>
          <w:tcPr>
            <w:tcW w:type="dxa" w:w="3300"/>
            <w:tcBorders>
              <w:top w:val="single" w:color="C7D0DB" w:sz="2"/>
              <w:left w:val="single" w:color="C7D0DB" w:sz="2"/>
              <w:bottom w:val="single" w:color="C7D0DB" w:sz="2"/>
              <w:right w:val="single" w:color="C7D0DB" w:sz="2"/>
            </w:tcBorders>
            <w:shd w:fill="EEF2F7" w:color="auto" w:val="clear"/>
            <w:tcMar>
              <w:top w:type="dxa" w:w="60"/>
              <w:left w:type="dxa" w:w="90"/>
              <w:bottom w:type="dxa" w:w="60"/>
              <w:right w:type="dxa" w:w="90"/>
            </w:tcMar>
            <w:vAlign w:val="center"/>
          </w:tcPr>
          <w:p>
            <w:pPr>
              <w:spacing w:after="0" w:line="230"/>
            </w:pPr>
            <w:r>
              <w:rPr>
                <w:rFonts w:ascii="Calibri" w:cs="Calibri" w:eastAsia="Calibri" w:hAnsi="Calibri"/>
                <w:b/>
                <w:bCs/>
                <w:color w:val="23459E"/>
                <w:sz w:val="18"/>
                <w:szCs w:val="18"/>
              </w:rPr>
              <w:t xml:space="preserve">C4  </w:t>
            </w:r>
            <w:r>
              <w:rPr>
                <w:rFonts w:ascii="Calibri" w:cs="Calibri" w:eastAsia="Calibri" w:hAnsi="Calibri"/>
                <w:b/>
                <w:bCs/>
                <w:color w:val="1B2430"/>
                <w:sz w:val="19"/>
                <w:szCs w:val="19"/>
              </w:rPr>
              <w:t xml:space="preserve">Identidad y delegación</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5D9D6"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A8362D"/>
                <w:sz w:val="26"/>
                <w:szCs w:val="26"/>
              </w:rPr>
              <w:t xml:space="preserve">○</w:t>
            </w:r>
          </w:p>
        </w:tc>
      </w:tr>
      <w:tr>
        <w:tc>
          <w:tcPr>
            <w:tcW w:type="dxa" w:w="3300"/>
            <w:tcBorders>
              <w:top w:val="single" w:color="C7D0DB" w:sz="2"/>
              <w:left w:val="single" w:color="C7D0DB" w:sz="2"/>
              <w:bottom w:val="single" w:color="C7D0DB" w:sz="2"/>
              <w:right w:val="single" w:color="C7D0DB" w:sz="2"/>
            </w:tcBorders>
            <w:shd w:fill="FFFFFF" w:color="auto" w:val="clear"/>
            <w:tcMar>
              <w:top w:type="dxa" w:w="60"/>
              <w:left w:type="dxa" w:w="90"/>
              <w:bottom w:type="dxa" w:w="60"/>
              <w:right w:type="dxa" w:w="90"/>
            </w:tcMar>
            <w:vAlign w:val="center"/>
          </w:tcPr>
          <w:p>
            <w:pPr>
              <w:spacing w:after="0" w:line="230"/>
            </w:pPr>
            <w:r>
              <w:rPr>
                <w:rFonts w:ascii="Calibri" w:cs="Calibri" w:eastAsia="Calibri" w:hAnsi="Calibri"/>
                <w:b/>
                <w:bCs/>
                <w:color w:val="23459E"/>
                <w:sz w:val="18"/>
                <w:szCs w:val="18"/>
              </w:rPr>
              <w:t xml:space="preserve">C5  </w:t>
            </w:r>
            <w:r>
              <w:rPr>
                <w:rFonts w:ascii="Calibri" w:cs="Calibri" w:eastAsia="Calibri" w:hAnsi="Calibri"/>
                <w:b/>
                <w:bCs/>
                <w:color w:val="1B2430"/>
                <w:sz w:val="19"/>
                <w:szCs w:val="19"/>
              </w:rPr>
              <w:t xml:space="preserve">Auditoría y trazabilidad</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5D9D6"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A8362D"/>
                <w:sz w:val="26"/>
                <w:szCs w:val="26"/>
              </w:rPr>
              <w:t xml:space="preserve">○</w:t>
            </w:r>
          </w:p>
        </w:tc>
        <w:tc>
          <w:tcPr>
            <w:tcW w:type="dxa" w:w="1850"/>
            <w:tcBorders>
              <w:top w:val="single" w:color="C7D0DB" w:sz="2"/>
              <w:left w:val="single" w:color="C7D0DB" w:sz="2"/>
              <w:bottom w:val="single" w:color="C7D0DB" w:sz="2"/>
              <w:right w:val="single" w:color="C7D0DB" w:sz="2"/>
            </w:tcBorders>
            <w:shd w:fill="F5D9D6"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A8362D"/>
                <w:sz w:val="26"/>
                <w:szCs w:val="26"/>
              </w:rPr>
              <w:t xml:space="preserve">○</w:t>
            </w:r>
          </w:p>
        </w:tc>
        <w:tc>
          <w:tcPr>
            <w:tcW w:type="dxa" w:w="1850"/>
            <w:tcBorders>
              <w:top w:val="single" w:color="C7D0DB" w:sz="2"/>
              <w:left w:val="single" w:color="C7D0DB" w:sz="2"/>
              <w:bottom w:val="single" w:color="C7D0DB" w:sz="2"/>
              <w:right w:val="single" w:color="C7D0DB" w:sz="2"/>
            </w:tcBorders>
            <w:shd w:fill="F5D9D6"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A8362D"/>
                <w:sz w:val="26"/>
                <w:szCs w:val="26"/>
              </w:rPr>
              <w:t xml:space="preserve">○</w:t>
            </w:r>
          </w:p>
        </w:tc>
      </w:tr>
      <w:tr>
        <w:tc>
          <w:tcPr>
            <w:tcW w:type="dxa" w:w="3300"/>
            <w:tcBorders>
              <w:top w:val="single" w:color="C7D0DB" w:sz="2"/>
              <w:left w:val="single" w:color="C7D0DB" w:sz="2"/>
              <w:bottom w:val="single" w:color="C7D0DB" w:sz="2"/>
              <w:right w:val="single" w:color="C7D0DB" w:sz="2"/>
            </w:tcBorders>
            <w:shd w:fill="EEF2F7" w:color="auto" w:val="clear"/>
            <w:tcMar>
              <w:top w:type="dxa" w:w="60"/>
              <w:left w:type="dxa" w:w="90"/>
              <w:bottom w:type="dxa" w:w="60"/>
              <w:right w:type="dxa" w:w="90"/>
            </w:tcMar>
            <w:vAlign w:val="center"/>
          </w:tcPr>
          <w:p>
            <w:pPr>
              <w:spacing w:after="0" w:line="230"/>
            </w:pPr>
            <w:r>
              <w:rPr>
                <w:rFonts w:ascii="Calibri" w:cs="Calibri" w:eastAsia="Calibri" w:hAnsi="Calibri"/>
                <w:b/>
                <w:bCs/>
                <w:color w:val="23459E"/>
                <w:sz w:val="18"/>
                <w:szCs w:val="18"/>
              </w:rPr>
              <w:t xml:space="preserve">C6  </w:t>
            </w:r>
            <w:r>
              <w:rPr>
                <w:rFonts w:ascii="Calibri" w:cs="Calibri" w:eastAsia="Calibri" w:hAnsi="Calibri"/>
                <w:b/>
                <w:bCs/>
                <w:color w:val="1B2430"/>
                <w:sz w:val="19"/>
                <w:szCs w:val="19"/>
              </w:rPr>
              <w:t xml:space="preserve">Gobernanza y guardrails</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CDECCF"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1B7A4E"/>
                <w:sz w:val="26"/>
                <w:szCs w:val="26"/>
              </w:rPr>
              <w:t xml:space="preserve">●</w:t>
            </w:r>
          </w:p>
        </w:tc>
        <w:tc>
          <w:tcPr>
            <w:tcW w:type="dxa" w:w="1850"/>
            <w:tcBorders>
              <w:top w:val="single" w:color="C7D0DB" w:sz="2"/>
              <w:left w:val="single" w:color="C7D0DB" w:sz="2"/>
              <w:bottom w:val="single" w:color="C7D0DB" w:sz="2"/>
              <w:right w:val="single" w:color="C7D0DB" w:sz="2"/>
            </w:tcBorders>
            <w:shd w:fill="F5D9D6"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A8362D"/>
                <w:sz w:val="26"/>
                <w:szCs w:val="26"/>
              </w:rPr>
              <w:t xml:space="preserve">○</w:t>
            </w:r>
          </w:p>
        </w:tc>
        <w:tc>
          <w:tcPr>
            <w:tcW w:type="dxa" w:w="1850"/>
            <w:tcBorders>
              <w:top w:val="single" w:color="C7D0DB" w:sz="2"/>
              <w:left w:val="single" w:color="C7D0DB" w:sz="2"/>
              <w:bottom w:val="single" w:color="C7D0DB" w:sz="2"/>
              <w:right w:val="single" w:color="C7D0DB" w:sz="2"/>
            </w:tcBorders>
            <w:shd w:fill="CDECCF"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1B7A4E"/>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r>
      <w:tr>
        <w:tc>
          <w:tcPr>
            <w:tcW w:type="dxa" w:w="3300"/>
            <w:tcBorders>
              <w:top w:val="single" w:color="C7D0DB" w:sz="2"/>
              <w:left w:val="single" w:color="C7D0DB" w:sz="2"/>
              <w:bottom w:val="single" w:color="C7D0DB" w:sz="2"/>
              <w:right w:val="single" w:color="C7D0DB" w:sz="2"/>
            </w:tcBorders>
            <w:shd w:fill="FFFFFF" w:color="auto" w:val="clear"/>
            <w:tcMar>
              <w:top w:type="dxa" w:w="60"/>
              <w:left w:type="dxa" w:w="90"/>
              <w:bottom w:type="dxa" w:w="60"/>
              <w:right w:type="dxa" w:w="90"/>
            </w:tcMar>
            <w:vAlign w:val="center"/>
          </w:tcPr>
          <w:p>
            <w:pPr>
              <w:spacing w:after="0" w:line="230"/>
            </w:pPr>
            <w:r>
              <w:rPr>
                <w:rFonts w:ascii="Calibri" w:cs="Calibri" w:eastAsia="Calibri" w:hAnsi="Calibri"/>
                <w:b/>
                <w:bCs/>
                <w:color w:val="23459E"/>
                <w:sz w:val="18"/>
                <w:szCs w:val="18"/>
              </w:rPr>
              <w:t xml:space="preserve">C7  </w:t>
            </w:r>
            <w:r>
              <w:rPr>
                <w:rFonts w:ascii="Calibri" w:cs="Calibri" w:eastAsia="Calibri" w:hAnsi="Calibri"/>
                <w:b/>
                <w:bCs/>
                <w:color w:val="1B2430"/>
                <w:sz w:val="19"/>
                <w:szCs w:val="19"/>
              </w:rPr>
              <w:t xml:space="preserve">Semántica de fallo</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5D9D6"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A8362D"/>
                <w:sz w:val="26"/>
                <w:szCs w:val="26"/>
              </w:rPr>
              <w:t xml:space="preserve">○</w:t>
            </w:r>
          </w:p>
        </w:tc>
        <w:tc>
          <w:tcPr>
            <w:tcW w:type="dxa" w:w="1850"/>
            <w:tcBorders>
              <w:top w:val="single" w:color="C7D0DB" w:sz="2"/>
              <w:left w:val="single" w:color="C7D0DB" w:sz="2"/>
              <w:bottom w:val="single" w:color="C7D0DB" w:sz="2"/>
              <w:right w:val="single" w:color="C7D0DB" w:sz="2"/>
            </w:tcBorders>
            <w:shd w:fill="F5D9D6"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A8362D"/>
                <w:sz w:val="26"/>
                <w:szCs w:val="26"/>
              </w:rPr>
              <w:t xml:space="preserve">○</w:t>
            </w:r>
          </w:p>
        </w:tc>
        <w:tc>
          <w:tcPr>
            <w:tcW w:type="dxa" w:w="1850"/>
            <w:tcBorders>
              <w:top w:val="single" w:color="C7D0DB" w:sz="2"/>
              <w:left w:val="single" w:color="C7D0DB" w:sz="2"/>
              <w:bottom w:val="single" w:color="C7D0DB" w:sz="2"/>
              <w:right w:val="single" w:color="C7D0DB" w:sz="2"/>
            </w:tcBorders>
            <w:shd w:fill="F5D9D6"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A8362D"/>
                <w:sz w:val="26"/>
                <w:szCs w:val="26"/>
              </w:rPr>
              <w:t xml:space="preserve">○</w:t>
            </w:r>
          </w:p>
        </w:tc>
      </w:tr>
      <w:tr>
        <w:tc>
          <w:tcPr>
            <w:tcW w:type="dxa" w:w="3300"/>
            <w:tcBorders>
              <w:top w:val="single" w:color="C7D0DB" w:sz="2"/>
              <w:left w:val="single" w:color="C7D0DB" w:sz="2"/>
              <w:bottom w:val="single" w:color="C7D0DB" w:sz="2"/>
              <w:right w:val="single" w:color="C7D0DB" w:sz="2"/>
            </w:tcBorders>
            <w:shd w:fill="EEF2F7" w:color="auto" w:val="clear"/>
            <w:tcMar>
              <w:top w:type="dxa" w:w="60"/>
              <w:left w:type="dxa" w:w="90"/>
              <w:bottom w:type="dxa" w:w="60"/>
              <w:right w:type="dxa" w:w="90"/>
            </w:tcMar>
            <w:vAlign w:val="center"/>
          </w:tcPr>
          <w:p>
            <w:pPr>
              <w:spacing w:after="0" w:line="230"/>
            </w:pPr>
            <w:r>
              <w:rPr>
                <w:rFonts w:ascii="Calibri" w:cs="Calibri" w:eastAsia="Calibri" w:hAnsi="Calibri"/>
                <w:b/>
                <w:bCs/>
                <w:color w:val="23459E"/>
                <w:sz w:val="18"/>
                <w:szCs w:val="18"/>
              </w:rPr>
              <w:t xml:space="preserve">C8  </w:t>
            </w:r>
            <w:r>
              <w:rPr>
                <w:rFonts w:ascii="Calibri" w:cs="Calibri" w:eastAsia="Calibri" w:hAnsi="Calibri"/>
                <w:b/>
                <w:bCs/>
                <w:color w:val="1B2430"/>
                <w:sz w:val="19"/>
                <w:szCs w:val="19"/>
              </w:rPr>
              <w:t xml:space="preserve">Integración saliente</w:t>
            </w:r>
          </w:p>
        </w:tc>
        <w:tc>
          <w:tcPr>
            <w:tcW w:type="dxa" w:w="1850"/>
            <w:tcBorders>
              <w:top w:val="single" w:color="C7D0DB" w:sz="2"/>
              <w:left w:val="single" w:color="C7D0DB" w:sz="2"/>
              <w:bottom w:val="single" w:color="C7D0DB" w:sz="2"/>
              <w:right w:val="single" w:color="C7D0DB" w:sz="2"/>
            </w:tcBorders>
            <w:shd w:fill="CDECCF"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1B7A4E"/>
                <w:sz w:val="26"/>
                <w:szCs w:val="26"/>
              </w:rPr>
              <w:t xml:space="preserve">●</w:t>
            </w:r>
          </w:p>
        </w:tc>
        <w:tc>
          <w:tcPr>
            <w:tcW w:type="dxa" w:w="1850"/>
            <w:tcBorders>
              <w:top w:val="single" w:color="C7D0DB" w:sz="2"/>
              <w:left w:val="single" w:color="C7D0DB" w:sz="2"/>
              <w:bottom w:val="single" w:color="C7D0DB" w:sz="2"/>
              <w:right w:val="single" w:color="C7D0DB" w:sz="2"/>
            </w:tcBorders>
            <w:shd w:fill="CDECCF"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1B7A4E"/>
                <w:sz w:val="26"/>
                <w:szCs w:val="26"/>
              </w:rPr>
              <w:t xml:space="preserve">●</w:t>
            </w:r>
          </w:p>
        </w:tc>
        <w:tc>
          <w:tcPr>
            <w:tcW w:type="dxa" w:w="1850"/>
            <w:tcBorders>
              <w:top w:val="single" w:color="C7D0DB" w:sz="2"/>
              <w:left w:val="single" w:color="C7D0DB" w:sz="2"/>
              <w:bottom w:val="single" w:color="C7D0DB" w:sz="2"/>
              <w:right w:val="single" w:color="C7D0DB" w:sz="2"/>
            </w:tcBorders>
            <w:shd w:fill="CDECCF"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1B7A4E"/>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CDECCF"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1B7A4E"/>
                <w:sz w:val="26"/>
                <w:szCs w:val="26"/>
              </w:rPr>
              <w:t xml:space="preserve">●</w:t>
            </w:r>
          </w:p>
        </w:tc>
        <w:tc>
          <w:tcPr>
            <w:tcW w:type="dxa" w:w="1850"/>
            <w:tcBorders>
              <w:top w:val="single" w:color="C7D0DB" w:sz="2"/>
              <w:left w:val="single" w:color="C7D0DB" w:sz="2"/>
              <w:bottom w:val="single" w:color="C7D0DB" w:sz="2"/>
              <w:right w:val="single" w:color="C7D0DB" w:sz="2"/>
            </w:tcBorders>
            <w:shd w:fill="CDECCF"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1B7A4E"/>
                <w:sz w:val="26"/>
                <w:szCs w:val="26"/>
              </w:rPr>
              <w:t xml:space="preserve">●</w:t>
            </w:r>
          </w:p>
        </w:tc>
      </w:tr>
      <w:tr>
        <w:tc>
          <w:tcPr>
            <w:tcW w:type="dxa" w:w="3300"/>
            <w:tcBorders>
              <w:top w:val="single" w:color="C7D0DB" w:sz="2"/>
              <w:left w:val="single" w:color="C7D0DB" w:sz="2"/>
              <w:bottom w:val="single" w:color="C7D0DB" w:sz="2"/>
              <w:right w:val="single" w:color="C7D0DB" w:sz="2"/>
            </w:tcBorders>
            <w:shd w:fill="FFFFFF" w:color="auto" w:val="clear"/>
            <w:tcMar>
              <w:top w:type="dxa" w:w="60"/>
              <w:left w:type="dxa" w:w="90"/>
              <w:bottom w:type="dxa" w:w="60"/>
              <w:right w:type="dxa" w:w="90"/>
            </w:tcMar>
            <w:vAlign w:val="center"/>
          </w:tcPr>
          <w:p>
            <w:pPr>
              <w:spacing w:after="0" w:line="230"/>
            </w:pPr>
            <w:r>
              <w:rPr>
                <w:rFonts w:ascii="Calibri" w:cs="Calibri" w:eastAsia="Calibri" w:hAnsi="Calibri"/>
                <w:b/>
                <w:bCs/>
                <w:color w:val="23459E"/>
                <w:sz w:val="18"/>
                <w:szCs w:val="18"/>
              </w:rPr>
              <w:t xml:space="preserve">C9  </w:t>
            </w:r>
            <w:r>
              <w:rPr>
                <w:rFonts w:ascii="Calibri" w:cs="Calibri" w:eastAsia="Calibri" w:hAnsi="Calibri"/>
                <w:b/>
                <w:bCs/>
                <w:color w:val="1B2430"/>
                <w:sz w:val="19"/>
                <w:szCs w:val="19"/>
              </w:rPr>
              <w:t xml:space="preserve">Memoria a largo plazo</w:t>
            </w:r>
          </w:p>
        </w:tc>
        <w:tc>
          <w:tcPr>
            <w:tcW w:type="dxa" w:w="1850"/>
            <w:tcBorders>
              <w:top w:val="single" w:color="C7D0DB" w:sz="2"/>
              <w:left w:val="single" w:color="C7D0DB" w:sz="2"/>
              <w:bottom w:val="single" w:color="C7D0DB" w:sz="2"/>
              <w:right w:val="single" w:color="C7D0DB" w:sz="2"/>
            </w:tcBorders>
            <w:shd w:fill="CDECCF"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1B7A4E"/>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r>
      <w:tr>
        <w:tc>
          <w:tcPr>
            <w:tcW w:type="dxa" w:w="3300"/>
            <w:tcBorders>
              <w:top w:val="single" w:color="C7D0DB" w:sz="2"/>
              <w:left w:val="single" w:color="C7D0DB" w:sz="2"/>
              <w:bottom w:val="single" w:color="C7D0DB" w:sz="2"/>
              <w:right w:val="single" w:color="C7D0DB" w:sz="2"/>
            </w:tcBorders>
            <w:shd w:fill="EEF2F7" w:color="auto" w:val="clear"/>
            <w:tcMar>
              <w:top w:type="dxa" w:w="60"/>
              <w:left w:type="dxa" w:w="90"/>
              <w:bottom w:type="dxa" w:w="60"/>
              <w:right w:type="dxa" w:w="90"/>
            </w:tcMar>
            <w:vAlign w:val="center"/>
          </w:tcPr>
          <w:p>
            <w:pPr>
              <w:spacing w:after="0" w:line="230"/>
            </w:pPr>
            <w:r>
              <w:rPr>
                <w:rFonts w:ascii="Calibri" w:cs="Calibri" w:eastAsia="Calibri" w:hAnsi="Calibri"/>
                <w:b/>
                <w:bCs/>
                <w:color w:val="23459E"/>
                <w:sz w:val="18"/>
                <w:szCs w:val="18"/>
              </w:rPr>
              <w:t xml:space="preserve">C10  </w:t>
            </w:r>
            <w:r>
              <w:rPr>
                <w:rFonts w:ascii="Calibri" w:cs="Calibri" w:eastAsia="Calibri" w:hAnsi="Calibri"/>
                <w:b/>
                <w:bCs/>
                <w:color w:val="1B2430"/>
                <w:sz w:val="19"/>
                <w:szCs w:val="19"/>
              </w:rPr>
              <w:t xml:space="preserve">Topología de despliegue</w:t>
            </w:r>
          </w:p>
        </w:tc>
        <w:tc>
          <w:tcPr>
            <w:tcW w:type="dxa" w:w="1850"/>
            <w:tcBorders>
              <w:top w:val="single" w:color="C7D0DB" w:sz="2"/>
              <w:left w:val="single" w:color="C7D0DB" w:sz="2"/>
              <w:bottom w:val="single" w:color="C7D0DB" w:sz="2"/>
              <w:right w:val="single" w:color="C7D0DB" w:sz="2"/>
            </w:tcBorders>
            <w:shd w:fill="CDECCF"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1B7A4E"/>
                <w:sz w:val="26"/>
                <w:szCs w:val="26"/>
              </w:rPr>
              <w:t xml:space="preserve">●</w:t>
            </w:r>
          </w:p>
        </w:tc>
        <w:tc>
          <w:tcPr>
            <w:tcW w:type="dxa" w:w="1850"/>
            <w:tcBorders>
              <w:top w:val="single" w:color="C7D0DB" w:sz="2"/>
              <w:left w:val="single" w:color="C7D0DB" w:sz="2"/>
              <w:bottom w:val="single" w:color="C7D0DB" w:sz="2"/>
              <w:right w:val="single" w:color="C7D0DB" w:sz="2"/>
            </w:tcBorders>
            <w:shd w:fill="CDECCF"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1B7A4E"/>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5D9D6"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A8362D"/>
                <w:sz w:val="26"/>
                <w:szCs w:val="26"/>
              </w:rPr>
              <w:t xml:space="preserve">○</w:t>
            </w:r>
          </w:p>
        </w:tc>
      </w:tr>
      <w:tr>
        <w:tc>
          <w:tcPr>
            <w:tcW w:type="dxa" w:w="3300"/>
            <w:tcBorders>
              <w:top w:val="single" w:color="C7D0DB" w:sz="2"/>
              <w:left w:val="single" w:color="C7D0DB" w:sz="2"/>
              <w:bottom w:val="single" w:color="C7D0DB" w:sz="2"/>
              <w:right w:val="single" w:color="C7D0DB" w:sz="2"/>
            </w:tcBorders>
            <w:shd w:fill="FFFFFF" w:color="auto" w:val="clear"/>
            <w:tcMar>
              <w:top w:type="dxa" w:w="60"/>
              <w:left w:type="dxa" w:w="90"/>
              <w:bottom w:type="dxa" w:w="60"/>
              <w:right w:type="dxa" w:w="90"/>
            </w:tcMar>
            <w:vAlign w:val="center"/>
          </w:tcPr>
          <w:p>
            <w:pPr>
              <w:spacing w:after="0" w:line="230"/>
            </w:pPr>
            <w:r>
              <w:rPr>
                <w:rFonts w:ascii="Calibri" w:cs="Calibri" w:eastAsia="Calibri" w:hAnsi="Calibri"/>
                <w:b/>
                <w:bCs/>
                <w:color w:val="23459E"/>
                <w:sz w:val="18"/>
                <w:szCs w:val="18"/>
              </w:rPr>
              <w:t xml:space="preserve">C11  </w:t>
            </w:r>
            <w:r>
              <w:rPr>
                <w:rFonts w:ascii="Calibri" w:cs="Calibri" w:eastAsia="Calibri" w:hAnsi="Calibri"/>
                <w:b/>
                <w:bCs/>
                <w:color w:val="1B2430"/>
                <w:sz w:val="19"/>
                <w:szCs w:val="19"/>
              </w:rPr>
              <w:t xml:space="preserve">Contrato y versionado de tools</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5D9D6"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A8362D"/>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5D9D6"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A8362D"/>
                <w:sz w:val="26"/>
                <w:szCs w:val="26"/>
              </w:rPr>
              <w:t xml:space="preserve">○</w:t>
            </w:r>
          </w:p>
        </w:tc>
      </w:tr>
      <w:tr>
        <w:tc>
          <w:tcPr>
            <w:tcW w:type="dxa" w:w="3300"/>
            <w:tcBorders>
              <w:top w:val="single" w:color="C7D0DB" w:sz="2"/>
              <w:left w:val="single" w:color="C7D0DB" w:sz="2"/>
              <w:bottom w:val="single" w:color="C7D0DB" w:sz="2"/>
              <w:right w:val="single" w:color="C7D0DB" w:sz="2"/>
            </w:tcBorders>
            <w:shd w:fill="EEF2F7" w:color="auto" w:val="clear"/>
            <w:tcMar>
              <w:top w:type="dxa" w:w="60"/>
              <w:left w:type="dxa" w:w="90"/>
              <w:bottom w:type="dxa" w:w="60"/>
              <w:right w:type="dxa" w:w="90"/>
            </w:tcMar>
            <w:vAlign w:val="center"/>
          </w:tcPr>
          <w:p>
            <w:pPr>
              <w:spacing w:after="0" w:line="230"/>
            </w:pPr>
            <w:r>
              <w:rPr>
                <w:rFonts w:ascii="Calibri" w:cs="Calibri" w:eastAsia="Calibri" w:hAnsi="Calibri"/>
                <w:b/>
                <w:bCs/>
                <w:color w:val="23459E"/>
                <w:sz w:val="18"/>
                <w:szCs w:val="18"/>
              </w:rPr>
              <w:t xml:space="preserve">C12  </w:t>
            </w:r>
            <w:r>
              <w:rPr>
                <w:rFonts w:ascii="Calibri" w:cs="Calibri" w:eastAsia="Calibri" w:hAnsi="Calibri"/>
                <w:b/>
                <w:bCs/>
                <w:color w:val="1B2430"/>
                <w:sz w:val="19"/>
                <w:szCs w:val="19"/>
              </w:rPr>
              <w:t xml:space="preserve">Evaluación y regresión</w:t>
            </w:r>
          </w:p>
        </w:tc>
        <w:tc>
          <w:tcPr>
            <w:tcW w:type="dxa" w:w="1850"/>
            <w:tcBorders>
              <w:top w:val="single" w:color="C7D0DB" w:sz="2"/>
              <w:left w:val="single" w:color="C7D0DB" w:sz="2"/>
              <w:bottom w:val="single" w:color="C7D0DB" w:sz="2"/>
              <w:right w:val="single" w:color="C7D0DB" w:sz="2"/>
            </w:tcBorders>
            <w:shd w:fill="F5D9D6"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A8362D"/>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CDECCF"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1B7A4E"/>
                <w:sz w:val="26"/>
                <w:szCs w:val="26"/>
              </w:rPr>
              <w:t xml:space="preserve">●</w:t>
            </w:r>
          </w:p>
        </w:tc>
        <w:tc>
          <w:tcPr>
            <w:tcW w:type="dxa" w:w="1850"/>
            <w:tcBorders>
              <w:top w:val="single" w:color="C7D0DB" w:sz="2"/>
              <w:left w:val="single" w:color="C7D0DB" w:sz="2"/>
              <w:bottom w:val="single" w:color="C7D0DB" w:sz="2"/>
              <w:right w:val="single" w:color="C7D0DB" w:sz="2"/>
            </w:tcBorders>
            <w:shd w:fill="F5D9D6"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A8362D"/>
                <w:sz w:val="26"/>
                <w:szCs w:val="26"/>
              </w:rPr>
              <w:t xml:space="preserve">○</w:t>
            </w:r>
          </w:p>
        </w:tc>
        <w:tc>
          <w:tcPr>
            <w:tcW w:type="dxa" w:w="1850"/>
            <w:tcBorders>
              <w:top w:val="single" w:color="C7D0DB" w:sz="2"/>
              <w:left w:val="single" w:color="C7D0DB" w:sz="2"/>
              <w:bottom w:val="single" w:color="C7D0DB" w:sz="2"/>
              <w:right w:val="single" w:color="C7D0DB" w:sz="2"/>
            </w:tcBorders>
            <w:shd w:fill="F5D9D6"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A8362D"/>
                <w:sz w:val="26"/>
                <w:szCs w:val="26"/>
              </w:rPr>
              <w:t xml:space="preserve">○</w:t>
            </w:r>
          </w:p>
        </w:tc>
      </w:tr>
      <w:tr>
        <w:tc>
          <w:tcPr>
            <w:tcW w:type="dxa" w:w="3300"/>
            <w:tcBorders>
              <w:top w:val="single" w:color="C7D0DB" w:sz="2"/>
              <w:left w:val="single" w:color="C7D0DB" w:sz="2"/>
              <w:bottom w:val="single" w:color="C7D0DB" w:sz="2"/>
              <w:right w:val="single" w:color="C7D0DB" w:sz="2"/>
            </w:tcBorders>
            <w:shd w:fill="FFFFFF" w:color="auto" w:val="clear"/>
            <w:tcMar>
              <w:top w:type="dxa" w:w="60"/>
              <w:left w:type="dxa" w:w="90"/>
              <w:bottom w:type="dxa" w:w="60"/>
              <w:right w:type="dxa" w:w="90"/>
            </w:tcMar>
            <w:vAlign w:val="center"/>
          </w:tcPr>
          <w:p>
            <w:pPr>
              <w:spacing w:after="0" w:line="230"/>
            </w:pPr>
            <w:r>
              <w:rPr>
                <w:rFonts w:ascii="Calibri" w:cs="Calibri" w:eastAsia="Calibri" w:hAnsi="Calibri"/>
                <w:b/>
                <w:bCs/>
                <w:color w:val="23459E"/>
                <w:sz w:val="18"/>
                <w:szCs w:val="18"/>
              </w:rPr>
              <w:t xml:space="preserve">C13  </w:t>
            </w:r>
            <w:r>
              <w:rPr>
                <w:rFonts w:ascii="Calibri" w:cs="Calibri" w:eastAsia="Calibri" w:hAnsi="Calibri"/>
                <w:b/>
                <w:bCs/>
                <w:color w:val="1B2430"/>
                <w:sz w:val="19"/>
                <w:szCs w:val="19"/>
              </w:rPr>
              <w:t xml:space="preserve">Observabilidad de negocio</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CDECCF"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1B7A4E"/>
                <w:sz w:val="26"/>
                <w:szCs w:val="26"/>
              </w:rPr>
              <w:t xml:space="preserve">●</w:t>
            </w:r>
          </w:p>
        </w:tc>
        <w:tc>
          <w:tcPr>
            <w:tcW w:type="dxa" w:w="1850"/>
            <w:tcBorders>
              <w:top w:val="single" w:color="C7D0DB" w:sz="2"/>
              <w:left w:val="single" w:color="C7D0DB" w:sz="2"/>
              <w:bottom w:val="single" w:color="C7D0DB" w:sz="2"/>
              <w:right w:val="single" w:color="C7D0DB" w:sz="2"/>
            </w:tcBorders>
            <w:shd w:fill="F5D9D6"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A8362D"/>
                <w:sz w:val="26"/>
                <w:szCs w:val="26"/>
              </w:rPr>
              <w:t xml:space="preserve">○</w:t>
            </w:r>
          </w:p>
        </w:tc>
        <w:tc>
          <w:tcPr>
            <w:tcW w:type="dxa" w:w="1850"/>
            <w:tcBorders>
              <w:top w:val="single" w:color="C7D0DB" w:sz="2"/>
              <w:left w:val="single" w:color="C7D0DB" w:sz="2"/>
              <w:bottom w:val="single" w:color="C7D0DB" w:sz="2"/>
              <w:right w:val="single" w:color="C7D0DB" w:sz="2"/>
            </w:tcBorders>
            <w:shd w:fill="F5D9D6"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A8362D"/>
                <w:sz w:val="26"/>
                <w:szCs w:val="26"/>
              </w:rPr>
              <w:t xml:space="preserve">○</w:t>
            </w:r>
          </w:p>
        </w:tc>
        <w:tc>
          <w:tcPr>
            <w:tcW w:type="dxa" w:w="1850"/>
            <w:tcBorders>
              <w:top w:val="single" w:color="C7D0DB" w:sz="2"/>
              <w:left w:val="single" w:color="C7D0DB" w:sz="2"/>
              <w:bottom w:val="single" w:color="C7D0DB" w:sz="2"/>
              <w:right w:val="single" w:color="C7D0DB" w:sz="2"/>
            </w:tcBorders>
            <w:shd w:fill="F5D9D6"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A8362D"/>
                <w:sz w:val="26"/>
                <w:szCs w:val="26"/>
              </w:rPr>
              <w:t xml:space="preserve">○</w:t>
            </w:r>
          </w:p>
        </w:tc>
      </w:tr>
      <w:tr>
        <w:tc>
          <w:tcPr>
            <w:tcW w:type="dxa" w:w="3300"/>
            <w:tcBorders>
              <w:top w:val="single" w:color="C7D0DB" w:sz="2"/>
              <w:left w:val="single" w:color="C7D0DB" w:sz="2"/>
              <w:bottom w:val="single" w:color="C7D0DB" w:sz="2"/>
              <w:right w:val="single" w:color="C7D0DB" w:sz="2"/>
            </w:tcBorders>
            <w:shd w:fill="EEF2F7" w:color="auto" w:val="clear"/>
            <w:tcMar>
              <w:top w:type="dxa" w:w="60"/>
              <w:left w:type="dxa" w:w="90"/>
              <w:bottom w:type="dxa" w:w="60"/>
              <w:right w:type="dxa" w:w="90"/>
            </w:tcMar>
            <w:vAlign w:val="center"/>
          </w:tcPr>
          <w:p>
            <w:pPr>
              <w:spacing w:after="0" w:line="230"/>
            </w:pPr>
            <w:r>
              <w:rPr>
                <w:rFonts w:ascii="Calibri" w:cs="Calibri" w:eastAsia="Calibri" w:hAnsi="Calibri"/>
                <w:b/>
                <w:bCs/>
                <w:color w:val="23459E"/>
                <w:sz w:val="18"/>
                <w:szCs w:val="18"/>
              </w:rPr>
              <w:t xml:space="preserve">C14  </w:t>
            </w:r>
            <w:r>
              <w:rPr>
                <w:rFonts w:ascii="Calibri" w:cs="Calibri" w:eastAsia="Calibri" w:hAnsi="Calibri"/>
                <w:b/>
                <w:bCs/>
                <w:color w:val="1B2430"/>
                <w:sz w:val="19"/>
                <w:szCs w:val="19"/>
              </w:rPr>
              <w:t xml:space="preserve">Patrones humano-agente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CDECCF"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1B7A4E"/>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c>
          <w:tcPr>
            <w:tcW w:type="dxa" w:w="1850"/>
            <w:tcBorders>
              <w:top w:val="single" w:color="C7D0DB" w:sz="2"/>
              <w:left w:val="single" w:color="C7D0DB" w:sz="2"/>
              <w:bottom w:val="single" w:color="C7D0DB" w:sz="2"/>
              <w:right w:val="single" w:color="C7D0DB" w:sz="2"/>
            </w:tcBorders>
            <w:shd w:fill="F6E8CC" w:color="auto" w:val="clear"/>
            <w:tcMar>
              <w:top w:type="dxa" w:w="60"/>
              <w:left w:type="dxa" w:w="90"/>
              <w:bottom w:type="dxa" w:w="60"/>
              <w:right w:type="dxa" w:w="90"/>
            </w:tcMar>
            <w:vAlign w:val="center"/>
          </w:tcPr>
          <w:p>
            <w:pPr>
              <w:spacing w:after="0" w:line="240"/>
              <w:jc w:val="center"/>
            </w:pPr>
            <w:r>
              <w:rPr>
                <w:rFonts w:ascii="Calibri" w:cs="Calibri" w:eastAsia="Calibri" w:hAnsi="Calibri"/>
                <w:color w:val="8A5E10"/>
                <w:sz w:val="26"/>
                <w:szCs w:val="26"/>
              </w:rPr>
              <w:t xml:space="preserve">◐</w:t>
            </w:r>
          </w:p>
        </w:tc>
      </w:tr>
      <w:tr>
        <w:tc>
          <w:tcPr>
            <w:tcW w:type="dxa" w:w="3300"/>
            <w:tcBorders>
              <w:top w:val="single" w:color="C7D0DB" w:sz="2"/>
              <w:left w:val="single" w:color="C7D0DB" w:sz="2"/>
              <w:bottom w:val="single" w:color="C7D0DB" w:sz="2"/>
              <w:right w:val="single" w:color="C7D0DB" w:sz="2"/>
            </w:tcBorders>
            <w:shd w:fill="1B2430" w:color="auto" w:val="clear"/>
            <w:tcMar>
              <w:top w:type="dxa" w:w="60"/>
              <w:left w:type="dxa" w:w="90"/>
              <w:bottom w:type="dxa" w:w="60"/>
              <w:right w:type="dxa" w:w="90"/>
            </w:tcMar>
            <w:vAlign w:val="center"/>
          </w:tcPr>
          <w:p>
            <w:pPr>
              <w:spacing w:after="0" w:line="230"/>
            </w:pPr>
            <w:r>
              <w:rPr>
                <w:rFonts w:ascii="Calibri" w:cs="Calibri" w:eastAsia="Calibri" w:hAnsi="Calibri"/>
                <w:b/>
                <w:bCs/>
                <w:color w:val="FFFFFF"/>
                <w:sz w:val="19"/>
                <w:szCs w:val="19"/>
              </w:rPr>
              <w:t xml:space="preserve">PUNTAJE TOTAL</w:t>
            </w:r>
          </w:p>
        </w:tc>
        <w:tc>
          <w:tcPr>
            <w:tcW w:type="dxa" w:w="1850"/>
            <w:tcBorders>
              <w:top w:val="single" w:color="C7D0DB" w:sz="2"/>
              <w:left w:val="single" w:color="C7D0DB" w:sz="2"/>
              <w:bottom w:val="single" w:color="C7D0DB" w:sz="2"/>
              <w:right w:val="single" w:color="C7D0DB" w:sz="2"/>
            </w:tcBorders>
            <w:shd w:fill="1B2430" w:color="auto" w:val="clear"/>
            <w:tcMar>
              <w:top w:type="dxa" w:w="60"/>
              <w:left w:type="dxa" w:w="90"/>
              <w:bottom w:type="dxa" w:w="60"/>
              <w:right w:type="dxa" w:w="90"/>
            </w:tcMar>
            <w:vAlign w:val="center"/>
          </w:tcPr>
          <w:p>
            <w:pPr>
              <w:spacing w:after="0" w:line="230"/>
              <w:jc w:val="center"/>
            </w:pPr>
            <w:r>
              <w:rPr>
                <w:rFonts w:ascii="Calibri" w:cs="Calibri" w:eastAsia="Calibri" w:hAnsi="Calibri"/>
                <w:b/>
                <w:bCs/>
                <w:color w:val="FFFFFF"/>
                <w:sz w:val="22"/>
                <w:szCs w:val="22"/>
              </w:rPr>
              <w:t xml:space="preserve">9,5</w:t>
            </w:r>
            <w:r>
              <w:rPr>
                <w:rFonts w:ascii="Calibri" w:cs="Calibri" w:eastAsia="Calibri" w:hAnsi="Calibri"/>
                <w:color w:val="C7D0DB"/>
                <w:sz w:val="15"/>
                <w:szCs w:val="15"/>
              </w:rPr>
              <w:t xml:space="preserve"> /14</w:t>
            </w:r>
          </w:p>
        </w:tc>
        <w:tc>
          <w:tcPr>
            <w:tcW w:type="dxa" w:w="1850"/>
            <w:tcBorders>
              <w:top w:val="single" w:color="C7D0DB" w:sz="2"/>
              <w:left w:val="single" w:color="C7D0DB" w:sz="2"/>
              <w:bottom w:val="single" w:color="C7D0DB" w:sz="2"/>
              <w:right w:val="single" w:color="C7D0DB" w:sz="2"/>
            </w:tcBorders>
            <w:shd w:fill="1B2430" w:color="auto" w:val="clear"/>
            <w:tcMar>
              <w:top w:type="dxa" w:w="60"/>
              <w:left w:type="dxa" w:w="90"/>
              <w:bottom w:type="dxa" w:w="60"/>
              <w:right w:type="dxa" w:w="90"/>
            </w:tcMar>
            <w:vAlign w:val="center"/>
          </w:tcPr>
          <w:p>
            <w:pPr>
              <w:spacing w:after="0" w:line="230"/>
              <w:jc w:val="center"/>
            </w:pPr>
            <w:r>
              <w:rPr>
                <w:rFonts w:ascii="Calibri" w:cs="Calibri" w:eastAsia="Calibri" w:hAnsi="Calibri"/>
                <w:b/>
                <w:bCs/>
                <w:color w:val="FFFFFF"/>
                <w:sz w:val="22"/>
                <w:szCs w:val="22"/>
              </w:rPr>
              <w:t xml:space="preserve">9,0</w:t>
            </w:r>
            <w:r>
              <w:rPr>
                <w:rFonts w:ascii="Calibri" w:cs="Calibri" w:eastAsia="Calibri" w:hAnsi="Calibri"/>
                <w:color w:val="C7D0DB"/>
                <w:sz w:val="15"/>
                <w:szCs w:val="15"/>
              </w:rPr>
              <w:t xml:space="preserve"> /14</w:t>
            </w:r>
          </w:p>
        </w:tc>
        <w:tc>
          <w:tcPr>
            <w:tcW w:type="dxa" w:w="1850"/>
            <w:tcBorders>
              <w:top w:val="single" w:color="C7D0DB" w:sz="2"/>
              <w:left w:val="single" w:color="C7D0DB" w:sz="2"/>
              <w:bottom w:val="single" w:color="C7D0DB" w:sz="2"/>
              <w:right w:val="single" w:color="C7D0DB" w:sz="2"/>
            </w:tcBorders>
            <w:shd w:fill="1B2430" w:color="auto" w:val="clear"/>
            <w:tcMar>
              <w:top w:type="dxa" w:w="60"/>
              <w:left w:type="dxa" w:w="90"/>
              <w:bottom w:type="dxa" w:w="60"/>
              <w:right w:type="dxa" w:w="90"/>
            </w:tcMar>
            <w:vAlign w:val="center"/>
          </w:tcPr>
          <w:p>
            <w:pPr>
              <w:spacing w:after="0" w:line="230"/>
              <w:jc w:val="center"/>
            </w:pPr>
            <w:r>
              <w:rPr>
                <w:rFonts w:ascii="Calibri" w:cs="Calibri" w:eastAsia="Calibri" w:hAnsi="Calibri"/>
                <w:b/>
                <w:bCs/>
                <w:color w:val="FFFFFF"/>
                <w:sz w:val="22"/>
                <w:szCs w:val="22"/>
              </w:rPr>
              <w:t xml:space="preserve">9,0</w:t>
            </w:r>
            <w:r>
              <w:rPr>
                <w:rFonts w:ascii="Calibri" w:cs="Calibri" w:eastAsia="Calibri" w:hAnsi="Calibri"/>
                <w:color w:val="C7D0DB"/>
                <w:sz w:val="15"/>
                <w:szCs w:val="15"/>
              </w:rPr>
              <w:t xml:space="preserve"> /14</w:t>
            </w:r>
          </w:p>
        </w:tc>
        <w:tc>
          <w:tcPr>
            <w:tcW w:type="dxa" w:w="1850"/>
            <w:tcBorders>
              <w:top w:val="single" w:color="C7D0DB" w:sz="2"/>
              <w:left w:val="single" w:color="C7D0DB" w:sz="2"/>
              <w:bottom w:val="single" w:color="C7D0DB" w:sz="2"/>
              <w:right w:val="single" w:color="C7D0DB" w:sz="2"/>
            </w:tcBorders>
            <w:shd w:fill="1B2430" w:color="auto" w:val="clear"/>
            <w:tcMar>
              <w:top w:type="dxa" w:w="60"/>
              <w:left w:type="dxa" w:w="90"/>
              <w:bottom w:type="dxa" w:w="60"/>
              <w:right w:type="dxa" w:w="90"/>
            </w:tcMar>
            <w:vAlign w:val="center"/>
          </w:tcPr>
          <w:p>
            <w:pPr>
              <w:spacing w:after="0" w:line="230"/>
              <w:jc w:val="center"/>
            </w:pPr>
            <w:r>
              <w:rPr>
                <w:rFonts w:ascii="Calibri" w:cs="Calibri" w:eastAsia="Calibri" w:hAnsi="Calibri"/>
                <w:b/>
                <w:bCs/>
                <w:color w:val="FFFFFF"/>
                <w:sz w:val="22"/>
                <w:szCs w:val="22"/>
              </w:rPr>
              <w:t xml:space="preserve">6,0</w:t>
            </w:r>
            <w:r>
              <w:rPr>
                <w:rFonts w:ascii="Calibri" w:cs="Calibri" w:eastAsia="Calibri" w:hAnsi="Calibri"/>
                <w:color w:val="C7D0DB"/>
                <w:sz w:val="15"/>
                <w:szCs w:val="15"/>
              </w:rPr>
              <w:t xml:space="preserve"> /14</w:t>
            </w:r>
          </w:p>
        </w:tc>
        <w:tc>
          <w:tcPr>
            <w:tcW w:type="dxa" w:w="1850"/>
            <w:tcBorders>
              <w:top w:val="single" w:color="C7D0DB" w:sz="2"/>
              <w:left w:val="single" w:color="C7D0DB" w:sz="2"/>
              <w:bottom w:val="single" w:color="C7D0DB" w:sz="2"/>
              <w:right w:val="single" w:color="C7D0DB" w:sz="2"/>
            </w:tcBorders>
            <w:shd w:fill="1B2430" w:color="auto" w:val="clear"/>
            <w:tcMar>
              <w:top w:type="dxa" w:w="60"/>
              <w:left w:type="dxa" w:w="90"/>
              <w:bottom w:type="dxa" w:w="60"/>
              <w:right w:type="dxa" w:w="90"/>
            </w:tcMar>
            <w:vAlign w:val="center"/>
          </w:tcPr>
          <w:p>
            <w:pPr>
              <w:spacing w:after="0" w:line="230"/>
              <w:jc w:val="center"/>
            </w:pPr>
            <w:r>
              <w:rPr>
                <w:rFonts w:ascii="Calibri" w:cs="Calibri" w:eastAsia="Calibri" w:hAnsi="Calibri"/>
                <w:b/>
                <w:bCs/>
                <w:color w:val="FFFFFF"/>
                <w:sz w:val="22"/>
                <w:szCs w:val="22"/>
              </w:rPr>
              <w:t xml:space="preserve">5,5</w:t>
            </w:r>
            <w:r>
              <w:rPr>
                <w:rFonts w:ascii="Calibri" w:cs="Calibri" w:eastAsia="Calibri" w:hAnsi="Calibri"/>
                <w:color w:val="C7D0DB"/>
                <w:sz w:val="15"/>
                <w:szCs w:val="15"/>
              </w:rPr>
              <w:t xml:space="preserve"> /14</w:t>
            </w:r>
          </w:p>
        </w:tc>
        <w:tc>
          <w:tcPr>
            <w:tcW w:type="dxa" w:w="1850"/>
            <w:tcBorders>
              <w:top w:val="single" w:color="C7D0DB" w:sz="2"/>
              <w:left w:val="single" w:color="C7D0DB" w:sz="2"/>
              <w:bottom w:val="single" w:color="C7D0DB" w:sz="2"/>
              <w:right w:val="single" w:color="C7D0DB" w:sz="2"/>
            </w:tcBorders>
            <w:shd w:fill="1B2430" w:color="auto" w:val="clear"/>
            <w:tcMar>
              <w:top w:type="dxa" w:w="60"/>
              <w:left w:type="dxa" w:w="90"/>
              <w:bottom w:type="dxa" w:w="60"/>
              <w:right w:type="dxa" w:w="90"/>
            </w:tcMar>
            <w:vAlign w:val="center"/>
          </w:tcPr>
          <w:p>
            <w:pPr>
              <w:spacing w:after="0" w:line="230"/>
              <w:jc w:val="center"/>
            </w:pPr>
            <w:r>
              <w:rPr>
                <w:rFonts w:ascii="Calibri" w:cs="Calibri" w:eastAsia="Calibri" w:hAnsi="Calibri"/>
                <w:b/>
                <w:bCs/>
                <w:color w:val="FFFFFF"/>
                <w:sz w:val="22"/>
                <w:szCs w:val="22"/>
              </w:rPr>
              <w:t xml:space="preserve">3,5</w:t>
            </w:r>
            <w:r>
              <w:rPr>
                <w:rFonts w:ascii="Calibri" w:cs="Calibri" w:eastAsia="Calibri" w:hAnsi="Calibri"/>
                <w:color w:val="C7D0DB"/>
                <w:sz w:val="15"/>
                <w:szCs w:val="15"/>
              </w:rPr>
              <w:t xml:space="preserve"> /14</w:t>
            </w:r>
          </w:p>
        </w:tc>
      </w:tr>
    </w:tbl>
    <w:p>
      <w:pPr>
        <w:spacing w:after="80" w:before="0" w:line="276"/>
      </w:pPr>
      <w:r>
        <w:rPr>
          <w:rFonts w:ascii="Calibri" w:cs="Calibri" w:eastAsia="Calibri" w:hAnsi="Calibri"/>
          <w:color w:val="6B7684"/>
          <w:sz w:val="18"/>
          <w:szCs w:val="18"/>
        </w:rPr>
        <w:t xml:space="preserve">Escala: cumple = primitiva del runtime presente y explícita; parcial = existe pero limitada, experimental o no documentada al detalle; ausente = no aparece o contradice el criterio.</w:t>
      </w:r>
    </w:p>
    <w:p>
      <w:r>
        <w:br/>
        <w:t xml:space="preserve"/>
      </w:r>
    </w:p>
    <w:p>
      <w:pPr>
        <w:pStyle w:val="Heading1"/>
        <w:spacing w:after="140" w:before="320"/>
      </w:pPr>
      <w:r>
        <w:rPr>
          <w:rFonts w:ascii="Calibri" w:cs="Calibri" w:eastAsia="Calibri" w:hAnsi="Calibri"/>
          <w:b/>
          <w:bCs/>
          <w:color w:val="1B2430"/>
          <w:sz w:val="30"/>
          <w:szCs w:val="30"/>
        </w:rPr>
        <w:t xml:space="preserve">3 · Las tres categorías</w:t>
      </w:r>
    </w:p>
    <w:p>
      <w:pPr>
        <w:pStyle w:val="Heading2"/>
        <w:spacing w:after="100" w:before="220"/>
      </w:pPr>
      <w:r>
        <w:rPr>
          <w:rFonts w:ascii="Calibri" w:cs="Calibri" w:eastAsia="Calibri" w:hAnsi="Calibri"/>
          <w:b/>
          <w:bCs/>
          <w:color w:val="23459E"/>
          <w:sz w:val="24"/>
          <w:szCs w:val="24"/>
        </w:rPr>
        <w:t xml:space="preserve">Categoría A — Harness de entorno empresarial</w:t>
      </w:r>
    </w:p>
    <w:p>
      <w:pPr>
        <w:spacing w:after="80" w:before="0" w:line="276"/>
      </w:pPr>
      <w:r>
        <w:rPr>
          <w:rFonts w:ascii="Calibri" w:cs="Calibri" w:eastAsia="Calibri" w:hAnsi="Calibri"/>
          <w:color w:val="455063"/>
          <w:sz w:val="20"/>
          <w:szCs w:val="20"/>
        </w:rPr>
        <w:t xml:space="preserve">Nacieron con cliente/servidor, sesión durable, activación múltiple o gobernanza. Ya traen resueltas varias capas empresariales.</w:t>
      </w:r>
    </w:p>
    <w:p>
      <w:pPr>
        <w:pStyle w:val="ListParagraph"/>
        <w:numPr>
          <w:ilvl w:val="0"/>
          <w:numId w:val="3"/>
        </w:numPr>
        <w:spacing w:after="100" w:line="276"/>
      </w:pPr>
      <w:r>
        <w:rPr>
          <w:rFonts w:ascii="Calibri" w:cs="Calibri" w:eastAsia="Calibri" w:hAnsi="Calibri"/>
          <w:b/>
          <w:bCs/>
          <w:color w:val="1B2430"/>
          <w:sz w:val="21"/>
          <w:szCs w:val="21"/>
        </w:rPr>
        <w:t xml:space="preserve">DeerFlow (9,5). </w:t>
      </w:r>
      <w:r>
        <w:rPr>
          <w:rFonts w:ascii="Calibri" w:cs="Calibri" w:eastAsia="Calibri" w:hAnsi="Calibri"/>
          <w:color w:val="455063"/>
          <w:sz w:val="21"/>
          <w:szCs w:val="21"/>
        </w:rPr>
        <w:t xml:space="preserve">Frontera Harness/App explícita y verificada en CI, distribuido, per-thread isolation, sandbox con provisioner K8s, multi-canal (REST + IM + webhooks).</w:t>
      </w:r>
    </w:p>
    <w:p>
      <w:pPr>
        <w:pStyle w:val="ListParagraph"/>
        <w:numPr>
          <w:ilvl w:val="0"/>
          <w:numId w:val="3"/>
        </w:numPr>
        <w:spacing w:after="100" w:line="276"/>
      </w:pPr>
      <w:r>
        <w:rPr>
          <w:rFonts w:ascii="Calibri" w:cs="Calibri" w:eastAsia="Calibri" w:hAnsi="Calibri"/>
          <w:b/>
          <w:bCs/>
          <w:color w:val="1B2430"/>
          <w:sz w:val="21"/>
          <w:szCs w:val="21"/>
        </w:rPr>
        <w:t xml:space="preserve">OpenCode (9,0). </w:t>
      </w:r>
      <w:r>
        <w:rPr>
          <w:rFonts w:ascii="Calibri" w:cs="Calibri" w:eastAsia="Calibri" w:hAnsi="Calibri"/>
          <w:color w:val="455063"/>
          <w:sz w:val="21"/>
          <w:szCs w:val="21"/>
        </w:rPr>
        <w:t xml:space="preserve">Núcleo de sesión durable V2 (admisión separada de la ejecución), HttpApi contract-first, control-plane, facturación Stripe, paquetes enterprise/identity.</w:t>
      </w:r>
    </w:p>
    <w:p>
      <w:pPr>
        <w:pStyle w:val="ListParagraph"/>
        <w:numPr>
          <w:ilvl w:val="0"/>
          <w:numId w:val="3"/>
        </w:numPr>
        <w:spacing w:after="100" w:line="276"/>
      </w:pPr>
      <w:r>
        <w:rPr>
          <w:rFonts w:ascii="Calibri" w:cs="Calibri" w:eastAsia="Calibri" w:hAnsi="Calibri"/>
          <w:b/>
          <w:bCs/>
          <w:color w:val="1B2430"/>
          <w:sz w:val="21"/>
          <w:szCs w:val="21"/>
        </w:rPr>
        <w:t xml:space="preserve">Hive (9,0). </w:t>
      </w:r>
      <w:r>
        <w:rPr>
          <w:rFonts w:ascii="Calibri" w:cs="Calibri" w:eastAsia="Calibri" w:hAnsi="Calibri"/>
          <w:color w:val="455063"/>
          <w:sz w:val="21"/>
          <w:szCs w:val="21"/>
        </w:rPr>
        <w:t xml:space="preserve">Activación por evento (webhook/timer/api), HITL y constraints duros (safety/cost), señal de billing y observabilidad de negocio como primitivas.</w:t>
      </w:r>
    </w:p>
    <w:p>
      <w:pPr>
        <w:pStyle w:val="Heading2"/>
        <w:spacing w:after="100" w:before="220"/>
      </w:pPr>
      <w:r>
        <w:rPr>
          <w:rFonts w:ascii="Calibri" w:cs="Calibri" w:eastAsia="Calibri" w:hAnsi="Calibri"/>
          <w:b/>
          <w:bCs/>
          <w:color w:val="8A5E10"/>
          <w:sz w:val="24"/>
          <w:szCs w:val="24"/>
        </w:rPr>
        <w:t xml:space="preserve">Categoría B — Harness de asistencia al desarrollador</w:t>
      </w:r>
    </w:p>
    <w:p>
      <w:pPr>
        <w:spacing w:after="80" w:before="0" w:line="276"/>
      </w:pPr>
      <w:r>
        <w:rPr>
          <w:rFonts w:ascii="Calibri" w:cs="Calibri" w:eastAsia="Calibri" w:hAnsi="Calibri"/>
          <w:color w:val="455063"/>
          <w:sz w:val="20"/>
          <w:szCs w:val="20"/>
        </w:rPr>
        <w:t xml:space="preserve">El sesgo “un humano, un terminal, un ciclo”. Excelentes como herramienta local; sin multi-tenencia, identidad delegada ni auditoría.</w:t>
      </w:r>
    </w:p>
    <w:p>
      <w:pPr>
        <w:pStyle w:val="ListParagraph"/>
        <w:numPr>
          <w:ilvl w:val="0"/>
          <w:numId w:val="3"/>
        </w:numPr>
        <w:spacing w:after="100" w:line="276"/>
      </w:pPr>
      <w:r>
        <w:rPr>
          <w:rFonts w:ascii="Calibri" w:cs="Calibri" w:eastAsia="Calibri" w:hAnsi="Calibri"/>
          <w:b/>
          <w:bCs/>
          <w:color w:val="1B2430"/>
          <w:sz w:val="21"/>
          <w:szCs w:val="21"/>
        </w:rPr>
        <w:t xml:space="preserve">Pi Agent Harness (6,0). </w:t>
      </w:r>
      <w:r>
        <w:rPr>
          <w:rFonts w:ascii="Calibri" w:cs="Calibri" w:eastAsia="Calibri" w:hAnsi="Calibri"/>
          <w:color w:val="455063"/>
          <w:sz w:val="21"/>
          <w:szCs w:val="21"/>
        </w:rPr>
        <w:t xml:space="preserve">Hexagonal, estado JSON-serializable, paquete de evals dedicado — el mejor arquitecturado del grupo.</w:t>
      </w:r>
    </w:p>
    <w:p>
      <w:pPr>
        <w:pStyle w:val="ListParagraph"/>
        <w:numPr>
          <w:ilvl w:val="0"/>
          <w:numId w:val="3"/>
        </w:numPr>
        <w:spacing w:after="100" w:line="276"/>
      </w:pPr>
      <w:r>
        <w:rPr>
          <w:rFonts w:ascii="Calibri" w:cs="Calibri" w:eastAsia="Calibri" w:hAnsi="Calibri"/>
          <w:b/>
          <w:bCs/>
          <w:color w:val="1B2430"/>
          <w:sz w:val="21"/>
          <w:szCs w:val="21"/>
        </w:rPr>
        <w:t xml:space="preserve">Codex CLI (5,5). </w:t>
      </w:r>
      <w:r>
        <w:rPr>
          <w:rFonts w:ascii="Calibri" w:cs="Calibri" w:eastAsia="Calibri" w:hAnsi="Calibri"/>
          <w:color w:val="455063"/>
          <w:sz w:val="21"/>
          <w:szCs w:val="21"/>
        </w:rPr>
        <w:t xml:space="preserve">Gobernanza de seguridad fuerte (execpolicy, sandbox por SO, requirements.toml gestionado), pero local y mono-usuario.</w:t>
      </w:r>
    </w:p>
    <w:p>
      <w:pPr>
        <w:pStyle w:val="ListParagraph"/>
        <w:numPr>
          <w:ilvl w:val="0"/>
          <w:numId w:val="3"/>
        </w:numPr>
        <w:spacing w:after="100" w:line="276"/>
      </w:pPr>
      <w:r>
        <w:rPr>
          <w:rFonts w:ascii="Calibri" w:cs="Calibri" w:eastAsia="Calibri" w:hAnsi="Calibri"/>
          <w:b/>
          <w:bCs/>
          <w:color w:val="1B2430"/>
          <w:sz w:val="21"/>
          <w:szCs w:val="21"/>
        </w:rPr>
        <w:t xml:space="preserve">Claude Code (3,5). </w:t>
      </w:r>
      <w:r>
        <w:rPr>
          <w:rFonts w:ascii="Calibri" w:cs="Calibri" w:eastAsia="Calibri" w:hAnsi="Calibri"/>
          <w:color w:val="455063"/>
          <w:sz w:val="21"/>
          <w:szCs w:val="21"/>
        </w:rPr>
        <w:t xml:space="preserve">Arquetipo del asistente interactivo de terminal. Sistema de permisos fuerte, nada de infraestructura empresarial.</w:t>
      </w:r>
    </w:p>
    <w:p>
      <w:pPr>
        <w:pStyle w:val="Heading2"/>
        <w:spacing w:after="100" w:before="220"/>
      </w:pPr>
      <w:r>
        <w:rPr>
          <w:rFonts w:ascii="Calibri" w:cs="Calibri" w:eastAsia="Calibri" w:hAnsi="Calibri"/>
          <w:b/>
          <w:bCs/>
          <w:color w:val="A8362D"/>
          <w:sz w:val="24"/>
          <w:szCs w:val="24"/>
        </w:rPr>
        <w:t xml:space="preserve">Fuera de categoría — No son harness</w:t>
      </w:r>
    </w:p>
    <w:p>
      <w:pPr>
        <w:pStyle w:val="ListParagraph"/>
        <w:numPr>
          <w:ilvl w:val="0"/>
          <w:numId w:val="3"/>
        </w:numPr>
        <w:spacing w:after="100" w:line="276"/>
      </w:pPr>
      <w:r>
        <w:rPr>
          <w:rFonts w:ascii="Calibri" w:cs="Calibri" w:eastAsia="Calibri" w:hAnsi="Calibri"/>
          <w:b/>
          <w:bCs/>
          <w:color w:val="1B2430"/>
          <w:sz w:val="21"/>
          <w:szCs w:val="21"/>
        </w:rPr>
        <w:t xml:space="preserve">memU. </w:t>
      </w:r>
      <w:r>
        <w:rPr>
          <w:rFonts w:ascii="Calibri" w:cs="Calibri" w:eastAsia="Calibri" w:hAnsi="Calibri"/>
          <w:color w:val="455063"/>
          <w:sz w:val="21"/>
          <w:szCs w:val="21"/>
        </w:rPr>
        <w:t xml:space="preserve">Subsistema de memoria (sidecar sin LLM). Resuelve C9 mejor que cualquier harness: multi-host, postgres/pgvector, scope de usuario, telemetría con privacidad. Es un complemento, no un harness.</w:t>
      </w:r>
    </w:p>
    <w:p>
      <w:pPr>
        <w:pStyle w:val="ListParagraph"/>
        <w:numPr>
          <w:ilvl w:val="0"/>
          <w:numId w:val="3"/>
        </w:numPr>
        <w:spacing w:after="100" w:line="276"/>
      </w:pPr>
      <w:r>
        <w:rPr>
          <w:rFonts w:ascii="Calibri" w:cs="Calibri" w:eastAsia="Calibri" w:hAnsi="Calibri"/>
          <w:b/>
          <w:bCs/>
          <w:color w:val="1B2430"/>
          <w:sz w:val="21"/>
          <w:szCs w:val="21"/>
        </w:rPr>
        <w:t xml:space="preserve">OpenHands Agent Canvas. </w:t>
      </w:r>
      <w:r>
        <w:rPr>
          <w:rFonts w:ascii="Calibri" w:cs="Calibri" w:eastAsia="Calibri" w:hAnsi="Calibri"/>
          <w:color w:val="455063"/>
          <w:sz w:val="21"/>
          <w:szCs w:val="21"/>
        </w:rPr>
        <w:t xml:space="preserve">Frontend React. “No ejecuta acciones, no provee sandbox”. El harness real es el Agent Server, ausente del documento.</w:t>
      </w:r>
    </w:p>
    <w:p>
      <w:r>
        <w:br/>
        <w:t xml:space="preserve"/>
      </w:r>
    </w:p>
    <w:p>
      <w:pPr>
        <w:pStyle w:val="Heading1"/>
        <w:spacing w:after="140" w:before="320"/>
      </w:pPr>
      <w:r>
        <w:rPr>
          <w:rFonts w:ascii="Calibri" w:cs="Calibri" w:eastAsia="Calibri" w:hAnsi="Calibri"/>
          <w:b/>
          <w:bCs/>
          <w:color w:val="1B2430"/>
          <w:sz w:val="30"/>
          <w:szCs w:val="30"/>
        </w:rPr>
        <w:t xml:space="preserve">4 · El candidato indicado</w:t>
      </w:r>
    </w:p>
    <w:p>
      <w:pPr>
        <w:spacing w:after="120" w:line="276"/>
      </w:pPr>
      <w:r>
        <w:rPr>
          <w:rFonts w:ascii="Calibri" w:cs="Calibri" w:eastAsia="Calibri" w:hAnsi="Calibri"/>
          <w:color w:val="455063"/>
          <w:sz w:val="21"/>
          <w:szCs w:val="21"/>
        </w:rPr>
        <w:t xml:space="preserve">El propio documento maestro concluye que </w:t>
      </w:r>
      <w:r>
        <w:rPr>
          <w:rFonts w:ascii="Calibri" w:cs="Calibri" w:eastAsia="Calibri" w:hAnsi="Calibri"/>
          <w:b/>
          <w:bCs/>
          <w:color w:val="1B2430"/>
          <w:sz w:val="21"/>
          <w:szCs w:val="21"/>
        </w:rPr>
        <w:t xml:space="preserve">hoy no existe un harness listo para casos empresariales complejos</w:t>
      </w:r>
      <w:r>
        <w:rPr>
          <w:rFonts w:ascii="Calibri" w:cs="Calibri" w:eastAsia="Calibri" w:hAnsi="Calibri"/>
          <w:color w:val="455063"/>
          <w:sz w:val="21"/>
          <w:szCs w:val="21"/>
        </w:rPr>
        <w:t xml:space="preserve">; la respuesta correcta es un </w:t>
      </w:r>
      <w:r>
        <w:rPr>
          <w:rFonts w:ascii="Calibri" w:cs="Calibri" w:eastAsia="Calibri" w:hAnsi="Calibri"/>
          <w:b/>
          <w:bCs/>
          <w:color w:val="1B2430"/>
          <w:sz w:val="21"/>
          <w:szCs w:val="21"/>
        </w:rPr>
        <w:t xml:space="preserve">“harness envuelto”</w:t>
      </w:r>
      <w:r>
        <w:rPr>
          <w:rFonts w:ascii="Calibri" w:cs="Calibri" w:eastAsia="Calibri" w:hAnsi="Calibri"/>
          <w:color w:val="455063"/>
          <w:sz w:val="21"/>
          <w:szCs w:val="21"/>
        </w:rPr>
        <w:t xml:space="preserve"> — un núcleo de runtime sólido más una capa propia para activación, multi-tenencia, identidad delegada, auditoría, gobernanza y evaluación. La pregunta no es “¿cuál cumple?” sino “¿cuál me deja menos por construir?”.</w:t>
      </w:r>
    </w:p>
    <w:p>
      <w:pPr>
        <w:pStyle w:val="ListParagraph"/>
        <w:numPr>
          <w:ilvl w:val="0"/>
          <w:numId w:val="4"/>
        </w:numPr>
        <w:spacing w:after="100" w:line="276"/>
      </w:pPr>
      <w:r>
        <w:rPr>
          <w:rFonts w:ascii="Calibri" w:cs="Calibri" w:eastAsia="Calibri" w:hAnsi="Calibri"/>
          <w:b/>
          <w:bCs/>
          <w:color w:val="1B2430"/>
          <w:sz w:val="21"/>
          <w:szCs w:val="21"/>
        </w:rPr>
        <w:t xml:space="preserve">DeerFlow — elección por defecto. </w:t>
      </w:r>
      <w:r>
        <w:rPr>
          <w:rFonts w:ascii="Calibri" w:cs="Calibri" w:eastAsia="Calibri" w:hAnsi="Calibri"/>
          <w:color w:val="455063"/>
          <w:sz w:val="21"/>
          <w:szCs w:val="21"/>
        </w:rPr>
        <w:t xml:space="preserve">El más empresarial de fábrica. Lo que falta: evaluación de regresión (C12) y auditoría forense (C5).</w:t>
      </w:r>
    </w:p>
    <w:p>
      <w:pPr>
        <w:pStyle w:val="ListParagraph"/>
        <w:numPr>
          <w:ilvl w:val="0"/>
          <w:numId w:val="4"/>
        </w:numPr>
        <w:spacing w:after="100" w:line="276"/>
      </w:pPr>
      <w:r>
        <w:rPr>
          <w:rFonts w:ascii="Calibri" w:cs="Calibri" w:eastAsia="Calibri" w:hAnsi="Calibri"/>
          <w:b/>
          <w:bCs/>
          <w:color w:val="1B2430"/>
          <w:sz w:val="21"/>
          <w:szCs w:val="21"/>
        </w:rPr>
        <w:t xml:space="preserve">OpenCode — si priorizás el núcleo. </w:t>
      </w:r>
      <w:r>
        <w:rPr>
          <w:rFonts w:ascii="Calibri" w:cs="Calibri" w:eastAsia="Calibri" w:hAnsi="Calibri"/>
          <w:color w:val="455063"/>
          <w:sz w:val="21"/>
          <w:szCs w:val="21"/>
        </w:rPr>
        <w:t xml:space="preserve">El mejor core para envolver: sesión durable, contract-first y paquetes enterprise/identity ya presentes.</w:t>
      </w:r>
    </w:p>
    <w:p>
      <w:pPr>
        <w:pStyle w:val="ListParagraph"/>
        <w:numPr>
          <w:ilvl w:val="0"/>
          <w:numId w:val="4"/>
        </w:numPr>
        <w:spacing w:after="100" w:line="276"/>
      </w:pPr>
      <w:r>
        <w:rPr>
          <w:rFonts w:ascii="Calibri" w:cs="Calibri" w:eastAsia="Calibri" w:hAnsi="Calibri"/>
          <w:b/>
          <w:bCs/>
          <w:color w:val="1B2430"/>
          <w:sz w:val="21"/>
          <w:szCs w:val="21"/>
        </w:rPr>
        <w:t xml:space="preserve">Hive — si priorizás gobernanza. </w:t>
      </w:r>
      <w:r>
        <w:rPr>
          <w:rFonts w:ascii="Calibri" w:cs="Calibri" w:eastAsia="Calibri" w:hAnsi="Calibri"/>
          <w:color w:val="455063"/>
          <w:sz w:val="21"/>
          <w:szCs w:val="21"/>
        </w:rPr>
        <w:t xml:space="preserve">El único con HITL, constraints, billing y observabilidad de negocio de primera clase. Punto débil: versionado de tools (C11).</w:t>
      </w:r>
    </w:p>
    <w:p>
      <w:pPr>
        <w:spacing w:after="160" w:line="276"/>
      </w:pPr>
      <w:r>
        <w:rPr>
          <w:rFonts w:ascii="Calibri" w:cs="Calibri" w:eastAsia="Calibri" w:hAnsi="Calibri"/>
          <w:b/>
          <w:bCs/>
          <w:color w:val="1B2430"/>
          <w:sz w:val="21"/>
          <w:szCs w:val="21"/>
        </w:rPr>
        <w:t xml:space="preserve">Y una pieza que no compite: memU. </w:t>
      </w:r>
      <w:r>
        <w:rPr>
          <w:rFonts w:ascii="Calibri" w:cs="Calibri" w:eastAsia="Calibri" w:hAnsi="Calibri"/>
          <w:color w:val="455063"/>
          <w:sz w:val="21"/>
          <w:szCs w:val="21"/>
        </w:rPr>
        <w:t xml:space="preserve">Ningún núcleo resuelve bien C9 (memoria con residencia de datos). El candidato real no es un producto, es </w:t>
      </w:r>
      <w:r>
        <w:rPr>
          <w:rFonts w:ascii="Calibri" w:cs="Calibri" w:eastAsia="Calibri" w:hAnsi="Calibri"/>
          <w:b/>
          <w:bCs/>
          <w:color w:val="1B2430"/>
          <w:sz w:val="21"/>
          <w:szCs w:val="21"/>
        </w:rPr>
        <w:t xml:space="preserve">DeerFlow u OpenCode como núcleo + memU para la memoria + tu capa propia de auditoría, versionado y evaluación</w:t>
      </w:r>
      <w:r>
        <w:rPr>
          <w:rFonts w:ascii="Calibri" w:cs="Calibri" w:eastAsia="Calibri" w:hAnsi="Calibri"/>
          <w:color w:val="455063"/>
          <w:sz w:val="21"/>
          <w:szCs w:val="21"/>
        </w:rPr>
        <w:t xml:space="preserve">. Eso es exactamente el “harness envuelto” del documento maestro.</w:t>
      </w:r>
    </w:p>
    <w:p>
      <w:pPr>
        <w:spacing w:after="120" w:before="120" w:line="276"/>
      </w:pPr>
      <w:r>
        <w:rPr>
          <w:rFonts w:ascii="Calibri" w:cs="Calibri" w:eastAsia="Calibri" w:hAnsi="Calibri"/>
          <w:color w:val="6B7684"/>
          <w:sz w:val="17"/>
          <w:szCs w:val="17"/>
        </w:rPr>
        <w:t xml:space="preserve">Método · Cada marca se apoya en una afirmación textual del .md de arquitectura correspondiente. El puntaje es una guía de lectura, no un ranking absoluto: los seis harnesses sirven propósitos distintos, y el marco de 14 criterios está pensado para un caso de uso empresarial concreto, no como nota general de calidad.</w:t>
      </w:r>
    </w:p>
    <w:sectPr>
      <w:pgSz w:w="12240" w:h="15840" w:orient="landscape"/>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bullet"/>
      <w:lvlText w:val="•"/>
      <w:lvlJc w:val="left"/>
      <w:pPr>
        <w:ind w:left="360" w:hanging="220"/>
      </w:pPr>
    </w:lvl>
  </w:abstractNum>
  <w:abstractNum w:abstractNumId="4"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Cuadro comparativo — Harness de agentes vs. criterios empresariales</dc:title>
  <dc:creator>Reporte de Modelos de IA</dc:creator>
  <cp:lastModifiedBy>Un-named</cp:lastModifiedBy>
  <cp:revision>1</cp:revision>
  <dcterms:created xsi:type="dcterms:W3CDTF">2026-08-10T21:22:26.298Z</dcterms:created>
  <dcterms:modified xsi:type="dcterms:W3CDTF">2026-08-10T21:22:26.299Z</dcterms:modified>
</cp:coreProperties>
</file>

<file path=docProps/custom.xml><?xml version="1.0" encoding="utf-8"?>
<Properties xmlns="http://schemas.openxmlformats.org/officeDocument/2006/custom-properties" xmlns:vt="http://schemas.openxmlformats.org/officeDocument/2006/docPropsVTypes"/>
</file>