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19277">
      <w:pPr>
        <w:spacing w:line="360" w:lineRule="auto"/>
        <w:jc w:val="both"/>
        <w:rPr>
          <w:rFonts w:eastAsia="宋体"/>
          <w:b/>
          <w:bCs/>
          <w:color w:val="000000"/>
          <w:shd w:val="clear" w:color="auto" w:fill="FFFFFF"/>
          <w:lang w:eastAsia="zh-CN"/>
        </w:rPr>
      </w:pPr>
      <w:r>
        <w:rPr>
          <w:rFonts w:hint="eastAsia" w:eastAsia="宋体"/>
          <w:b/>
          <w:bCs/>
          <w:color w:val="000000"/>
          <w:shd w:val="clear" w:color="auto" w:fill="FFFFFF"/>
          <w:lang w:eastAsia="zh-CN"/>
        </w:rPr>
        <w:t xml:space="preserve">Table </w:t>
      </w:r>
      <w:r>
        <w:rPr>
          <w:rFonts w:hint="eastAsia" w:eastAsia="宋体"/>
          <w:b/>
          <w:bCs/>
          <w:color w:val="000000"/>
          <w:shd w:val="clear" w:color="auto" w:fill="FFFFFF"/>
          <w:lang w:val="en-US" w:eastAsia="zh-CN"/>
        </w:rPr>
        <w:t>1</w:t>
      </w:r>
      <w:r>
        <w:rPr>
          <w:rFonts w:hint="eastAsia" w:eastAsia="宋体"/>
          <w:b/>
          <w:bCs/>
          <w:color w:val="000000"/>
          <w:shd w:val="clear" w:color="auto" w:fill="FFFFFF"/>
          <w:lang w:eastAsia="zh-CN"/>
        </w:rPr>
        <w:t xml:space="preserve">. </w:t>
      </w:r>
      <w:r>
        <w:rPr>
          <w:rFonts w:eastAsia="宋体"/>
          <w:b/>
          <w:bCs/>
          <w:color w:val="000000"/>
          <w:shd w:val="clear" w:color="auto" w:fill="FFFFFF"/>
          <w:lang w:eastAsia="zh-CN"/>
        </w:rPr>
        <w:t>Overview of key multi-omics technologies including a brief description and examples of platforms commonly used for each technology.</w:t>
      </w:r>
      <w:r>
        <w:rPr>
          <w:rFonts w:eastAsia="Verdana"/>
          <w:b/>
          <w:bCs/>
          <w:color w:val="000000"/>
          <w:shd w:val="clear" w:color="auto" w:fill="FFFFFF"/>
        </w:rPr>
        <w:t xml:space="preserve"> </w:t>
      </w:r>
    </w:p>
    <w:tbl>
      <w:tblPr>
        <w:tblStyle w:val="8"/>
        <w:tblW w:w="5378" w:type="pct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5539"/>
        <w:gridCol w:w="4504"/>
      </w:tblGrid>
      <w:tr w14:paraId="0845CC3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9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E804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  <w:t>Omics</w:t>
            </w:r>
          </w:p>
        </w:tc>
        <w:tc>
          <w:tcPr>
            <w:tcW w:w="2267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581F4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  <w:t>Description</w:t>
            </w:r>
          </w:p>
        </w:tc>
        <w:tc>
          <w:tcPr>
            <w:tcW w:w="1843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7BC32B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i w:val="0"/>
                <w:color w:val="000000" w:themeColor="dark1"/>
                <w:sz w:val="18"/>
                <w:szCs w:val="18"/>
                <w:lang w:eastAsia="zh-CN"/>
                <w14:textFill>
                  <w14:solidFill>
                    <w14:schemeClr w14:val="dk1"/>
                  </w14:solidFill>
                </w14:textFill>
              </w:rPr>
              <w:t xml:space="preserve">Example </w:t>
            </w:r>
            <w:r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:lang w:eastAsia="zh-CN"/>
                <w14:textFill>
                  <w14:solidFill>
                    <w14:schemeClr w14:val="dk1"/>
                  </w14:solidFill>
                </w14:textFill>
              </w:rPr>
              <w:t xml:space="preserve">of </w:t>
            </w:r>
            <w:r>
              <w:rPr>
                <w:rFonts w:hint="eastAsia" w:eastAsia="宋体"/>
                <w:b/>
                <w:bCs/>
                <w:i w:val="0"/>
                <w:color w:val="000000" w:themeColor="dark1"/>
                <w:sz w:val="18"/>
                <w:szCs w:val="18"/>
                <w:lang w:eastAsia="zh-CN"/>
                <w14:textFill>
                  <w14:solidFill>
                    <w14:schemeClr w14:val="dk1"/>
                  </w14:solidFill>
                </w14:textFill>
              </w:rPr>
              <w:t>t</w:t>
            </w:r>
            <w:r>
              <w:rPr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  <w:t>echnological platforms used</w:t>
            </w:r>
          </w:p>
        </w:tc>
      </w:tr>
      <w:tr w14:paraId="1C5BDB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889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</w:tcPr>
          <w:p w14:paraId="51F38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bookmarkStart w:id="0" w:name="OLE_LINK6"/>
            <w:r>
              <w:rPr>
                <w:b w:val="0"/>
                <w:bCs/>
                <w:i w:val="0"/>
                <w:color w:val="08090C"/>
                <w:sz w:val="18"/>
                <w:szCs w:val="18"/>
              </w:rPr>
              <w:t>Metagenomics</w:t>
            </w:r>
            <w:bookmarkEnd w:id="0"/>
          </w:p>
        </w:tc>
        <w:tc>
          <w:tcPr>
            <w:tcW w:w="2267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</w:tcPr>
          <w:p w14:paraId="6748F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Culture-independent analysis of genomic sequences from all microbes in a sample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; 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reveal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s information on 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 the taxonomic and functional profiles of microbial communities.</w:t>
            </w:r>
          </w:p>
        </w:tc>
        <w:tc>
          <w:tcPr>
            <w:tcW w:w="1843" w:type="pct"/>
            <w:vMerge w:val="restar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</w:tcPr>
          <w:p w14:paraId="0B18BF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bookmarkStart w:id="1" w:name="OLE_LINK50"/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Ion Torrent Semiconductor Sequencing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bookmarkEnd w:id="1"/>
          <w:p w14:paraId="06BF9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bookmarkStart w:id="2" w:name="OLE_LINK57"/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Illumina Sequencing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bookmarkEnd w:id="2"/>
          <w:p w14:paraId="78B069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Sequencing by Oligonucleotide Ligation and Detection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48ECE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DNA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N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anoball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S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equencing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,</w:t>
            </w:r>
          </w:p>
          <w:p w14:paraId="25395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PacBio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Single Molecule Real-Time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SMRT) Sequencing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06108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Nanopore DNA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S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equencing</w:t>
            </w:r>
          </w:p>
        </w:tc>
      </w:tr>
      <w:tr w14:paraId="3F46B3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89D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bookmarkStart w:id="3" w:name="OLE_LINK7"/>
            <w:r>
              <w:rPr>
                <w:b w:val="0"/>
                <w:bCs/>
                <w:i w:val="0"/>
                <w:color w:val="08090C"/>
                <w:sz w:val="18"/>
                <w:szCs w:val="18"/>
              </w:rPr>
              <w:t>Metatranscriptomics</w:t>
            </w:r>
            <w:bookmarkEnd w:id="3"/>
          </w:p>
        </w:tc>
        <w:tc>
          <w:tcPr>
            <w:tcW w:w="22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23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Culture-independent analysis of microbial community transcriptomes;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discerns active microbes and their functional expressions under specific conditions.</w:t>
            </w:r>
          </w:p>
        </w:tc>
        <w:tc>
          <w:tcPr>
            <w:tcW w:w="184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73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</w:p>
        </w:tc>
      </w:tr>
      <w:tr w14:paraId="1D5AD9F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  <w:jc w:val="center"/>
        </w:trPr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56E9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bookmarkStart w:id="4" w:name="OLE_LINK64"/>
            <w:r>
              <w:rPr>
                <w:b w:val="0"/>
                <w:bCs/>
                <w:i w:val="0"/>
                <w:color w:val="08090C"/>
                <w:sz w:val="18"/>
                <w:szCs w:val="18"/>
              </w:rPr>
              <w:t>Proteomics</w:t>
            </w:r>
            <w:bookmarkEnd w:id="4"/>
          </w:p>
        </w:tc>
        <w:tc>
          <w:tcPr>
            <w:tcW w:w="2267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B9D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Systematic analysis of the proteome; elucidates protein interactions, functions, and structures to provide deeper insights into cellular activities and organismal function beyond genomics.</w:t>
            </w: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1209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bookmarkStart w:id="5" w:name="OLE_LINK1"/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Mass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S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pectrometry</w:t>
            </w:r>
            <w:bookmarkEnd w:id="5"/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,</w:t>
            </w:r>
          </w:p>
          <w:p w14:paraId="7184D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Antibody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C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apture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-b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ased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T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echniques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,</w:t>
            </w:r>
          </w:p>
          <w:p w14:paraId="48D7EE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X-ray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C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rystallography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,</w:t>
            </w:r>
          </w:p>
          <w:p w14:paraId="64A11A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bookmarkStart w:id="6" w:name="OLE_LINK16"/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Nuclear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M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agnetic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R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esonance</w:t>
            </w:r>
            <w:bookmarkEnd w:id="6"/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S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pectroscopy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,</w:t>
            </w:r>
          </w:p>
          <w:p w14:paraId="35E750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Liquid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C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hromatography</w:t>
            </w:r>
          </w:p>
        </w:tc>
      </w:tr>
      <w:tr w14:paraId="4528E4A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64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bookmarkStart w:id="7" w:name="OLE_LINK4"/>
            <w:r>
              <w:rPr>
                <w:b w:val="0"/>
                <w:bCs/>
                <w:i w:val="0"/>
                <w:color w:val="08090C"/>
                <w:sz w:val="18"/>
                <w:szCs w:val="18"/>
              </w:rPr>
              <w:t>Metabolomics</w:t>
            </w:r>
            <w:bookmarkEnd w:id="7"/>
          </w:p>
        </w:tc>
        <w:tc>
          <w:tcPr>
            <w:tcW w:w="22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DF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Systematic quantification and characterization of small-molecule metabolites in biological samples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 reflect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ing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 the metabolic state and functional outputs of cellular processes.</w:t>
            </w: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2FA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bookmarkStart w:id="8" w:name="OLE_LINK9"/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Mass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S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pectrometry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,</w:t>
            </w:r>
          </w:p>
          <w:p w14:paraId="5CB41D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Nuclear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M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agnetic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R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esonance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S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pectroscopy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,</w:t>
            </w:r>
          </w:p>
          <w:bookmarkEnd w:id="8"/>
          <w:p w14:paraId="3362E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Liquid </w:t>
            </w:r>
            <w:bookmarkStart w:id="9" w:name="OLE_LINK5"/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C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hromatography</w:t>
            </w:r>
            <w:bookmarkEnd w:id="9"/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342A2C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Gas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C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hromatography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18978E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bookmarkStart w:id="10" w:name="OLE_LINK8"/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Capillary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E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lectrophoresis</w:t>
            </w:r>
            <w:bookmarkEnd w:id="10"/>
          </w:p>
        </w:tc>
      </w:tr>
      <w:tr w14:paraId="15B84F7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  <w:jc w:val="center"/>
        </w:trPr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E4C8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bookmarkStart w:id="11" w:name="OLE_LINK3"/>
            <w:r>
              <w:rPr>
                <w:b w:val="0"/>
                <w:bCs/>
                <w:i w:val="0"/>
                <w:color w:val="08090C"/>
                <w:sz w:val="18"/>
                <w:szCs w:val="18"/>
              </w:rPr>
              <w:t>Spatial transcriptomics</w:t>
            </w:r>
            <w:bookmarkEnd w:id="11"/>
          </w:p>
        </w:tc>
        <w:tc>
          <w:tcPr>
            <w:tcW w:w="2267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3FA7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Omics technique building upon in situ hybridization; captures the spatial context of transcriptional activity within intact tissues and quantifies all mRNA in cells to provide a comprehensive view of cellular processes and their spatial organization.</w:t>
            </w: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E424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Multiplexed fluorescence in situ hybridization (M-FISH)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1BBFE7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Single-cell RNA Sequencing</w:t>
            </w:r>
          </w:p>
        </w:tc>
      </w:tr>
      <w:tr w14:paraId="52FAFED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0" w:hRule="atLeast"/>
          <w:jc w:val="center"/>
        </w:trPr>
        <w:tc>
          <w:tcPr>
            <w:tcW w:w="889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07C61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bCs/>
                <w:i w:val="0"/>
                <w:color w:val="08090C"/>
                <w:sz w:val="18"/>
                <w:szCs w:val="18"/>
              </w:rPr>
              <w:t>Spatial proteomics</w:t>
            </w:r>
          </w:p>
        </w:tc>
        <w:tc>
          <w:tcPr>
            <w:tcW w:w="2267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3A9608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High-resolution analytical approach that integrates proteomic profiling with spatial localization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elucidat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ing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 protein distribution, dynamics, and interactions within cellular and tissue contexts.</w:t>
            </w:r>
          </w:p>
        </w:tc>
        <w:tc>
          <w:tcPr>
            <w:tcW w:w="1843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2305B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Cyclic Immunofluorescence (CycIF)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144DA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Co-detection by Indexing (CODEX)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5BEDB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Iterative Bleaching Extends Multiplexity (IBEX),</w:t>
            </w:r>
          </w:p>
          <w:p w14:paraId="433181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Imaging Mass Cytometry (IMC)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284C1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Multiplexed Ion Beam Imaging (MIBI)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6B2A8E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Antibody-Based Imaging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,</w:t>
            </w:r>
          </w:p>
          <w:p w14:paraId="79C645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Fluorescent Protein-Based Imaging</w:t>
            </w:r>
          </w:p>
        </w:tc>
      </w:tr>
    </w:tbl>
    <w:p w14:paraId="3FC06A9F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52D9602C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1925D338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1582F073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05E53D6A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16C436D5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1B28990F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03577F16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32411240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70800FED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60EF06FF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13EC7B74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35CBA166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635AD73E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03781C1C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3FB7817B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3FCF440F">
      <w:pPr>
        <w:spacing w:line="360" w:lineRule="auto"/>
        <w:jc w:val="both"/>
        <w:rPr>
          <w:rFonts w:hint="eastAsia" w:eastAsia="宋体"/>
          <w:b/>
          <w:bCs/>
          <w:shd w:val="clear" w:color="auto" w:fill="FFFFFF"/>
          <w:lang w:eastAsia="zh-CN"/>
        </w:rPr>
      </w:pPr>
    </w:p>
    <w:p w14:paraId="63951476">
      <w:pPr>
        <w:spacing w:line="360" w:lineRule="auto"/>
        <w:jc w:val="both"/>
        <w:rPr>
          <w:rFonts w:eastAsia="宋体"/>
          <w:b/>
          <w:bCs/>
          <w:shd w:val="clear" w:color="auto" w:fill="FFFFFF"/>
          <w:lang w:eastAsia="zh-CN"/>
        </w:rPr>
      </w:pPr>
      <w:r>
        <w:rPr>
          <w:rFonts w:hint="eastAsia" w:eastAsia="宋体"/>
          <w:b/>
          <w:bCs/>
          <w:shd w:val="clear" w:color="auto" w:fill="FFFFFF"/>
          <w:lang w:eastAsia="zh-CN"/>
        </w:rPr>
        <w:t xml:space="preserve">Table </w:t>
      </w:r>
      <w:r>
        <w:rPr>
          <w:rFonts w:hint="eastAsia" w:eastAsia="宋体"/>
          <w:b/>
          <w:bCs/>
          <w:shd w:val="clear" w:color="auto" w:fill="FFFFFF"/>
          <w:lang w:val="en-US" w:eastAsia="zh-CN"/>
        </w:rPr>
        <w:t>2</w:t>
      </w:r>
      <w:r>
        <w:rPr>
          <w:rFonts w:hint="eastAsia" w:eastAsia="宋体"/>
          <w:b/>
          <w:bCs/>
          <w:shd w:val="clear" w:color="auto" w:fill="FFFFFF"/>
          <w:lang w:eastAsia="zh-CN"/>
        </w:rPr>
        <w:t>. Characteristics of population-level microbiome cohort studies in IBD</w:t>
      </w:r>
    </w:p>
    <w:tbl>
      <w:tblPr>
        <w:tblStyle w:val="2"/>
        <w:tblW w:w="5502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1041"/>
        <w:gridCol w:w="2513"/>
        <w:gridCol w:w="3880"/>
        <w:gridCol w:w="2400"/>
      </w:tblGrid>
      <w:tr w14:paraId="71277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98CF5A9">
            <w:pPr>
              <w:jc w:val="center"/>
              <w:textAlignment w:val="center"/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:lang w:eastAsia="zh-CN" w:bidi="ar"/>
                <w14:textFill>
                  <w14:solidFill>
                    <w14:schemeClr w14:val="dk1"/>
                  </w14:solidFill>
                </w14:textFill>
              </w:rPr>
              <w:t>Cohort name</w:t>
            </w:r>
          </w:p>
        </w:tc>
        <w:tc>
          <w:tcPr>
            <w:tcW w:w="416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C349FFB">
            <w:pPr>
              <w:jc w:val="center"/>
              <w:textAlignment w:val="center"/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:lang w:eastAsia="zh-CN" w:bidi="ar"/>
                <w14:textFill>
                  <w14:solidFill>
                    <w14:schemeClr w14:val="dk1"/>
                  </w14:solidFill>
                </w14:textFill>
              </w:rPr>
              <w:t>Numer of participants</w:t>
            </w:r>
          </w:p>
        </w:tc>
        <w:tc>
          <w:tcPr>
            <w:tcW w:w="1005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F4404B4">
            <w:pPr>
              <w:jc w:val="center"/>
              <w:textAlignment w:val="center"/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:lang w:eastAsia="zh-CN" w:bidi="ar"/>
                <w14:textFill>
                  <w14:solidFill>
                    <w14:schemeClr w14:val="dk1"/>
                  </w14:solidFill>
                </w14:textFill>
              </w:rPr>
              <w:t>Data generated</w:t>
            </w:r>
          </w:p>
        </w:tc>
        <w:tc>
          <w:tcPr>
            <w:tcW w:w="1552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8740EC9">
            <w:pPr>
              <w:jc w:val="center"/>
              <w:textAlignment w:val="center"/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:lang w:eastAsia="zh-CN" w:bidi="ar"/>
                <w14:textFill>
                  <w14:solidFill>
                    <w14:schemeClr w14:val="dk1"/>
                  </w14:solidFill>
                </w14:textFill>
              </w:rPr>
              <w:t>Study features</w:t>
            </w:r>
          </w:p>
        </w:tc>
        <w:tc>
          <w:tcPr>
            <w:tcW w:w="960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66A1398">
            <w:pPr>
              <w:jc w:val="center"/>
              <w:textAlignment w:val="center"/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eastAsia="宋体"/>
                <w:b/>
                <w:bCs/>
                <w:i w:val="0"/>
                <w:color w:val="000000" w:themeColor="dark1"/>
                <w:sz w:val="18"/>
                <w:szCs w:val="18"/>
                <w:lang w:eastAsia="zh-CN" w:bidi="ar"/>
                <w14:textFill>
                  <w14:solidFill>
                    <w14:schemeClr w14:val="dk1"/>
                  </w14:solidFill>
                </w14:textFill>
              </w:rPr>
              <w:t>Ref</w:t>
            </w:r>
          </w:p>
        </w:tc>
      </w:tr>
      <w:tr w14:paraId="32073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  <w:jc w:val="center"/>
        </w:trPr>
        <w:tc>
          <w:tcPr>
            <w:tcW w:w="1065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D6CA6AF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RISK(USA)</w:t>
            </w:r>
          </w:p>
        </w:tc>
        <w:tc>
          <w:tcPr>
            <w:tcW w:w="416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847BA86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n=1,276</w:t>
            </w:r>
          </w:p>
        </w:tc>
        <w:tc>
          <w:tcPr>
            <w:tcW w:w="1005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E6E04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Genomics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, </w:t>
            </w:r>
          </w:p>
          <w:p w14:paraId="0D09F2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Transcriptomics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072D4D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Microbiomics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;</w:t>
            </w:r>
          </w:p>
          <w:p w14:paraId="70643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Blood, </w:t>
            </w:r>
          </w:p>
          <w:p w14:paraId="7A5323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Biopsies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53FBA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F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aecal samples</w:t>
            </w:r>
          </w:p>
        </w:tc>
        <w:tc>
          <w:tcPr>
            <w:tcW w:w="1552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AC462EC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Longitudinal,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CD only,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ediatric inception cohort,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ulti-omic analysis</w:t>
            </w:r>
          </w:p>
        </w:tc>
        <w:tc>
          <w:tcPr>
            <w:tcW w:w="960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054CB2A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38490347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38289995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</w:p>
        </w:tc>
      </w:tr>
      <w:tr w14:paraId="452B2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35D80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PRISM(USA)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7529D3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n=161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DEEB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16S rRNA sequencing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M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etabolomics, Microbiomics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;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F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aecal samples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7FA1BE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Longitudinal,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41045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30531976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29404425</w:t>
            </w:r>
          </w:p>
        </w:tc>
      </w:tr>
      <w:tr w14:paraId="6C17F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57C0792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Dutch IBD biobank(Netherlands)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077D7A4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n=3,388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8CDAA14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Genomics,</w:t>
            </w:r>
          </w:p>
          <w:p w14:paraId="51DD7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Transcriptomics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7405E1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Microbiomics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;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S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erum, </w:t>
            </w:r>
          </w:p>
          <w:p w14:paraId="22FAB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Faecal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, </w:t>
            </w:r>
          </w:p>
          <w:p w14:paraId="22BD8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M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ucosal biopsies sample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731F683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Cross-sectional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ulti-omic analysis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8426D2F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29122790</w:t>
            </w:r>
          </w:p>
        </w:tc>
      </w:tr>
      <w:tr w14:paraId="38333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9080A3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The Swiss Inflammatory Bowel Disease Cohort Study (SIBDCS,Switzerland)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FCC9D0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n=3,577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61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16S rRNA sequencing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58EA54EB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Genomics,</w:t>
            </w:r>
          </w:p>
          <w:p w14:paraId="53ADED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Microbiomics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;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lood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156D1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F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aecal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06930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Biopsies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samples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4D99DA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Epidemiology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ulti-omic analysis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57D59B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30689927</w:t>
            </w:r>
          </w:p>
        </w:tc>
      </w:tr>
      <w:tr w14:paraId="461DF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AC54867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IBD BioResource (UK)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0FB6825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n=36,126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49CD565">
            <w:pPr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Genomics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;</w:t>
            </w:r>
          </w:p>
          <w:p w14:paraId="66338C7B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Serum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plasma samples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58CFC5D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Longitudinal</w:t>
            </w:r>
          </w:p>
          <w:p w14:paraId="141565CF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5CDD663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31270165</w:t>
            </w:r>
          </w:p>
        </w:tc>
      </w:tr>
      <w:tr w14:paraId="0DBF2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895C8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1000IBD(Netherlands)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FD6CBD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n=1,215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2E1623">
            <w:pPr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16S rRNA sequencing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3D79020E">
            <w:pPr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Genomics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3B3A627F">
            <w:pPr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Stool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4EBA8352">
            <w:pPr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iopsies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samples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EA98B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Cross-sectional,</w:t>
            </w:r>
          </w:p>
          <w:p w14:paraId="3DE09482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multi-omic analysis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751B8F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30621600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</w:p>
        </w:tc>
      </w:tr>
      <w:tr w14:paraId="528F9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A8C812B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Style w:val="5"/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PANTHER</w:t>
            </w:r>
            <w:r>
              <w:rPr>
                <w:rStyle w:val="6"/>
                <w:rFonts w:hint="default" w:ascii="Times New Roman" w:hAnsi="Times New Roman" w:cs="Times New Roman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（</w:t>
            </w:r>
            <w:r>
              <w:rPr>
                <w:rStyle w:val="5"/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Belgium</w:t>
            </w:r>
            <w:r>
              <w:rPr>
                <w:rStyle w:val="6"/>
                <w:rFonts w:hint="default" w:ascii="Times New Roman" w:hAnsi="Times New Roman" w:cs="Times New Roman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）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BE8EE7E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\</w:t>
            </w:r>
            <w:bookmarkStart w:id="12" w:name="_GoBack"/>
            <w:bookmarkEnd w:id="12"/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B5145DB">
            <w:pPr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Genomics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;</w:t>
            </w:r>
          </w:p>
          <w:p w14:paraId="49736C58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S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tool,</w:t>
            </w:r>
          </w:p>
          <w:p w14:paraId="68354870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S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erum,</w:t>
            </w:r>
          </w:p>
          <w:p w14:paraId="633C94D1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M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ucosal biopsies sample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ADA8A35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</w:p>
          <w:p w14:paraId="5945B5E3">
            <w:pPr>
              <w:jc w:val="center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Longitudinal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1DC16844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Multi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center, </w:t>
            </w:r>
          </w:p>
          <w:p w14:paraId="74AD1A69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follow-up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91553AD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Style w:val="5"/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31681784</w:t>
            </w:r>
          </w:p>
        </w:tc>
      </w:tr>
      <w:tr w14:paraId="6AC8A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2AE4F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Human Microbiome Projec 2 (HMP2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USA</w:t>
            </w:r>
            <w:r>
              <w:rPr>
                <w:rStyle w:val="6"/>
                <w:rFonts w:hint="default" w:ascii="Times New Roman" w:hAnsi="Times New Roman" w:cs="Times New Roman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）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F010E7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n=132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A918A2">
            <w:pPr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Microbiomics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;</w:t>
            </w:r>
          </w:p>
          <w:p w14:paraId="714E1DFC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Stool, </w:t>
            </w:r>
          </w:p>
          <w:p w14:paraId="31D607C0">
            <w:pPr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lood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6B9EAE57">
            <w:pPr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Biopsy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samples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598759">
            <w:pPr>
              <w:jc w:val="center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Longitudinal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3F48ACB3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Multi-omic analysis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0E048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31142855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38563656</w:t>
            </w:r>
          </w:p>
        </w:tc>
      </w:tr>
      <w:tr w14:paraId="5F172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AAE320C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The Crohn’s and Colitis Canada Genetic Environmental Microbial project(GEM project,Canada)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845362F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n=3,</w:t>
            </w:r>
            <w:r>
              <w:rPr>
                <w:rStyle w:val="7"/>
                <w:rFonts w:hint="default" w:ascii="Times New Roman" w:hAnsi="Times New Roman" w:cs="Times New Roman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483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753C778">
            <w:pPr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16S rRNA sequencing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M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etabolomics, Microbiomics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;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F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aecal samples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E830BAC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Family-based,</w:t>
            </w:r>
          </w:p>
          <w:p w14:paraId="37CF37EC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prospective cohort study of healthy first-degree relatives(FDRs) of individuals with CD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787B4E8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37263307</w:t>
            </w:r>
          </w:p>
        </w:tc>
      </w:tr>
      <w:tr w14:paraId="4A5E5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66CC02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TWIN-IBD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Netherlands)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1DD5C6">
            <w:pPr>
              <w:jc w:val="center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\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1F038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Blood, </w:t>
            </w:r>
          </w:p>
          <w:p w14:paraId="7264BCE3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urine, </w:t>
            </w:r>
          </w:p>
          <w:p w14:paraId="35840780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feces, </w:t>
            </w:r>
          </w:p>
          <w:p w14:paraId="06BB5582">
            <w:pPr>
              <w:jc w:val="both"/>
              <w:textAlignment w:val="center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Oropharyngeal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swabs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2432A139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R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ectal,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colonic or ileal biopsies samples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259A2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Family-based,</w:t>
            </w:r>
          </w:p>
          <w:p w14:paraId="1AE87611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ongoing, </w:t>
            </w:r>
          </w:p>
          <w:p w14:paraId="46227E29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prospective,</w:t>
            </w:r>
          </w:p>
          <w:p w14:paraId="0C9A6060">
            <w:pPr>
              <w:jc w:val="center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Longitudinal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follow-up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twins only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≥16 years of age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0FF00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 33476671</w:t>
            </w:r>
          </w:p>
        </w:tc>
      </w:tr>
      <w:tr w14:paraId="4AE98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1" w:hRule="atLeast"/>
          <w:jc w:val="center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F2ECF4F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The Inflammatory Bowel Disease Family Cohort (IBD-FC, Germany)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D20C8C4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n=1,715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119551C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 xml:space="preserve">Fecal, </w:t>
            </w:r>
          </w:p>
          <w:p w14:paraId="1483DFB9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lood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samples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7DF2B1F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Family-based,</w:t>
            </w:r>
          </w:p>
          <w:p w14:paraId="276DCDF8">
            <w:pPr>
              <w:jc w:val="center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Prospective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follow-up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83969F9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eastAsia="宋体"/>
                <w:b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PMID:33310084</w:t>
            </w:r>
          </w:p>
        </w:tc>
      </w:tr>
      <w:tr w14:paraId="1986D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2626C31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Predicting Response to Standardized Colitis Therapy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(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PROTECT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, USA and 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Canada)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C7A5D1D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n=431</w:t>
            </w:r>
          </w:p>
        </w:tc>
        <w:tc>
          <w:tcPr>
            <w:tcW w:w="1005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90326FD">
            <w:pPr>
              <w:jc w:val="both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16S rRNA sequencing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M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etabolomics, Microbiomics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;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F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aecal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>,</w:t>
            </w:r>
          </w:p>
          <w:p w14:paraId="4C17EDF0">
            <w:pPr>
              <w:jc w:val="both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Biopsies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samples</w:t>
            </w:r>
          </w:p>
        </w:tc>
        <w:tc>
          <w:tcPr>
            <w:tcW w:w="1552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D17BF21">
            <w:pPr>
              <w:jc w:val="center"/>
              <w:textAlignment w:val="center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Treatment-naive paediatric UC patients</w:t>
            </w:r>
          </w:p>
        </w:tc>
        <w:tc>
          <w:tcPr>
            <w:tcW w:w="960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93AFACF">
            <w:pPr>
              <w:jc w:val="center"/>
              <w:textAlignment w:val="center"/>
              <w:rPr>
                <w:rFonts w:eastAsia="宋体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 w:bidi="ar"/>
              </w:rPr>
              <w:t>PMID:30308161</w:t>
            </w:r>
          </w:p>
        </w:tc>
      </w:tr>
    </w:tbl>
    <w:p w14:paraId="7DC3BEE9">
      <w:pPr>
        <w:spacing w:line="360" w:lineRule="auto"/>
        <w:jc w:val="both"/>
        <w:rPr>
          <w:rFonts w:eastAsia="Verdana"/>
          <w:color w:val="000000"/>
          <w:shd w:val="clear" w:color="auto" w:fill="FFFFFF"/>
        </w:rPr>
      </w:pPr>
      <w:r>
        <w:rPr>
          <w:rFonts w:hint="eastAsia" w:eastAsia="宋体"/>
          <w:color w:val="000000"/>
          <w:shd w:val="clear" w:color="auto" w:fill="FFFFFF"/>
          <w:lang w:eastAsia="zh-CN"/>
        </w:rPr>
        <w:t>Note: IBD, inflammatory bowel disease; CD, Crohn's disease; UC, ulcerative colitis;</w:t>
      </w:r>
      <w:r>
        <w:rPr>
          <w:rFonts w:eastAsia="Verdana"/>
          <w:color w:val="000000"/>
          <w:shd w:val="clear" w:color="auto" w:fill="FFFFFF"/>
        </w:rPr>
        <w:br w:type="textWrapping"/>
      </w:r>
    </w:p>
    <w:p w14:paraId="1969D9F1">
      <w:pPr>
        <w:spacing w:line="360" w:lineRule="auto"/>
        <w:jc w:val="both"/>
        <w:rPr>
          <w:rFonts w:eastAsia="Verdana"/>
          <w:color w:val="000000"/>
          <w:shd w:val="clear" w:color="auto" w:fill="FFFFFF"/>
        </w:rPr>
      </w:pPr>
    </w:p>
    <w:p w14:paraId="6CC098EA">
      <w:pPr>
        <w:spacing w:line="360" w:lineRule="auto"/>
        <w:jc w:val="both"/>
        <w:rPr>
          <w:rFonts w:eastAsia="宋体"/>
          <w:b/>
          <w:bCs/>
          <w:color w:val="000000"/>
          <w:shd w:val="clear" w:color="auto" w:fill="FFFFFF"/>
          <w:lang w:eastAsia="zh-CN"/>
        </w:rPr>
      </w:pPr>
      <w:r>
        <w:rPr>
          <w:rFonts w:hint="eastAsia" w:eastAsia="宋体"/>
          <w:b/>
          <w:bCs/>
          <w:color w:val="000000"/>
          <w:shd w:val="clear" w:color="auto" w:fill="FFFFFF"/>
          <w:lang w:eastAsia="zh-CN"/>
        </w:rPr>
        <w:t xml:space="preserve">Table </w:t>
      </w:r>
      <w:r>
        <w:rPr>
          <w:rFonts w:hint="eastAsia" w:eastAsia="宋体"/>
          <w:b/>
          <w:bCs/>
          <w:color w:val="000000"/>
          <w:shd w:val="clear" w:color="auto" w:fill="FFFFFF"/>
          <w:lang w:val="en-US" w:eastAsia="zh-CN"/>
        </w:rPr>
        <w:t>3</w:t>
      </w:r>
      <w:r>
        <w:rPr>
          <w:rFonts w:hint="eastAsia" w:eastAsia="宋体"/>
          <w:b/>
          <w:bCs/>
          <w:color w:val="000000"/>
          <w:shd w:val="clear" w:color="auto" w:fill="FFFFFF"/>
          <w:lang w:eastAsia="zh-CN"/>
        </w:rPr>
        <w:t xml:space="preserve">. </w:t>
      </w:r>
      <w:r>
        <w:rPr>
          <w:rFonts w:eastAsia="宋体"/>
          <w:b/>
          <w:bCs/>
          <w:color w:val="000000"/>
          <w:shd w:val="clear" w:color="auto" w:fill="FFFFFF"/>
          <w:lang w:eastAsia="zh-CN"/>
        </w:rPr>
        <w:t>Overview</w:t>
      </w:r>
      <w:r>
        <w:rPr>
          <w:rFonts w:hint="eastAsia" w:eastAsia="宋体"/>
          <w:b/>
          <w:bCs/>
          <w:color w:val="000000"/>
          <w:shd w:val="clear" w:color="auto" w:fill="FFFFFF"/>
          <w:lang w:val="en-US" w:eastAsia="zh-CN"/>
        </w:rPr>
        <w:t xml:space="preserve"> of h</w:t>
      </w:r>
      <w:r>
        <w:rPr>
          <w:rFonts w:hint="eastAsia" w:ascii="Times New Roman" w:hAnsi="Times New Roman" w:eastAsia="宋体" w:cs="Times New Roman"/>
          <w:b/>
          <w:bCs/>
        </w:rPr>
        <w:t>ost-microbiota interaction database</w:t>
      </w:r>
    </w:p>
    <w:p w14:paraId="7DE5C897"/>
    <w:tbl>
      <w:tblPr>
        <w:tblStyle w:val="8"/>
        <w:tblW w:w="4380" w:type="pct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2939"/>
        <w:gridCol w:w="3044"/>
        <w:gridCol w:w="2583"/>
      </w:tblGrid>
      <w:tr w14:paraId="1D63ED1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694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5DC5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b/>
                <w:bCs/>
                <w:i w:val="0"/>
                <w:color w:val="000000" w:themeColor="dark1"/>
                <w:sz w:val="18"/>
                <w:szCs w:val="18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i w:val="0"/>
                <w:color w:val="000000" w:themeColor="dark1"/>
                <w:sz w:val="18"/>
                <w:szCs w:val="18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Database</w:t>
            </w:r>
          </w:p>
        </w:tc>
        <w:tc>
          <w:tcPr>
            <w:tcW w:w="1477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45677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bCs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  <w:t>Description</w:t>
            </w:r>
          </w:p>
        </w:tc>
        <w:tc>
          <w:tcPr>
            <w:tcW w:w="1529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7653A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b/>
                <w:bCs/>
                <w:i w:val="0"/>
                <w:color w:val="000000" w:themeColor="dark1"/>
                <w:sz w:val="18"/>
                <w:szCs w:val="18"/>
                <w:lang w:val="en-US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i w:val="0"/>
                <w:color w:val="000000" w:themeColor="dark1"/>
                <w:sz w:val="18"/>
                <w:szCs w:val="18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Number of records</w:t>
            </w:r>
          </w:p>
        </w:tc>
        <w:tc>
          <w:tcPr>
            <w:tcW w:w="1298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1F65A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b/>
                <w:bCs/>
                <w:i w:val="0"/>
                <w:color w:val="000000" w:themeColor="dark1"/>
                <w:sz w:val="18"/>
                <w:szCs w:val="18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i w:val="0"/>
                <w:color w:val="000000" w:themeColor="dark1"/>
                <w:sz w:val="18"/>
                <w:szCs w:val="18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Link</w:t>
            </w:r>
          </w:p>
        </w:tc>
      </w:tr>
      <w:tr w14:paraId="3DBF007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9" w:hRule="atLeast"/>
          <w:jc w:val="center"/>
        </w:trPr>
        <w:tc>
          <w:tcPr>
            <w:tcW w:w="694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</w:tcPr>
          <w:p w14:paraId="48B8BE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ViRBase</w:t>
            </w:r>
          </w:p>
        </w:tc>
        <w:tc>
          <w:tcPr>
            <w:tcW w:w="1477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</w:tcPr>
          <w:p w14:paraId="75A329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Host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 ncRNA-v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irus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interactions</w:t>
            </w:r>
          </w:p>
        </w:tc>
        <w:tc>
          <w:tcPr>
            <w:tcW w:w="1529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</w:tcPr>
          <w:p w14:paraId="54582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827,105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virus-host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non-coding RNA-associated interaction entries</w:t>
            </w:r>
          </w:p>
        </w:tc>
        <w:tc>
          <w:tcPr>
            <w:tcW w:w="1298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2F2F2"/>
          </w:tcPr>
          <w:p w14:paraId="730E9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http://www.virbase.org/</w:t>
            </w:r>
          </w:p>
        </w:tc>
      </w:tr>
      <w:tr w14:paraId="5A5B998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9" w:hRule="atLeast"/>
          <w:jc w:val="center"/>
        </w:trPr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013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8090C"/>
                <w:sz w:val="18"/>
                <w:szCs w:val="18"/>
              </w:rPr>
              <w:t>VirusMentha</w:t>
            </w:r>
          </w:p>
        </w:tc>
        <w:tc>
          <w:tcPr>
            <w:tcW w:w="14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29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H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 xml:space="preserve">ost-virus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and 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virus-virus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 protein-protein interactions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 xml:space="preserve"> </w:t>
            </w:r>
          </w:p>
        </w:tc>
        <w:tc>
          <w:tcPr>
            <w:tcW w:w="15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FA0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 xml:space="preserve">15,967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protein-protein interactions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 xml:space="preserve"> between 5,828 proteins</w:t>
            </w:r>
          </w:p>
        </w:tc>
        <w:tc>
          <w:tcPr>
            <w:tcW w:w="12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79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https://virusmentha.uniroma2.it/</w:t>
            </w:r>
          </w:p>
        </w:tc>
      </w:tr>
      <w:tr w14:paraId="0DDE728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ED9A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HPIDB</w:t>
            </w:r>
          </w:p>
        </w:tc>
        <w:tc>
          <w:tcPr>
            <w:tcW w:w="1477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930B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H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ost-pathogen interaction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152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5597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 xml:space="preserve">69,787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protein-protein interactions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 xml:space="preserve"> (66 host and 668 pathogen species)</w:t>
            </w:r>
          </w:p>
        </w:tc>
        <w:tc>
          <w:tcPr>
            <w:tcW w:w="1298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0BBA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https://hpidb.igbb.msstate.edu/</w:t>
            </w:r>
          </w:p>
        </w:tc>
      </w:tr>
      <w:tr w14:paraId="239285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5A4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8090C"/>
                <w:sz w:val="18"/>
                <w:szCs w:val="18"/>
              </w:rPr>
              <w:t>PHI-base </w:t>
            </w:r>
          </w:p>
        </w:tc>
        <w:tc>
          <w:tcPr>
            <w:tcW w:w="14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8C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H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ost-pathogen interaction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15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8D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 xml:space="preserve">27,974 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protein-protein interactions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 xml:space="preserve"> (220 host and 275 pathogen species)</w:t>
            </w:r>
          </w:p>
        </w:tc>
        <w:tc>
          <w:tcPr>
            <w:tcW w:w="12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C8E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http://www.phi-base.org/</w:t>
            </w:r>
          </w:p>
        </w:tc>
      </w:tr>
      <w:tr w14:paraId="341ACD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  <w:jc w:val="center"/>
        </w:trPr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A564E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MetalinksDB</w:t>
            </w:r>
          </w:p>
        </w:tc>
        <w:tc>
          <w:tcPr>
            <w:tcW w:w="1477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879E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M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etabolite-protein interactions</w:t>
            </w:r>
          </w:p>
        </w:tc>
        <w:tc>
          <w:tcPr>
            <w:tcW w:w="152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92EC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eastAsia="zh-CN"/>
              </w:rPr>
              <w:t>10,165 metabolite-receptor interactions</w:t>
            </w:r>
          </w:p>
        </w:tc>
        <w:tc>
          <w:tcPr>
            <w:tcW w:w="1298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9DFF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https://metalinks.omnipathdb.org/</w:t>
            </w:r>
          </w:p>
        </w:tc>
      </w:tr>
      <w:tr w14:paraId="0DA6160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694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03442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bCs/>
                <w:i w:val="0"/>
                <w:color w:val="08090C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COSMOS</w:t>
            </w:r>
          </w:p>
        </w:tc>
        <w:tc>
          <w:tcPr>
            <w:tcW w:w="1477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2BE70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Host-microbe</w:t>
            </w: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i w:val="0"/>
                <w:color w:val="08090C"/>
                <w:sz w:val="18"/>
                <w:szCs w:val="18"/>
              </w:rPr>
              <w:t>metabolite-protein interactions</w:t>
            </w:r>
          </w:p>
        </w:tc>
        <w:tc>
          <w:tcPr>
            <w:tcW w:w="1529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25D3E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298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53425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8"/>
                <w:szCs w:val="18"/>
                <w:lang w:val="en-US" w:eastAsia="zh-CN"/>
              </w:rPr>
              <w:t>/</w:t>
            </w:r>
          </w:p>
        </w:tc>
      </w:tr>
    </w:tbl>
    <w:p w14:paraId="4554C9CF"/>
    <w:p w14:paraId="0F00EF67"/>
    <w:sectPr>
      <w:pgSz w:w="14740" w:h="2086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MS UI Gothic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11138"/>
    <w:rsid w:val="1A6369E4"/>
    <w:rsid w:val="26F23447"/>
    <w:rsid w:val="4AE15A08"/>
    <w:rsid w:val="66682803"/>
    <w:rsid w:val="67400C5F"/>
    <w:rsid w:val="6CD7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MS Mincho" w:cs="Times New Roman"/>
      <w:sz w:val="24"/>
      <w:szCs w:val="24"/>
      <w:lang w:val="en-US" w:eastAsia="en-US" w:bidi="he-I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3"/>
    <w:semiHidden/>
    <w:unhideWhenUsed/>
    <w:qFormat/>
    <w:uiPriority w:val="99"/>
    <w:rPr>
      <w:sz w:val="21"/>
      <w:szCs w:val="21"/>
    </w:rPr>
  </w:style>
  <w:style w:type="character" w:customStyle="1" w:styleId="5">
    <w:name w:val="font51"/>
    <w:basedOn w:val="3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6">
    <w:name w:val="font41"/>
    <w:basedOn w:val="3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7">
    <w:name w:val="font01"/>
    <w:basedOn w:val="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table" w:customStyle="1" w:styleId="8">
    <w:name w:val="无格式表格 11"/>
    <w:basedOn w:val="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604</Words>
  <Characters>4789</Characters>
  <Lines>0</Lines>
  <Paragraphs>0</Paragraphs>
  <TotalTime>1</TotalTime>
  <ScaleCrop>false</ScaleCrop>
  <LinksUpToDate>false</LinksUpToDate>
  <CharactersWithSpaces>5208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2025-02-10T12:41:00Z</dcterms:created>
  <dc:creator>Administrator</dc:creator>
  <cp:lastModifiedBy>Fengyuan Su</cp:lastModifiedBy>
  <dcterms:modified xsi:type="dcterms:W3CDTF">2025-02-13T04:58:26Z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eyJoZGlkIjoiZmY5ZDUzOTgxNmI1MWNiY2U1MjAzNjM2MmRhM2FhNTUiLCJ1c2VySWQiOiI1OTY4Mzg0NTUifQ==</vt:lpwstr>
  </property>
  <property fmtid="{D5CDD505-2E9C-101B-9397-08002B2CF9AE}" pid="4" name="ICV">
    <vt:lpwstr>61297BA39C964B3CB4BF5DB4397ABA3A_12</vt:lpwstr>
  </property>
</Properties>
</file>