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44"/>
        </w:rPr>
        <w:t>VIRA — Project Plan</w:t>
        <w:br/>
      </w:r>
      <w:r>
        <w:rPr>
          <w:b/>
          <w:color w:val="2980B9"/>
          <w:sz w:val="26"/>
        </w:rPr>
        <w:t>SAP S/4HANA-Connected AI Vendor Intelligence &amp; AP Risk Platform</w:t>
      </w:r>
    </w:p>
    <w:p>
      <w:pPr>
        <w:jc w:val="right"/>
      </w:pPr>
      <w:r>
        <w:rPr>
          <w:b/>
          <w:color w:val="7F8C8D"/>
          <w:sz w:val="19"/>
        </w:rPr>
        <w:t>PROJECT PLAN | Version 2.0 • October 2026</w:t>
      </w:r>
    </w:p>
    <w:p>
      <w:pPr>
        <w:spacing w:before="120" w:after="160"/>
      </w:pPr>
      <w:r>
        <w:rPr>
          <w:b/>
          <w:color w:val="1F3864"/>
        </w:rPr>
        <w:t xml:space="preserve">Executive Summary: </w:t>
      </w:r>
      <w:r>
        <w:t>VIRA provides a centralized operational AI interface for managing SAP-connected contracts, purchase orders, vendor statement reconciliations, and automated credit/debit memo posting through to SAP MIRO / FB60 / FB65 payment clearing.</w:t>
      </w:r>
    </w:p>
    <w:p>
      <w:pPr>
        <w:pStyle w:val="Heading1"/>
        <w:spacing w:before="280" w:after="80"/>
      </w:pPr>
      <w:r>
        <w:rPr>
          <w:b/>
          <w:color w:val="1F3864"/>
          <w:sz w:val="30"/>
        </w:rPr>
        <w:t>SECTION 1 — USE CASE</w:t>
      </w:r>
    </w:p>
    <w:p>
      <w:r>
        <w:t xml:space="preserve">Procurement contract enforcement and vendor statement reconciliation in SAP run largely on manual effort. Unstructured PDF contract clauses (rate cards, volume rebates, price adjustment terms) and monthly vendor statements (PDF/XLS) are audited manually by AP teams. </w:t>
      </w:r>
      <w:r>
        <w:rPr>
          <w:b/>
        </w:rPr>
        <w:t xml:space="preserve">Need: </w:t>
      </w:r>
      <w:r>
        <w:t>Automated contract RAG clause extraction, dynamic volume rebate leakage detection, and 4-way fuzzy vendor statement reconciliation tied to S/4HANA POs and settlement, with SAP remaining the authoritative financial system of record.</w:t>
      </w:r>
    </w:p>
    <w:p>
      <w:pPr>
        <w:pStyle w:val="Heading1"/>
        <w:spacing w:before="280" w:after="80"/>
      </w:pPr>
      <w:r>
        <w:rPr>
          <w:b/>
          <w:color w:val="1F3864"/>
          <w:sz w:val="30"/>
        </w:rPr>
        <w:t>SECTION 2 — REFERENCE USE CASE</w:t>
      </w:r>
    </w:p>
    <w:p>
      <w:r>
        <w:t xml:space="preserve">Standard SAP procure-to-pay 3-way match (PO → Goods Receipt / Service Entry Sheet → Supplier Invoice MIRO) checks static PO line items. </w:t>
      </w:r>
      <w:r>
        <w:t>However, MIRO cannot evaluate unstructured PDF contract clauses, cumulative year-to-date volume rebate thresholds (&gt; ₹10 Crore), or unapplied credit notes on external vendor statements. VIRA bridges this gap by automatically injecting RAG clause verification and 4-way statement reconciliation into the SAP posting flow.</w:t>
      </w:r>
    </w:p>
    <w:p>
      <w:pPr>
        <w:pStyle w:val="Heading1"/>
        <w:spacing w:before="280" w:after="80"/>
      </w:pPr>
      <w:r>
        <w:rPr>
          <w:b/>
          <w:color w:val="1F3864"/>
          <w:sz w:val="30"/>
        </w:rPr>
        <w:t>SECTION 3 — SOLUTION: VIRA AT A GLANCE</w:t>
      </w:r>
    </w:p>
    <w:p>
      <w:r>
        <w:t xml:space="preserve">VIRA is an enterprise operational execution and AI verification platform designed to bridge SAP S/4HANA with contract compliance and vendor accounts payable fulfillment. </w:t>
      </w:r>
      <w:r>
        <w:t>By retrieving active contracts (ME33K), purchase orders (ME23N), and open items (BSEG/BKPF) directly from SAP S/4HANA, VIRA governs AI contract clause auditing, RAG vector search, volume rebate calculation, and multi-format statement matching—delivering end-to-end auditability while preserving SAP as the single authoritative financial core.</w:t>
      </w:r>
    </w:p>
    <w:p>
      <w:r>
        <w:rPr>
          <w:b/>
        </w:rPr>
        <w:t>✓ Direct SAP S/4HANA Alignment</w:t>
        <w:br/>
      </w:r>
      <w:r>
        <w:t>Live ingestion of active contracts (ME33K) &amp; POs (ME23N) via real-time OData / REST services.</w:t>
        <w:br/>
        <w:br/>
      </w:r>
      <w:r>
        <w:rPr>
          <w:b/>
        </w:rPr>
        <w:t>✓ RAG Vector Search &amp; Clause Governance</w:t>
        <w:br/>
      </w:r>
      <w:r>
        <w:t>Embeddings engine (all-MiniLM-L6-v2 / Ollama qwen2.5) indexes contract clauses for instant rate card &amp; rebate auditing.</w:t>
        <w:br/>
        <w:br/>
      </w:r>
      <w:r>
        <w:rPr>
          <w:b/>
        </w:rPr>
        <w:t>✓ Automated SAP Settlement &amp; FB65</w:t>
        <w:br/>
      </w:r>
      <w:r>
        <w:t>RAG verification feeds verified rebate credit memos and debit notes directly into SAP MIRO / FB65 invoice parking.</w:t>
      </w:r>
    </w:p>
    <w:p>
      <w:pPr>
        <w:pStyle w:val="Heading1"/>
        <w:spacing w:before="280" w:after="80"/>
      </w:pPr>
      <w:r>
        <w:rPr>
          <w:b/>
          <w:color w:val="1F3864"/>
          <w:sz w:val="30"/>
        </w:rPr>
        <w:t>SECTION 4 — KEY CAPABILITIES</w:t>
      </w:r>
    </w:p>
    <w:p>
      <w:pPr>
        <w:spacing w:after="80"/>
      </w:pPr>
      <w:r>
        <w:rPr>
          <w:b/>
          <w:color w:val="2980B9"/>
        </w:rPr>
        <w:t>◆ SAP S/4HANA Synchronization</w:t>
        <w:br/>
      </w:r>
      <w:r>
        <w:t>Direct ingestion of active outline agreements (ME33K) and purchase orders (ME23N) with materials, rate cards, target values, and validity windows.</w:t>
      </w:r>
    </w:p>
    <w:p>
      <w:pPr>
        <w:spacing w:after="80"/>
      </w:pPr>
      <w:r>
        <w:rPr>
          <w:b/>
          <w:color w:val="2980B9"/>
        </w:rPr>
        <w:t>◆ RAG Vector Search &amp; Embeddings Engine</w:t>
        <w:br/>
      </w:r>
      <w:r>
        <w:t>Ingests PDF/Text contract agreements, generates 384-dimensional vector embeddings, and performs Cosine Similarity search for clause retrieval.</w:t>
      </w:r>
    </w:p>
    <w:p>
      <w:pPr>
        <w:spacing w:after="80"/>
      </w:pPr>
      <w:r>
        <w:rPr>
          <w:b/>
          <w:color w:val="2980B9"/>
        </w:rPr>
        <w:t>◆ Cumulative Volume Rebate Auditor</w:t>
        <w:br/>
      </w:r>
      <w:r>
        <w:t>Tracks YTD purchase volume in SAP (BSEG/BKPF). Once the ₹10 Crore threshold is breached, calculates the 5% rebate due and drafts SAP Credit Memos (FB65).</w:t>
      </w:r>
    </w:p>
    <w:p>
      <w:pPr>
        <w:spacing w:after="80"/>
      </w:pPr>
      <w:r>
        <w:rPr>
          <w:b/>
          <w:color w:val="2980B9"/>
        </w:rPr>
        <w:t>◆ Multi-Format Vendor Statement Ingestion</w:t>
        <w:br/>
      </w:r>
      <w:r>
        <w:t>Parses monthly vendor statements in any layout (PDF, XLS, CSV) using OCR and Intelligent Document Processing (IDP).</w:t>
      </w:r>
    </w:p>
    <w:p>
      <w:pPr>
        <w:spacing w:after="80"/>
      </w:pPr>
      <w:r>
        <w:rPr>
          <w:b/>
          <w:color w:val="2980B9"/>
        </w:rPr>
        <w:t>◆ 4-Way Fuzzy Reconciliation Desk</w:t>
        <w:br/>
      </w:r>
      <w:r>
        <w:t>Performs intelligent matching across Vendor Statement vs SAP Open Items (BSEG) vs Bank Clearings (FEBEP) vs Credit Memos to spot unapplied credits.</w:t>
      </w:r>
    </w:p>
    <w:p>
      <w:pPr>
        <w:spacing w:after="80"/>
      </w:pPr>
      <w:r>
        <w:rPr>
          <w:b/>
          <w:color w:val="2980B9"/>
        </w:rPr>
        <w:t>◆ Invoicing &amp; SAP MIRO / FB65 Posting</w:t>
        <w:br/>
      </w:r>
      <w:r>
        <w:t>Consolidation of verified audit results into draft credit/debit memos, staging audit-ready data for SAP MIRO supplier invoice parking and settlement.</w:t>
      </w:r>
    </w:p>
    <w:p>
      <w:pPr>
        <w:pStyle w:val="Heading1"/>
        <w:spacing w:before="280" w:after="80"/>
      </w:pPr>
      <w:r>
        <w:rPr>
          <w:b/>
          <w:color w:val="1F3864"/>
          <w:sz w:val="30"/>
        </w:rPr>
        <w:t>SECTION 5 — ROLE-BASED OPERATIONS</w:t>
      </w:r>
    </w:p>
    <w:p>
      <w:pPr>
        <w:spacing w:after="60"/>
      </w:pPr>
      <w:r>
        <w:rPr>
          <w:b/>
          <w:color w:val="1F3864"/>
        </w:rPr>
        <w:t xml:space="preserve">[CA] Company Admin / Finance Controller: </w:t>
      </w:r>
      <w:r>
        <w:t>Manages contract rate cards, volume rebate targets, variance approval queues, and final SAP MIRO/FB65 invoice approvals.</w:t>
      </w:r>
    </w:p>
    <w:p>
      <w:pPr>
        <w:spacing w:after="60"/>
      </w:pPr>
      <w:r>
        <w:rPr>
          <w:b/>
          <w:color w:val="1F3864"/>
        </w:rPr>
        <w:t xml:space="preserve">[AP] Accounts Payable Auditor: </w:t>
      </w:r>
      <w:r>
        <w:t>Reviews RAG contract overbilling alerts, verifies unapplied vendor credit notes, and releases payment blocks.</w:t>
      </w:r>
    </w:p>
    <w:p>
      <w:pPr>
        <w:spacing w:after="60"/>
      </w:pPr>
      <w:r>
        <w:rPr>
          <w:b/>
          <w:color w:val="1F3864"/>
        </w:rPr>
        <w:t xml:space="preserve">[VM] Vendor Management Lead: </w:t>
      </w:r>
      <w:r>
        <w:t>Monitors supplier statement reconciliation status, tracks rebate claims, and manages vendor contract rate card updates.</w:t>
      </w:r>
    </w:p>
    <w:p>
      <w:pPr>
        <w:spacing w:after="60"/>
      </w:pPr>
      <w:r>
        <w:rPr>
          <w:b/>
          <w:color w:val="1F3864"/>
        </w:rPr>
        <w:t xml:space="preserve">[AI] Autonomous RAG Engine: </w:t>
      </w:r>
      <w:r>
        <w:t>Executes vector search against contract agreements, computes cosine similarity, and flags price leakage or missing credit notes.</w:t>
      </w:r>
    </w:p>
    <w:p>
      <w:pPr>
        <w:spacing w:after="60"/>
      </w:pPr>
      <w:r>
        <w:rPr>
          <w:b/>
          <w:color w:val="1F3864"/>
        </w:rPr>
        <w:t xml:space="preserve">[SA] SAP FICO Specialist: </w:t>
      </w:r>
      <w:r>
        <w:t>Governs OData/REST API sync, configures BSEG-ZLSPR payment block rules, and maintains SAP system-of-record integrity.</w:t>
      </w:r>
    </w:p>
    <w:p>
      <w:pPr>
        <w:pStyle w:val="Heading1"/>
        <w:spacing w:before="280" w:after="80"/>
      </w:pPr>
      <w:r>
        <w:rPr>
          <w:b/>
          <w:color w:val="1F3864"/>
          <w:sz w:val="30"/>
        </w:rPr>
        <w:t>SECTION 6 — END-TO-END OPERATIONAL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Mar>
              <w:top w:w="60" w:type="dxa"/>
              <w:bottom w:w="60" w:type="dxa"/>
              <w:left w:w="40" w:type="dxa"/>
              <w:right w:w="40" w:type="dxa"/>
            </w:tcMar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STEP 1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0" w:type="dxa"/>
              <w:right w:w="40" w:type="dxa"/>
            </w:tcMar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STEP 2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0" w:type="dxa"/>
              <w:right w:w="40" w:type="dxa"/>
            </w:tcMar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STEP 3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0" w:type="dxa"/>
              <w:right w:w="40" w:type="dxa"/>
            </w:tcMar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STEP 4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0" w:type="dxa"/>
              <w:right w:w="40" w:type="dxa"/>
            </w:tcMar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STEP 5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0" w:type="dxa"/>
              <w:right w:w="40" w:type="dxa"/>
            </w:tcMar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STEP 6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0" w:type="dxa"/>
              <w:right w:w="40" w:type="dxa"/>
            </w:tcMar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STEP 7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40" w:type="dxa"/>
              <w:right w:w="40" w:type="dxa"/>
            </w:tcMar>
            <w:shd w:fill="F2F4F4"/>
          </w:tcPr>
          <w:p>
            <w:pPr>
              <w:jc w:val="center"/>
            </w:pPr>
            <w:r>
              <w:rPr>
                <w:sz w:val="17"/>
              </w:rPr>
              <w:t>SAP Sync</w:t>
              <w:br/>
              <w:t>Contracts &amp; POs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0" w:type="dxa"/>
              <w:right w:w="40" w:type="dxa"/>
            </w:tcMar>
            <w:shd w:fill="F2F4F4"/>
          </w:tcPr>
          <w:p>
            <w:pPr>
              <w:jc w:val="center"/>
            </w:pPr>
            <w:r>
              <w:rPr>
                <w:sz w:val="17"/>
              </w:rPr>
              <w:t>Doc Ingestion</w:t>
              <w:br/>
              <w:t>PDF Contracts/Stmts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0" w:type="dxa"/>
              <w:right w:w="40" w:type="dxa"/>
            </w:tcMar>
            <w:shd w:fill="F2F4F4"/>
          </w:tcPr>
          <w:p>
            <w:pPr>
              <w:jc w:val="center"/>
            </w:pPr>
            <w:r>
              <w:rPr>
                <w:sz w:val="17"/>
              </w:rPr>
              <w:t>RAG Vector Store</w:t>
              <w:br/>
              <w:t>Embedding Index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0" w:type="dxa"/>
              <w:right w:w="40" w:type="dxa"/>
            </w:tcMar>
            <w:shd w:fill="F2F4F4"/>
          </w:tcPr>
          <w:p>
            <w:pPr>
              <w:jc w:val="center"/>
            </w:pPr>
            <w:r>
              <w:rPr>
                <w:sz w:val="17"/>
              </w:rPr>
              <w:t>Use Case 2 Audit</w:t>
              <w:br/>
              <w:t>Rebate Leakage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0" w:type="dxa"/>
              <w:right w:w="40" w:type="dxa"/>
            </w:tcMar>
            <w:shd w:fill="F2F4F4"/>
          </w:tcPr>
          <w:p>
            <w:pPr>
              <w:jc w:val="center"/>
            </w:pPr>
            <w:r>
              <w:rPr>
                <w:sz w:val="17"/>
              </w:rPr>
              <w:t>Use Case 3 Audit</w:t>
              <w:br/>
              <w:t>Statement Recon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0" w:type="dxa"/>
              <w:right w:w="40" w:type="dxa"/>
            </w:tcMar>
            <w:shd w:fill="F2F4F4"/>
          </w:tcPr>
          <w:p>
            <w:pPr>
              <w:jc w:val="center"/>
            </w:pPr>
            <w:r>
              <w:rPr>
                <w:sz w:val="17"/>
              </w:rPr>
              <w:t>Exception Desk</w:t>
              <w:br/>
              <w:t>Auditor Sign-off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40" w:type="dxa"/>
              <w:right w:w="40" w:type="dxa"/>
            </w:tcMar>
            <w:shd w:fill="F2F4F4"/>
          </w:tcPr>
          <w:p>
            <w:pPr>
              <w:jc w:val="center"/>
            </w:pPr>
            <w:r>
              <w:rPr>
                <w:sz w:val="17"/>
              </w:rPr>
              <w:t>SAP MIRO/FB65</w:t>
              <w:br/>
              <w:t>Clear &amp; Post</w:t>
            </w:r>
          </w:p>
        </w:tc>
      </w:tr>
    </w:tbl>
    <w:p>
      <w:pPr>
        <w:spacing w:before="120"/>
      </w:pPr>
      <w:r>
        <w:rPr>
          <w:b/>
        </w:rPr>
        <w:t xml:space="preserve">Operational Data Continuity: </w:t>
      </w:r>
      <w:r>
        <w:t>SAP S/4HANA Contracts (ME33K) &amp; POs (ME23N) • RAG Vector Embedding Index • Use Case 2 Volume Rebate Calculation • Use Case 3 Statement 4-Way Match • AP Exception Desk • SAP MIRO/FB65 Posting &amp; Settlement.</w:t>
      </w:r>
    </w:p>
    <w:p>
      <w:r>
        <w:br w:type="page"/>
      </w:r>
    </w:p>
    <w:p>
      <w:r>
        <w:rPr>
          <w:b/>
          <w:color w:val="1F3864"/>
          <w:sz w:val="44"/>
        </w:rPr>
        <w:t>VIRA — Integration &amp; Architecture</w:t>
        <w:br/>
      </w:r>
      <w:r>
        <w:rPr>
          <w:b/>
          <w:color w:val="2980B9"/>
          <w:sz w:val="26"/>
        </w:rPr>
        <w:t>SAP S/4HANA Integration, Architectural Blueprint &amp; Enterprise Value</w:t>
      </w:r>
    </w:p>
    <w:p>
      <w:pPr>
        <w:jc w:val="right"/>
      </w:pPr>
      <w:r>
        <w:rPr>
          <w:b/>
          <w:color w:val="7F8C8D"/>
          <w:sz w:val="19"/>
        </w:rPr>
        <w:t>ENTERPRISE BLUEPRINT | Page 2 of 2</w:t>
      </w:r>
    </w:p>
    <w:p>
      <w:pPr>
        <w:pStyle w:val="Heading1"/>
        <w:spacing w:before="280" w:after="80"/>
      </w:pPr>
      <w:r>
        <w:rPr>
          <w:b/>
          <w:color w:val="1F3864"/>
          <w:sz w:val="30"/>
        </w:rPr>
        <w:t>SECTION 7 — SAP S/4HANA INTEGRATION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  <w:shd w:fill="1F3864"/>
          </w:tcPr>
          <w:p>
            <w:r>
              <w:rPr>
                <w:b/>
                <w:color w:val="FFFFFF"/>
                <w:sz w:val="18"/>
              </w:rPr>
              <w:t>Integration Dimension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80" w:type="dxa"/>
              <w:right w:w="80" w:type="dxa"/>
            </w:tcMar>
            <w:shd w:fill="1F3864"/>
          </w:tcPr>
          <w:p>
            <w:r>
              <w:rPr>
                <w:b/>
                <w:color w:val="FFFFFF"/>
                <w:sz w:val="18"/>
              </w:rPr>
              <w:t>Data Scope &amp; Functional Mapping</w:t>
            </w:r>
          </w:p>
        </w:tc>
        <w:tc>
          <w:tcPr>
            <w:tcW w:type="dxa" w:w="3456"/>
            <w:tcMar>
              <w:top w:w="70" w:type="dxa"/>
              <w:bottom w:w="70" w:type="dxa"/>
              <w:left w:w="80" w:type="dxa"/>
              <w:right w:w="80" w:type="dxa"/>
            </w:tcMar>
            <w:shd w:fill="1F3864"/>
          </w:tcPr>
          <w:p>
            <w:r>
              <w:rPr>
                <w:b/>
                <w:color w:val="FFFFFF"/>
                <w:sz w:val="18"/>
              </w:rPr>
              <w:t>Data Governance &amp; Storage Boundary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  <w:shd w:fill="F2F4F4"/>
          </w:tcPr>
          <w:p>
            <w:r>
              <w:rPr>
                <w:sz w:val="18"/>
              </w:rPr>
              <w:t>Inbound from SAP S/4HANA</w:t>
              <w:br/>
              <w:t>(OData / REST APIs)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80" w:type="dxa"/>
              <w:right w:w="80" w:type="dxa"/>
            </w:tcMar>
            <w:shd w:fill="F2F4F4"/>
          </w:tcPr>
          <w:p>
            <w:r>
              <w:rPr>
                <w:sz w:val="18"/>
              </w:rPr>
              <w:t>Outline Contracts (ME33K), POs (ME23N), Line Items, Target Values, Agreed Unit Rates, Cost Centers, Vendor Master (LFA1).</w:t>
            </w:r>
          </w:p>
        </w:tc>
        <w:tc>
          <w:tcPr>
            <w:tcW w:type="dxa" w:w="3456"/>
            <w:tcMar>
              <w:top w:w="70" w:type="dxa"/>
              <w:bottom w:w="70" w:type="dxa"/>
              <w:left w:w="80" w:type="dxa"/>
              <w:right w:w="80" w:type="dxa"/>
            </w:tcMar>
            <w:shd w:fill="F2F4F4"/>
          </w:tcPr>
          <w:p>
            <w:r>
              <w:rPr>
                <w:sz w:val="18"/>
              </w:rPr>
              <w:t>Retrieved from SAP. Master records remain governed exclusively in SAP S/4HANA; cached for operational display.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</w:tcPr>
          <w:p>
            <w:r>
              <w:rPr>
                <w:sz w:val="18"/>
              </w:rPr>
              <w:t>Operational Processing</w:t>
              <w:br/>
              <w:t>(VIRA Core Layer)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</w:tcPr>
          <w:p>
            <w:r>
              <w:rPr>
                <w:sz w:val="18"/>
              </w:rPr>
              <w:t>PDF contract ingestion, RAG vector embeddings (all-MiniLM-L6-v2), YTD volume rebate calculation, 4-way statement fuzzy matching.</w:t>
            </w:r>
          </w:p>
        </w:tc>
        <w:tc>
          <w:tcPr>
            <w:tcW w:type="dxa" w:w="3456"/>
            <w:tcMar>
              <w:top w:w="70" w:type="dxa"/>
              <w:bottom w:w="70" w:type="dxa"/>
              <w:left w:w="80" w:type="dxa"/>
              <w:right w:w="80" w:type="dxa"/>
            </w:tcMar>
            <w:shd w:fill="FFFFFF"/>
          </w:tcPr>
          <w:p>
            <w:r>
              <w:rPr>
                <w:sz w:val="18"/>
              </w:rPr>
              <w:t>Stored in VIRA. RAG vector chunks, audit logs, and exception telemetry are persisted in VIRA's transactional database.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  <w:shd w:fill="F2F4F4"/>
          </w:tcPr>
          <w:p>
            <w:r>
              <w:rPr>
                <w:sz w:val="18"/>
              </w:rPr>
              <w:t>Outbound to SAP S/4HANA</w:t>
              <w:br/>
              <w:t>(ABAP RFC / MIRO API)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80" w:type="dxa"/>
              <w:right w:w="80" w:type="dxa"/>
            </w:tcMar>
            <w:shd w:fill="F2F4F4"/>
          </w:tcPr>
          <w:p>
            <w:r>
              <w:rPr>
                <w:sz w:val="18"/>
              </w:rPr>
              <w:t>Verified contract rebates, draft Credit Memos (FB65), SAP Payment Blocks (BSEG-ZLSPR = 'A'), MIRO invoice parking.</w:t>
            </w:r>
          </w:p>
        </w:tc>
        <w:tc>
          <w:tcPr>
            <w:tcW w:type="dxa" w:w="3456"/>
            <w:tcMar>
              <w:top w:w="70" w:type="dxa"/>
              <w:bottom w:w="70" w:type="dxa"/>
              <w:left w:w="80" w:type="dxa"/>
              <w:right w:w="80" w:type="dxa"/>
            </w:tcMar>
            <w:shd w:fill="F2F4F4"/>
          </w:tcPr>
          <w:p>
            <w:r>
              <w:rPr>
                <w:sz w:val="18"/>
              </w:rPr>
              <w:t>Posted to SAP. Final financial and compliance artifacts are transmitted back to SAP for settlement.</w:t>
            </w:r>
          </w:p>
        </w:tc>
      </w:tr>
    </w:tbl>
    <w:p>
      <w:pPr>
        <w:pStyle w:val="Heading1"/>
        <w:spacing w:before="280" w:after="80"/>
      </w:pPr>
      <w:r>
        <w:rPr>
          <w:b/>
          <w:color w:val="1F3864"/>
          <w:sz w:val="30"/>
        </w:rPr>
        <w:t>SECTION 8 — HIGH-LEVEL SOLUTION ARCHITECTURE</w:t>
      </w:r>
    </w:p>
    <w:p>
      <w:pPr>
        <w:spacing w:after="120"/>
      </w:pPr>
      <w:r>
        <w:rPr>
          <w:b/>
          <w:color w:val="1F3864"/>
        </w:rPr>
        <w:t>1. Enterprise ERP Layer (SAP S/4HANA System of Record)</w:t>
        <w:br/>
      </w:r>
      <w:r>
        <w:t>SAP S/4HANA</w:t>
        <w:br/>
        <w:t>Outline Agreements (ME33K) • Purchase Orders (ME23N) • Open Items (BSEG/BKPF) • Supplier Invoices (MIRO/FB60/FB65)</w:t>
        <w:br/>
        <w:t>&lt;&gt; Secure SAP Integration Layer (REST • OData • RFC Proxy • Destination Service • Sync Logs) &lt;&gt;</w:t>
      </w:r>
    </w:p>
    <w:p>
      <w:pPr>
        <w:spacing w:after="120"/>
      </w:pPr>
      <w:r>
        <w:rPr>
          <w:b/>
          <w:color w:val="1F3864"/>
        </w:rPr>
        <w:t>2. VIRA Operational Core Platform (Execution &amp; AI Verification Layer)</w:t>
        <w:br/>
      </w:r>
      <w:r>
        <w:t>CAP • Python FastAPI • RAG Vector Engine (all-MiniLM-L6-v2 / Ollama qwen2.5) • SQLite / SAP HANA Cloud</w:t>
        <w:br/>
        <w:t>Use Case 2 Rebate Auditor • Use Case 3 Statement Recon Engine • Exception Review Queue • Audit Event Logger</w:t>
        <w:br/>
        <w:t>&lt;&gt; Role-Governed Secure Web Endpoints (XSUAA / JWT Authentication • RBAC) &lt;&gt;</w:t>
      </w:r>
    </w:p>
    <w:p>
      <w:pPr>
        <w:spacing w:after="120"/>
      </w:pPr>
      <w:r>
        <w:rPr>
          <w:b/>
          <w:color w:val="1F3864"/>
        </w:rPr>
        <w:t>3. Role-Tailored Operational Consoles (SAP Fiori-Inspired UX)</w:t>
        <w:br/>
      </w:r>
      <w:r>
        <w:t>React 19 / Vite • Desktop • Mobile</w:t>
        <w:br/>
        <w:t>CA: Admin Control Tower &amp; Approvals • AP: Accounts Payable Auditor Desk • VM: Vendor Management Console</w:t>
      </w:r>
    </w:p>
    <w:p>
      <w:pPr>
        <w:pStyle w:val="Heading1"/>
        <w:spacing w:before="280" w:after="80"/>
      </w:pPr>
      <w:r>
        <w:rPr>
          <w:b/>
          <w:color w:val="1F3864"/>
          <w:sz w:val="30"/>
        </w:rPr>
        <w:t>SECTION 9 — TECHNOLOGY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Mar>
              <w:top w:w="60" w:type="dxa"/>
              <w:bottom w:w="60" w:type="dxa"/>
              <w:left w:w="50" w:type="dxa"/>
              <w:right w:w="50" w:type="dxa"/>
            </w:tcMar>
            <w:shd w:fill="1F3864"/>
          </w:tcPr>
          <w:p>
            <w:r>
              <w:rPr>
                <w:b/>
                <w:color w:val="FFFFFF"/>
                <w:sz w:val="17"/>
              </w:rPr>
              <w:t>FRONTEND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50" w:type="dxa"/>
              <w:right w:w="50" w:type="dxa"/>
            </w:tcMar>
            <w:shd w:fill="1F3864"/>
          </w:tcPr>
          <w:p>
            <w:r>
              <w:rPr>
                <w:b/>
                <w:color w:val="FFFFFF"/>
                <w:sz w:val="17"/>
              </w:rPr>
              <w:t>BACKEND SERVICES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50" w:type="dxa"/>
              <w:right w:w="50" w:type="dxa"/>
            </w:tcMar>
            <w:shd w:fill="1F3864"/>
          </w:tcPr>
          <w:p>
            <w:r>
              <w:rPr>
                <w:b/>
                <w:color w:val="FFFFFF"/>
                <w:sz w:val="17"/>
              </w:rPr>
              <w:t>RAG &amp; AI ENGINE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50" w:type="dxa"/>
              <w:right w:w="50" w:type="dxa"/>
            </w:tcMar>
            <w:shd w:fill="1F3864"/>
          </w:tcPr>
          <w:p>
            <w:r>
              <w:rPr>
                <w:b/>
                <w:color w:val="FFFFFF"/>
                <w:sz w:val="17"/>
              </w:rPr>
              <w:t>DATA STORE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50" w:type="dxa"/>
              <w:right w:w="50" w:type="dxa"/>
            </w:tcMar>
            <w:shd w:fill="1F3864"/>
          </w:tcPr>
          <w:p>
            <w:r>
              <w:rPr>
                <w:b/>
                <w:color w:val="FFFFFF"/>
                <w:sz w:val="17"/>
              </w:rPr>
              <w:t>PLATFORM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50" w:type="dxa"/>
              <w:right w:w="50" w:type="dxa"/>
            </w:tcMar>
            <w:shd w:fill="F2F4F4"/>
          </w:tcPr>
          <w:p>
            <w:r>
              <w:rPr>
                <w:sz w:val="17"/>
              </w:rPr>
              <w:t>React 19 • Vite</w:t>
              <w:br/>
              <w:t>TypeScript, Fiori Horizon UX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50" w:type="dxa"/>
              <w:right w:w="50" w:type="dxa"/>
            </w:tcMar>
            <w:shd w:fill="F2F4F4"/>
          </w:tcPr>
          <w:p>
            <w:r>
              <w:rPr>
                <w:sz w:val="17"/>
              </w:rPr>
              <w:t>Python FastAPI • CAP</w:t>
              <w:br/>
              <w:t>RESTful / OData API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50" w:type="dxa"/>
              <w:right w:w="50" w:type="dxa"/>
            </w:tcMar>
            <w:shd w:fill="F2F4F4"/>
          </w:tcPr>
          <w:p>
            <w:r>
              <w:rPr>
                <w:sz w:val="17"/>
              </w:rPr>
              <w:t>sentence-transformers</w:t>
              <w:br/>
              <w:t>all-MiniLM-L6-v2 / Ollama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50" w:type="dxa"/>
              <w:right w:w="50" w:type="dxa"/>
            </w:tcMar>
            <w:shd w:fill="F2F4F4"/>
          </w:tcPr>
          <w:p>
            <w:r>
              <w:rPr>
                <w:sz w:val="17"/>
              </w:rPr>
              <w:t>SQLite (WAL) — current</w:t>
              <w:br/>
              <w:t>SAP HANA Cloud — via CAP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50" w:type="dxa"/>
              <w:right w:w="50" w:type="dxa"/>
            </w:tcMar>
            <w:shd w:fill="F2F4F4"/>
          </w:tcPr>
          <w:p>
            <w:r>
              <w:rPr>
                <w:sz w:val="17"/>
              </w:rPr>
              <w:t>SAP BTP Cloud Foundry</w:t>
              <w:br/>
              <w:t>MTA, XSUAA, Destination</w:t>
            </w:r>
          </w:p>
        </w:tc>
      </w:tr>
    </w:tbl>
    <w:p>
      <w:pPr>
        <w:pStyle w:val="Heading1"/>
        <w:spacing w:before="280" w:after="80"/>
      </w:pPr>
      <w:r>
        <w:rPr>
          <w:b/>
          <w:color w:val="1F3864"/>
          <w:sz w:val="30"/>
        </w:rPr>
        <w:t>SECTION 10 — DEPLOYMENT, SAP APIs &amp; POLICY (SAP BTP)</w:t>
      </w:r>
    </w:p>
    <w:p>
      <w:pPr>
        <w:spacing w:after="60"/>
      </w:pPr>
      <w:r>
        <w:rPr>
          <w:b/>
          <w:color w:val="2980B9"/>
        </w:rPr>
        <w:t xml:space="preserve">Deployment: </w:t>
      </w:r>
      <w:r>
        <w:t>MTA (mta.yaml) to SAP BTP Cloud Foundry: Python FastAPI service; React UI via HTML5 Repository + Approuter. Persistence: SQLite for local; SAP HANA Cloud for production via CAP DB binding.</w:t>
      </w:r>
    </w:p>
    <w:p>
      <w:pPr>
        <w:spacing w:after="60"/>
      </w:pPr>
      <w:r>
        <w:rPr>
          <w:b/>
          <w:color w:val="2980B9"/>
        </w:rPr>
        <w:t xml:space="preserve">Auth &amp; Access: </w:t>
      </w:r>
      <w:r>
        <w:t>XSUAA (IAS as identity provider); JWT on every endpoint; role collections mapped to CA / AP / VM / SA.</w:t>
      </w:r>
    </w:p>
    <w:p>
      <w:pPr>
        <w:spacing w:after="60"/>
      </w:pPr>
      <w:r>
        <w:rPr>
          <w:b/>
          <w:color w:val="2980B9"/>
        </w:rPr>
        <w:t xml:space="preserve">Connectivity: </w:t>
      </w:r>
      <w:r>
        <w:t>Destination and Connectivity services; Cloud Connector if S/4HANA is on-premise; least-privilege technical user.</w:t>
      </w:r>
    </w:p>
    <w:p>
      <w:pPr>
        <w:spacing w:after="60"/>
      </w:pPr>
      <w:r>
        <w:rPr>
          <w:b/>
          <w:color w:val="2980B9"/>
        </w:rPr>
        <w:t xml:space="preserve">SAP APIs: </w:t>
      </w:r>
      <w:r>
        <w:t>Inbound OData: Purchase Order (ME23N), Purchase Contract (ME33K), Open Items (BSEG). Outbound: Supplier Invoice (MIRO/FB65), Payment Block (BSEG-ZLSPR).</w:t>
      </w:r>
    </w:p>
    <w:p>
      <w:pPr>
        <w:spacing w:after="60"/>
      </w:pPr>
      <w:r>
        <w:rPr>
          <w:b/>
          <w:color w:val="2980B9"/>
        </w:rPr>
        <w:t xml:space="preserve">Data Policy: </w:t>
      </w:r>
      <w:r>
        <w:t>SAP owns master and financial data; VIRA caches for display and RAG vector search only. Encryption at rest and TLS in transit.</w:t>
      </w:r>
    </w:p>
    <w:p>
      <w:pPr>
        <w:spacing w:after="60"/>
      </w:pPr>
      <w:r>
        <w:rPr>
          <w:b/>
          <w:color w:val="2980B9"/>
        </w:rPr>
        <w:t xml:space="preserve">Audit &amp; Governance: </w:t>
      </w:r>
      <w:r>
        <w:t>Every RAG clause retrieval, volume rebate calculation, and statement match timestamped with user credentials and audit log IDs.</w:t>
      </w:r>
    </w:p>
    <w:p>
      <w:pPr>
        <w:pStyle w:val="Heading1"/>
        <w:spacing w:before="280" w:after="80"/>
      </w:pPr>
      <w:r>
        <w:rPr>
          <w:b/>
          <w:color w:val="1F3864"/>
          <w:sz w:val="30"/>
        </w:rPr>
        <w:t>SECTION 11 — BUSINESS VALUE</w:t>
      </w:r>
    </w:p>
    <w:p>
      <w:pPr>
        <w:spacing w:after="80"/>
      </w:pPr>
      <w:r>
        <w:rPr>
          <w:b/>
          <w:color w:val="1F3864"/>
        </w:rPr>
        <w:t>Eliminated Contract Overbilling (UC2)</w:t>
        <w:br/>
      </w:r>
      <w:r>
        <w:t>RAG vector clause search continuously audits invoice line items against PDF contract rate cards and automatically calculates retroactive 5% volume rebates once the ₹10 Crore threshold is passed.</w:t>
      </w:r>
    </w:p>
    <w:p>
      <w:pPr>
        <w:spacing w:after="80"/>
      </w:pPr>
      <w:r>
        <w:rPr>
          <w:b/>
          <w:color w:val="1F3864"/>
        </w:rPr>
        <w:t>Automated Statement Reconciliation (UC3)</w:t>
        <w:br/>
      </w:r>
      <w:r>
        <w:t>Multi-format OCR ingestion and 4-way fuzzy matching replace manual line-by-line Excel checking, discovering unapplied vendor credit notes and recovering overpayments.</w:t>
      </w:r>
    </w:p>
    <w:p>
      <w:pPr>
        <w:spacing w:after="80"/>
      </w:pPr>
      <w:r>
        <w:rPr>
          <w:b/>
          <w:color w:val="1F3864"/>
        </w:rPr>
        <w:t>Compressed Financial Close Cycles</w:t>
        <w:br/>
      </w:r>
      <w:r>
        <w:t>Real-time RAG clause verification and statement matching replace multi-week manual contract audits, collapsing period-end clearing to hours.</w:t>
      </w:r>
    </w:p>
    <w:p>
      <w:pPr>
        <w:spacing w:after="80"/>
      </w:pPr>
      <w:r>
        <w:rPr>
          <w:b/>
          <w:color w:val="1F3864"/>
        </w:rPr>
        <w:t>Complete Audit Governance</w:t>
        <w:br/>
      </w:r>
      <w:r>
        <w:t>Every vector clause match, volume calculation, and MIRO/FB65 posting is immutably timestamped with user credentials and audit logs.</w:t>
      </w:r>
    </w:p>
    <w:p>
      <w:pPr>
        <w:pStyle w:val="Heading1"/>
        <w:spacing w:before="280" w:after="80"/>
      </w:pPr>
      <w:r>
        <w:rPr>
          <w:b/>
          <w:color w:val="1F3864"/>
          <w:sz w:val="30"/>
        </w:rPr>
        <w:t>SOLUTION APPROACH &amp; POSITIONING</w:t>
      </w:r>
    </w:p>
    <w:p>
      <w:r>
        <w:t xml:space="preserve">VIRA provides a purpose-built operational AI execution and RAG verification layer around SAP-connected contract and accounts payable workflows. </w:t>
      </w:r>
      <w:r>
        <w:t>It enables business users, finance auditors, and procurement leads to collaborate through a modern, role-based interface while preserving strict alignment, security, and traceability with SAP S/4HANA business data.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