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ScamShield AI Fraud and Scam Awareness Assistant</w:t>
      </w:r>
    </w:p>
    <w:p>
      <w:pPr>
        <w:pStyle w:val="Subtitle"/>
        <w:jc w:val="center"/>
      </w:pPr>
      <w:r>
        <w:t>Summative assessment documentation and Dialogflow test evidence</w:t>
      </w:r>
    </w:p>
    <w:tbl>
      <w:tblPr>
        <w:tblW w:type="auto" w:w="0"/>
        <w:tblLayout w:type="fixed"/>
        <w:tblLook w:firstColumn="1" w:firstRow="1" w:lastColumn="0" w:lastRow="0" w:noHBand="0" w:noVBand="1" w:val="04A0"/>
      </w:tblPr>
      <w:tblGrid>
        <w:gridCol w:w="4932"/>
        <w:gridCol w:w="4932"/>
      </w:tblGrid>
      <w:tr>
        <w:tc>
          <w:tcPr>
            <w:tcW w:type="dxa" w:w="4932"/>
            <w:vAlign w:val="center"/>
            <w:shd w:fill="F0F1F4"/>
            <w:tcBorders>
              <w:top w:val="single" w:color="D9D9D9" w:sz="4"/>
              <w:left w:val="single" w:color="D9D9D9" w:sz="4"/>
              <w:bottom w:val="single" w:color="D9D9D9" w:sz="4"/>
              <w:right w:val="single" w:color="D9D9D9" w:sz="4"/>
            </w:tcBorders>
            <w:tcMar>
              <w:top w:w="90" w:type="dxa"/>
              <w:bottom w:w="90" w:type="dxa"/>
              <w:left w:w="105" w:type="dxa"/>
              <w:right w:w="105" w:type="dxa"/>
            </w:tcMar>
          </w:tcPr>
          <w:p>
            <w:pPr>
              <w:spacing w:after="0" w:line="264" w:lineRule="auto"/>
            </w:pPr>
            <w:r/>
            <w:r>
              <w:rPr>
                <w:rFonts w:ascii="Times New Roman" w:hAnsi="Times New Roman"/>
                <w:b/>
                <w:sz w:val="20"/>
              </w:rPr>
              <w:t xml:space="preserve">Student Name: </w:t>
            </w:r>
            <w:r>
              <w:rPr>
                <w:rFonts w:ascii="Times New Roman" w:hAnsi="Times New Roman"/>
                <w:sz w:val="20"/>
              </w:rPr>
              <w:t>Aarav Motwani</w:t>
            </w:r>
          </w:p>
        </w:tc>
        <w:tc>
          <w:tcPr>
            <w:tcW w:type="dxa" w:w="4932"/>
            <w:vAlign w:val="center"/>
            <w:shd w:fill="F0F1F4"/>
            <w:tcBorders>
              <w:top w:val="single" w:color="D9D9D9" w:sz="4"/>
              <w:left w:val="single" w:color="D9D9D9" w:sz="4"/>
              <w:bottom w:val="single" w:color="D9D9D9" w:sz="4"/>
              <w:right w:val="single" w:color="D9D9D9" w:sz="4"/>
            </w:tcBorders>
            <w:tcMar>
              <w:top w:w="90" w:type="dxa"/>
              <w:bottom w:w="90" w:type="dxa"/>
              <w:left w:w="105" w:type="dxa"/>
              <w:right w:w="105" w:type="dxa"/>
            </w:tcMar>
          </w:tcPr>
          <w:p>
            <w:pPr>
              <w:spacing w:after="0" w:line="264" w:lineRule="auto"/>
            </w:pPr>
            <w:r/>
            <w:r>
              <w:rPr>
                <w:rFonts w:ascii="Times New Roman" w:hAnsi="Times New Roman"/>
                <w:b/>
                <w:sz w:val="20"/>
              </w:rPr>
              <w:t xml:space="preserve">Program/Year: </w:t>
            </w:r>
            <w:r>
              <w:rPr>
                <w:rFonts w:ascii="Times New Roman" w:hAnsi="Times New Roman"/>
                <w:sz w:val="20"/>
              </w:rPr>
              <w:t>IBCP Year 1</w:t>
            </w:r>
          </w:p>
        </w:tc>
      </w:tr>
      <w:tr>
        <w:tc>
          <w:tcPr>
            <w:tcW w:type="dxa" w:w="4932"/>
            <w:vAlign w:val="center"/>
            <w:shd w:fill="F0F1F4"/>
            <w:tcBorders>
              <w:top w:val="single" w:color="D9D9D9" w:sz="4"/>
              <w:left w:val="single" w:color="D9D9D9" w:sz="4"/>
              <w:bottom w:val="single" w:color="D9D9D9" w:sz="4"/>
              <w:right w:val="single" w:color="D9D9D9" w:sz="4"/>
            </w:tcBorders>
            <w:tcMar>
              <w:top w:w="90" w:type="dxa"/>
              <w:bottom w:w="90" w:type="dxa"/>
              <w:left w:w="105" w:type="dxa"/>
              <w:right w:w="105" w:type="dxa"/>
            </w:tcMar>
          </w:tcPr>
          <w:p>
            <w:pPr>
              <w:spacing w:after="0" w:line="264" w:lineRule="auto"/>
            </w:pPr>
            <w:r/>
            <w:r>
              <w:rPr>
                <w:rFonts w:ascii="Times New Roman" w:hAnsi="Times New Roman"/>
                <w:b/>
                <w:sz w:val="20"/>
              </w:rPr>
              <w:t xml:space="preserve">CRS Name: </w:t>
            </w:r>
            <w:r>
              <w:rPr>
                <w:rFonts w:ascii="Times New Roman" w:hAnsi="Times New Roman"/>
                <w:sz w:val="20"/>
              </w:rPr>
              <w:t>Artificial Intelligence</w:t>
            </w:r>
          </w:p>
        </w:tc>
        <w:tc>
          <w:tcPr>
            <w:tcW w:type="dxa" w:w="4932"/>
            <w:vAlign w:val="center"/>
            <w:shd w:fill="F0F1F4"/>
            <w:tcBorders>
              <w:top w:val="single" w:color="D9D9D9" w:sz="4"/>
              <w:left w:val="single" w:color="D9D9D9" w:sz="4"/>
              <w:bottom w:val="single" w:color="D9D9D9" w:sz="4"/>
              <w:right w:val="single" w:color="D9D9D9" w:sz="4"/>
            </w:tcBorders>
            <w:tcMar>
              <w:top w:w="90" w:type="dxa"/>
              <w:bottom w:w="90" w:type="dxa"/>
              <w:left w:w="105" w:type="dxa"/>
              <w:right w:w="105" w:type="dxa"/>
            </w:tcMar>
          </w:tcPr>
          <w:p>
            <w:pPr>
              <w:spacing w:after="0" w:line="264" w:lineRule="auto"/>
            </w:pPr>
            <w:r/>
            <w:r>
              <w:rPr>
                <w:rFonts w:ascii="Times New Roman" w:hAnsi="Times New Roman"/>
                <w:b/>
                <w:sz w:val="20"/>
              </w:rPr>
              <w:t xml:space="preserve">Course Name: </w:t>
            </w:r>
            <w:r>
              <w:rPr>
                <w:rFonts w:ascii="Times New Roman" w:hAnsi="Times New Roman"/>
                <w:sz w:val="20"/>
              </w:rPr>
              <w:t>Artificial Intelligence: Real-World Applications and Implications</w:t>
            </w:r>
          </w:p>
        </w:tc>
      </w:tr>
      <w:tr>
        <w:tc>
          <w:tcPr>
            <w:tcW w:type="dxa" w:w="4932"/>
            <w:vAlign w:val="center"/>
            <w:shd w:fill="F0F1F4"/>
            <w:tcBorders>
              <w:top w:val="single" w:color="D9D9D9" w:sz="4"/>
              <w:left w:val="single" w:color="D9D9D9" w:sz="4"/>
              <w:bottom w:val="single" w:color="D9D9D9" w:sz="4"/>
              <w:right w:val="single" w:color="D9D9D9" w:sz="4"/>
            </w:tcBorders>
            <w:tcMar>
              <w:top w:w="90" w:type="dxa"/>
              <w:bottom w:w="90" w:type="dxa"/>
              <w:left w:w="105" w:type="dxa"/>
              <w:right w:w="105" w:type="dxa"/>
            </w:tcMar>
          </w:tcPr>
          <w:p>
            <w:pPr>
              <w:spacing w:after="0" w:line="264" w:lineRule="auto"/>
            </w:pPr>
            <w:r/>
            <w:r>
              <w:rPr>
                <w:rFonts w:ascii="Times New Roman" w:hAnsi="Times New Roman"/>
                <w:b/>
                <w:sz w:val="20"/>
              </w:rPr>
              <w:t xml:space="preserve">Candidate Registration Number: </w:t>
            </w:r>
            <w:r>
              <w:rPr>
                <w:rFonts w:ascii="Times New Roman" w:hAnsi="Times New Roman"/>
                <w:sz w:val="20"/>
              </w:rPr>
              <w:t>____________________</w:t>
            </w:r>
          </w:p>
        </w:tc>
        <w:tc>
          <w:tcPr>
            <w:tcW w:type="dxa" w:w="4932"/>
            <w:vAlign w:val="center"/>
            <w:shd w:fill="F0F1F4"/>
            <w:tcBorders>
              <w:top w:val="single" w:color="D9D9D9" w:sz="4"/>
              <w:left w:val="single" w:color="D9D9D9" w:sz="4"/>
              <w:bottom w:val="single" w:color="D9D9D9" w:sz="4"/>
              <w:right w:val="single" w:color="D9D9D9" w:sz="4"/>
            </w:tcBorders>
            <w:tcMar>
              <w:top w:w="90" w:type="dxa"/>
              <w:bottom w:w="90" w:type="dxa"/>
              <w:left w:w="105" w:type="dxa"/>
              <w:right w:w="105" w:type="dxa"/>
            </w:tcMar>
          </w:tcPr>
          <w:p>
            <w:pPr>
              <w:spacing w:after="0" w:line="264" w:lineRule="auto"/>
            </w:pPr>
            <w:r/>
            <w:r>
              <w:rPr>
                <w:rFonts w:ascii="Times New Roman" w:hAnsi="Times New Roman"/>
                <w:b/>
                <w:sz w:val="20"/>
              </w:rPr>
              <w:t xml:space="preserve">School Name: </w:t>
            </w:r>
            <w:r>
              <w:rPr>
                <w:rFonts w:ascii="Times New Roman" w:hAnsi="Times New Roman"/>
                <w:sz w:val="20"/>
              </w:rPr>
              <w:t>____________________</w:t>
            </w:r>
          </w:p>
        </w:tc>
      </w:tr>
      <w:tr>
        <w:tc>
          <w:tcPr>
            <w:tcW w:type="dxa" w:w="4932"/>
            <w:vAlign w:val="center"/>
            <w:shd w:fill="F0F1F4"/>
            <w:tcBorders>
              <w:top w:val="single" w:color="D9D9D9" w:sz="4"/>
              <w:left w:val="single" w:color="D9D9D9" w:sz="4"/>
              <w:bottom w:val="single" w:color="D9D9D9" w:sz="4"/>
              <w:right w:val="single" w:color="D9D9D9" w:sz="4"/>
            </w:tcBorders>
            <w:tcMar>
              <w:top w:w="90" w:type="dxa"/>
              <w:bottom w:w="90" w:type="dxa"/>
              <w:left w:w="105" w:type="dxa"/>
              <w:right w:w="105" w:type="dxa"/>
            </w:tcMar>
          </w:tcPr>
          <w:p>
            <w:pPr>
              <w:spacing w:after="0" w:line="264" w:lineRule="auto"/>
            </w:pPr>
            <w:r/>
            <w:r>
              <w:rPr>
                <w:rFonts w:ascii="Times New Roman" w:hAnsi="Times New Roman"/>
                <w:b/>
                <w:sz w:val="20"/>
              </w:rPr>
              <w:t xml:space="preserve">Project Repository: </w:t>
            </w:r>
          </w:p>
          <w:p>
            <w:pPr>
              <w:spacing w:after="0" w:line="264" w:lineRule="auto"/>
            </w:pPr>
            <w:hyperlink r:id="rId11">
              <w:r>
                <w:rPr>
                  <w:color w:val="2F80C7"/>
                  <w:u w:val="single"/>
                </w:rPr>
                <w:t>https://github.com/aarav343/scam-shield-ai-sa</w:t>
              </w:r>
            </w:hyperlink>
          </w:p>
        </w:tc>
        <w:tc>
          <w:tcPr>
            <w:tcW w:type="dxa" w:w="4932"/>
            <w:vAlign w:val="center"/>
            <w:shd w:fill="F0F1F4"/>
            <w:tcBorders>
              <w:top w:val="single" w:color="D9D9D9" w:sz="4"/>
              <w:left w:val="single" w:color="D9D9D9" w:sz="4"/>
              <w:bottom w:val="single" w:color="D9D9D9" w:sz="4"/>
              <w:right w:val="single" w:color="D9D9D9" w:sz="4"/>
            </w:tcBorders>
            <w:tcMar>
              <w:top w:w="90" w:type="dxa"/>
              <w:bottom w:w="90" w:type="dxa"/>
              <w:left w:w="105" w:type="dxa"/>
              <w:right w:w="105" w:type="dxa"/>
            </w:tcMar>
          </w:tcPr>
          <w:p>
            <w:pPr>
              <w:spacing w:after="0" w:line="264" w:lineRule="auto"/>
            </w:pPr>
            <w:r/>
            <w:r>
              <w:rPr>
                <w:rFonts w:ascii="Times New Roman" w:hAnsi="Times New Roman"/>
                <w:b/>
                <w:sz w:val="20"/>
              </w:rPr>
              <w:t xml:space="preserve">Dialogflow ES agent (Google access required): </w:t>
            </w:r>
          </w:p>
          <w:p>
            <w:pPr>
              <w:spacing w:after="0" w:line="264" w:lineRule="auto"/>
            </w:pPr>
            <w:hyperlink r:id="rId12">
              <w:r>
                <w:rPr>
                  <w:color w:val="2F80C7"/>
                  <w:u w:val="single"/>
                </w:rPr>
                <w:t>https://dialogflow.cloud.google.com/#/editAgent/scamshieldai-k9we/</w:t>
              </w:r>
            </w:hyperlink>
          </w:p>
        </w:tc>
      </w:tr>
    </w:tbl>
    <w:p>
      <w:pPr>
        <w:spacing w:after="40"/>
      </w:pPr>
    </w:p>
    <w:p>
      <w:pPr>
        <w:pStyle w:val="Heading1"/>
      </w:pPr>
      <w:r>
        <w:t>1  Executive summary and problem</w:t>
      </w:r>
    </w:p>
    <w:p>
      <w:r>
        <w:t>ScamShield AI helps people respond safely to suspicious payment requests, phishing links, impersonation, fake jobs, and related fraud. It gives short warnings, asks for the action requested by the sender, and points people toward an official bank or reporting route when needed. It is an advisory chatbot: it does not verify whether a message is genuine or collect real account credentials.</w:t>
      </w:r>
    </w:p>
    <w:p>
      <w:r>
        <w:t>The live Dialogflow ES agent contains 21 intents and 10 custom entities. Thirteen recorded English scenario checks passed, and the later English greeting screenshot matched Welcome. Hindi is selectable in the agent; the recorded Hindi scam requests reached fallback or an unrelated intent. A separate Hindi package was not active during those observations.</w:t>
      </w:r>
    </w:p>
    <w:p>
      <w:pPr>
        <w:pStyle w:val="Heading1"/>
      </w:pPr>
      <w:r>
        <w:t>2  Intended users and design decisions</w:t>
      </w:r>
    </w:p>
    <w:p>
      <w:r>
        <w:t>The intended users include digital payment customers, students and job seekers, older adults, and people who may already have sent money or shared a credential. The design focuses on urgency cues, unfamiliar links, advance fees, and requests for OTPs or UPI PINs. These user groups informed the prototype design.</w:t>
      </w:r>
    </w:p>
    <w:p>
      <w:r>
        <w:t>The assistant asks users to describe warning signs without pasting OTPs, PINs, passwords, CVV, or full account details. It gives immediate caution before requesting more detail, and it uses follow-up context for scam details and the safety quiz.</w:t>
      </w:r>
    </w:p>
    <w:p>
      <w:pPr>
        <w:pStyle w:val="Heading1"/>
      </w:pPr>
      <w:r>
        <w:t>3  Dialogflow implementation</w:t>
      </w:r>
    </w:p>
    <w:p>
      <w:r>
        <w:t>The English agent uses 19 custom intents plus the default Welcome and Fallback intents. Each custom intent has 12 example phrases in the prepared import. The 10 custom entities standardise terms such as payment method, contact channel, requested action, and loss status. The prototype uses built-in responses and short-lived Dialogflow contexts; it does not need a webhook or external data store for these responses.</w:t>
      </w:r>
    </w:p>
    <w:p>
      <w:pPr>
        <w:pStyle w:val="Heading2"/>
      </w:pPr>
      <w:r>
        <w:t>Custom entity catalogue</w:t>
      </w:r>
    </w:p>
    <w:tbl>
      <w:tblPr>
        <w:tblW w:type="auto" w:w="0"/>
        <w:tblLayout w:type="fixed"/>
        <w:tblLook w:firstColumn="1" w:firstRow="1" w:lastColumn="0" w:lastRow="0" w:noHBand="0" w:noVBand="1" w:val="04A0"/>
      </w:tblPr>
      <w:tblGrid>
        <w:gridCol w:w="2880"/>
        <w:gridCol w:w="6984"/>
      </w:tblGrid>
      <w:tr>
        <w:trPr>
          <w:tblHeader w:val="true"/>
        </w:trP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Entity</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Example values</w:t>
            </w:r>
          </w:p>
        </w:tc>
      </w:tr>
      <w:t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@scam-type</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UPI fraud, phishing, job scam, investment scam, loan scam, impersonation</w:t>
            </w:r>
          </w:p>
        </w:tc>
      </w:tr>
      <w:t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@contact-channel</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WhatsApp, SMS, email, phone call, social media, website</w:t>
            </w:r>
          </w:p>
        </w:tc>
      </w:tr>
      <w:t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@requested-action</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share OTP, send money, open link, install app, scan QR, share PIN</w:t>
            </w:r>
          </w:p>
        </w:tc>
      </w:tr>
      <w:t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@credential-type</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OTP, UPI PIN, password, CVV, card number</w:t>
            </w:r>
          </w:p>
        </w:tc>
      </w:tr>
      <w:t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@payment-method</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UPI, QR code, bank transfer, card, wallet</w:t>
            </w:r>
          </w:p>
        </w:tc>
      </w:tr>
      <w:t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@impersonated-identity</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bank, employer, courier, support</w:t>
            </w:r>
          </w:p>
        </w:tc>
      </w:tr>
      <w:t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@urgency-cue</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immediately, today, within ten minutes, account will close</w:t>
            </w:r>
          </w:p>
        </w:tc>
      </w:tr>
      <w:t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@link-feature</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shortened link, misspelled domain, unknown website, unexpected attachment</w:t>
            </w:r>
          </w:p>
        </w:tc>
      </w:tr>
      <w:t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@job-fee</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registration fee, training fee, security deposit, equipment fee</w:t>
            </w:r>
          </w:p>
        </w:tc>
      </w:tr>
      <w:tr>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@loss-status</w:t>
            </w:r>
          </w:p>
        </w:tc>
        <w:tc>
          <w:tcPr>
            <w:tcW w:type="dxa" w:w="69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money sent, credentials shared, app installed, no action taken</w:t>
            </w:r>
          </w:p>
        </w:tc>
      </w:tr>
    </w:tbl>
    <w:p>
      <w:pPr>
        <w:spacing w:after="40"/>
      </w:pPr>
    </w:p>
    <w:p>
      <w:pPr>
        <w:pStyle w:val="Heading2"/>
      </w:pPr>
      <w:r>
        <w:t>Intent and entity mapping</w:t>
      </w:r>
    </w:p>
    <w:tbl>
      <w:tblPr>
        <w:tblW w:type="auto" w:w="0"/>
        <w:tblLayout w:type="fixed"/>
        <w:tblLook w:firstColumn="1" w:firstRow="1" w:lastColumn="0" w:lastRow="0" w:noHBand="0" w:noVBand="1" w:val="04A0"/>
      </w:tblPr>
      <w:tblGrid>
        <w:gridCol w:w="3240"/>
        <w:gridCol w:w="2664"/>
        <w:gridCol w:w="3960"/>
      </w:tblGrid>
      <w:tr>
        <w:trPr>
          <w:tblHeader w:val="true"/>
        </w:trP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Action or purpose</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Custom entities</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Default Welcome 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Greeting and entry point</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ScamCheckIntent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scam.check</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@contact-channel, @scam-type, @urgency-cue</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ScamDetailsIntent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scam.details</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@requested-action</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OTPIntent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scam.otp</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@credential-type, @impersonated-identity, @urgency-cue</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UPICollectIntent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scam.upi_collect</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@payment-method, @credential-type</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QRCodeIntent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scam.qr</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@payment-method, @contact-channel</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PhishingLinkIntent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scam.phishing</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@link-feature, @contact-channel, @urgency-cue</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FakeJobIntent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scam.job</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@job-fee, @contact-channel, @urgency-cue</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ImpersonationIntent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scam.impersonation</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@impersonated-identity, @contact-channel, @urgency-cue</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InvestmentIntent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scam.investment</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@scam-type, @contact-channel, @urgency-cue</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LoanAppIntent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scam.loan</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@scam-type, @contact-channel, @credential-type</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RemoteAccessIntent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scam.remote_access</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@requested-action, @impersonated-identity, @loss-status</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AccountCompromisedIntent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scam.compromised</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@loss-status, @credential-type, @payment-method</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ReportFraudIntent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scam.report</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@scam-type, @payment-method, @loss-status</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PreserveEvidenceIntent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scam.evidence</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@contact-channel, @link-feature</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SafePaymentTipsIntent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scam.tips</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@payment-method, @scam-type</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QuizStartIntent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quiz.start</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QuizSafeAnswerIntent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quiz.correct</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QuizUnsafeAnswerIntent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quiz.incorrect</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GoodbyeIntent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input.goodbye</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w:t>
            </w:r>
          </w:p>
        </w:tc>
      </w:tr>
      <w:tr>
        <w:tc>
          <w:tcPr>
            <w:tcW w:type="dxa" w:w="324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Default Fallback Intent</w:t>
            </w:r>
          </w:p>
        </w:tc>
        <w:tc>
          <w:tcPr>
            <w:tcW w:type="dxa" w:w="266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Safe recovery from an unmatched input</w:t>
            </w:r>
          </w:p>
        </w:tc>
        <w:tc>
          <w:tcPr>
            <w:tcW w:type="dxa" w:w="396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w:t>
            </w:r>
          </w:p>
        </w:tc>
      </w:tr>
    </w:tbl>
    <w:p>
      <w:pPr>
        <w:spacing w:after="40"/>
      </w:pPr>
    </w:p>
    <w:p>
      <w:pPr>
        <w:pStyle w:val="Heading1"/>
      </w:pPr>
      <w:r>
        <w:t>4  Training examples and responses</w:t>
      </w:r>
    </w:p>
    <w:p>
      <w:r>
        <w:t>The table gives one representative training phrase and a concise description of the configured English response for each custom intent. The import package contains the full set of example phrases and exact response text.</w:t>
      </w:r>
    </w:p>
    <w:tbl>
      <w:tblPr>
        <w:tblW w:type="auto" w:w="0"/>
        <w:tblLayout w:type="fixed"/>
        <w:tblLook w:firstColumn="1" w:firstRow="1" w:lastColumn="0" w:lastRow="0" w:noHBand="0" w:noVBand="1" w:val="04A0"/>
      </w:tblPr>
      <w:tblGrid>
        <w:gridCol w:w="2304"/>
        <w:gridCol w:w="3168"/>
        <w:gridCol w:w="4392"/>
      </w:tblGrid>
      <w:tr>
        <w:trPr>
          <w:tblHeader w:val="true"/>
        </w:trP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Sample phrase</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Configured response excerpt</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ScamCheckIntent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Can you check if this message is a scam?</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I cannot verify a message as safe from a description alone. Do not click links, pay, or share codes. Tell me what the sender asked you to do, without pasting any OTP, PIN, password, or full account…</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ScamDetailsIntent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They asked me to share my OTP</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That request is a warning sign. Pause contact and independently check the organisation through its official app or website. Do not share a PIN, OTP, password, or CVV. If you already lost money, contact…</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OTPIntent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Should I share my OTP with someone?</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Never share an OTP, UPI PIN, password, or CVV with another person, even if they claim to be from your bank. Stop the conversation and contact your bank using a number from its official app or card.</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UPICollectIntent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They sent me a UPI collect request</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Be careful with unexpected UPI collect requests. Entering your UPI PIN authorises a payment; it is not needed to receive money. Decline the request and verify the sender through an official channel.</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QRCodeIntent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They sent a QR code for my refund</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Do not scan an unknown QR code or enter your UPI PIN to receive a refund or prize. Scanning and approving with a PIN can make a payment. Verify through the official app instead.</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PhishingLinkIntent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I received a shortened link in SMS</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Do not open an unexpected link or attachment. A shortened URL, misspelled domain, or urgent login demand is a warning sign. Visit the organisation's official website by typing the address yourself.</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FakeJobIntent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A job offer asks for a registration fee</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A job offer asking for an upfront registration, training, or equipment fee is a warning sign. Do not pay or share sensitive documents. Verify the employer on its official website and contact the…</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ImpersonationIntent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Someone claiming to be my bank called me</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A name, logo, or caller ID does not prove identity. End the conversation and contact the bank, government office, employer, courier, or support team through an independently found official channel. Do…</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InvestmentIntent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This investment promises guaranteed returns</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Guaranteed high returns and pressure to invest quickly are warning signs. Do not send money based on a chat group or influencer claim. Independently verify the provider and its regulator details before…</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LoanAppIntent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A loan app wants an advance fee</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Be cautious with loan apps that demand an advance fee, unnecessary phone permissions, or payment outside the official app. Verify the lender independently and do not share an OTP or install unknown…</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RemoteAccessIntent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Support asked me to install an app</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Do not install a remote-control app for an unsolicited caller. It may let them view your screen or operate your device. If you already installed one, disconnect the device, remove the app, contact your…</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AccountCompromisedIntent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I shared my OTP already</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Act quickly: contact your bank or payment provider using its official app, website, or card number. Block affected access, change passwords from a trusted device, and review transactions. For financial…</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ReportFraudIntent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How do I report online fraud?</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If money was lost in India, contact your bank immediately and call the national financial cyber fraud helpline 1930. You can also report at https://cybercrime.gov.in/. Use official sites only. Keep…</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PreserveEvidenceIntent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What evidence should I save?</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Save screenshots of the message, sender details, links, transaction IDs, dates, and times. Do not delete the chat before reporting. Do not paste private credentials into this chatbot. Share evidence…</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SafePaymentTipsIntent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Give me safe payment tips</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Before paying, verify the recipient independently, check the amount in your payment app, and avoid links from strangers. Never enter a UPI PIN to receive money and never share OTPs, PINs, passwords, or…</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QuizStartIntent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Start a safety quiz</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Quick quiz: a caller claims to be your bank and asks for your OTP to stop fraud. Should you share it? Reply yes or no.</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QuizSafeAnswerIntent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No</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Correct. Never share an OTP with a caller, even if they claim to be from your bank. For help, end the call and use the bank's official contact details.</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QuizUnsafeAnswerIntent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Yes</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The safe answer is no. A caller asking for your OTP is a warning sign. Never share it; end the call and contact your bank through an official number.</w:t>
            </w:r>
          </w:p>
        </w:tc>
      </w:tr>
      <w:tr>
        <w:tc>
          <w:tcPr>
            <w:tcW w:type="dxa" w:w="230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GoodbyeIntent</w:t>
            </w:r>
          </w:p>
        </w:tc>
        <w:tc>
          <w:tcPr>
            <w:tcW w:type="dxa" w:w="316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Goodbye</w:t>
            </w:r>
          </w:p>
        </w:tc>
        <w:tc>
          <w:tcPr>
            <w:tcW w:type="dxa" w:w="439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Stay safe. If you have lost money or shared credentials, contact your bank promptly and report financial cyber fraud through official channels.</w:t>
            </w:r>
          </w:p>
        </w:tc>
      </w:tr>
    </w:tbl>
    <w:p>
      <w:pPr>
        <w:spacing w:after="40"/>
      </w:pPr>
    </w:p>
    <w:p>
      <w:pPr>
        <w:pStyle w:val="Heading1"/>
      </w:pPr>
      <w:r>
        <w:t>5  Live test results in Dialogflow</w:t>
      </w:r>
    </w:p>
    <w:p>
      <w:r>
        <w:t>The English results below were observed in Dialogflow ES Try it now. A pass means the intended intent matched and the observed advice was safety aligned for that input; it does not prove every possible wording or integration path.</w:t>
      </w:r>
    </w:p>
    <w:tbl>
      <w:tblPr>
        <w:tblW w:type="auto" w:w="0"/>
        <w:tblLayout w:type="fixed"/>
        <w:tblLook w:firstColumn="1" w:firstRow="1" w:lastColumn="0" w:lastRow="0" w:noHBand="0" w:noVBand="1" w:val="04A0"/>
      </w:tblPr>
      <w:tblGrid>
        <w:gridCol w:w="3384"/>
        <w:gridCol w:w="5328"/>
        <w:gridCol w:w="1152"/>
      </w:tblGrid>
      <w:tr>
        <w:trPr>
          <w:tblHeader w:val="true"/>
        </w:trP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Scenario</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Observed match</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Result</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UPI collect request</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UPICollectIntent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OTP impersonation</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OTPIntent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Fake job fee</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FakeJobIntent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Phishing link</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PhishingLinkIntent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Remote access</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RemoteAccessIntent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Money already lost</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AccountCompromisedIntent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 detail slot filling</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ScamCheckIntent → ScamDetailsIntent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Quiz, correct answer</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QuizStartIntent → QuizSafeAnswerIntent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Quiz, unsafe answer</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QuizStartIntent → QuizUnsafeAnswerIntent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Fallback</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Default Fallback 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UPI refund PIN request</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UPICollectIntent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Misspelled suspicious SMS link</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PhishingLinkIntent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Quiz answer out of context</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Default Fallback 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Pass</w:t>
            </w:r>
          </w:p>
        </w:tc>
      </w:tr>
      <w:tr>
        <w:tc>
          <w:tcPr>
            <w:tcW w:type="dxa" w:w="3384"/>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English greeting with en selected</w:t>
            </w:r>
          </w:p>
        </w:tc>
        <w:tc>
          <w:tcPr>
            <w:tcW w:type="dxa" w:w="5328"/>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Default Welcome Intent</w:t>
            </w:r>
          </w:p>
        </w:tc>
        <w:tc>
          <w:tcPr>
            <w:tcW w:type="dxa" w:w="115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Pass</w:t>
            </w:r>
          </w:p>
        </w:tc>
      </w:tr>
    </w:tbl>
    <w:p>
      <w:pPr>
        <w:spacing w:after="40"/>
      </w:pPr>
    </w:p>
    <w:p>
      <w:r>
        <w:t>The latest screenshot shows the input “hi” and the configured English Welcome response when English was selected in Dialogflow.</w:t>
      </w:r>
    </w:p>
    <w:p>
      <w:pPr>
        <w:pStyle w:val="Heading2"/>
      </w:pPr>
      <w:r>
        <w:t>Hindi checks before importing the bilingual package</w:t>
      </w:r>
    </w:p>
    <w:tbl>
      <w:tblPr>
        <w:tblW w:type="auto" w:w="0"/>
        <w:tblLayout w:type="fixed"/>
        <w:tblLook w:firstColumn="1" w:firstRow="1" w:lastColumn="0" w:lastRow="0" w:noHBand="0" w:noVBand="1" w:val="04A0"/>
      </w:tblPr>
      <w:tblGrid>
        <w:gridCol w:w="3672"/>
        <w:gridCol w:w="2880"/>
        <w:gridCol w:w="3312"/>
      </w:tblGrid>
      <w:tr>
        <w:trPr>
          <w:tblHeader w:val="true"/>
        </w:trPr>
        <w:tc>
          <w:tcPr>
            <w:tcW w:type="dxa" w:w="367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Input</w:t>
            </w:r>
          </w:p>
        </w:tc>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Observed match</w:t>
            </w:r>
          </w:p>
        </w:tc>
        <w:tc>
          <w:tcPr>
            <w:tcW w:type="dxa" w:w="331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213C63"/>
          </w:tcPr>
          <w:p>
            <w:pPr>
              <w:spacing w:after="0" w:line="259" w:lineRule="auto"/>
            </w:pPr>
            <w:r>
              <w:rPr>
                <w:rFonts w:ascii="Arial" w:hAnsi="Arial"/>
                <w:b/>
                <w:color w:val="FFFFFF"/>
                <w:sz w:val="17"/>
              </w:rPr>
              <w:t>Observation</w:t>
            </w:r>
          </w:p>
        </w:tc>
      </w:tr>
      <w:tr>
        <w:tc>
          <w:tcPr>
            <w:tcW w:type="dxa" w:w="367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नमस्ते</w:t>
            </w:r>
          </w:p>
        </w:tc>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Default Welcome Intent</w:t>
            </w:r>
          </w:p>
        </w:tc>
        <w:tc>
          <w:tcPr>
            <w:tcW w:type="dxa" w:w="331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Generic Hindi greeting</w:t>
            </w:r>
          </w:p>
        </w:tc>
      </w:tr>
      <w:tr>
        <w:tc>
          <w:tcPr>
            <w:tcW w:type="dxa" w:w="367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बैंक वाला मेरा ओटीपी मांग रहा है</w:t>
            </w:r>
          </w:p>
        </w:tc>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Default Fallback Intent</w:t>
            </w:r>
          </w:p>
        </w:tc>
        <w:tc>
          <w:tcPr>
            <w:tcW w:type="dxa" w:w="331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Scam warning did not match</w:t>
            </w:r>
          </w:p>
        </w:tc>
      </w:tr>
      <w:tr>
        <w:tc>
          <w:tcPr>
            <w:tcW w:type="dxa" w:w="367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मुझे पैसे लेने के लिए यूपीआई पिन डालने को कह रहे हैं</w:t>
            </w:r>
          </w:p>
        </w:tc>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Default Fallback Intent</w:t>
            </w:r>
          </w:p>
        </w:tc>
        <w:tc>
          <w:tcPr>
            <w:tcW w:type="dxa" w:w="331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UPI warning did not match</w:t>
            </w:r>
          </w:p>
        </w:tc>
      </w:tr>
      <w:tr>
        <w:tc>
          <w:tcPr>
            <w:tcW w:type="dxa" w:w="367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मुझे एसएमएस में संदिग्ध लिंक मिला है</w:t>
            </w:r>
          </w:p>
        </w:tc>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Default Welcome Intent</w:t>
            </w:r>
          </w:p>
        </w:tc>
        <w:tc>
          <w:tcPr>
            <w:tcW w:type="dxa" w:w="331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Misrouted to greeting</w:t>
            </w:r>
          </w:p>
        </w:tc>
      </w:tr>
      <w:tr>
        <w:tc>
          <w:tcPr>
            <w:tcW w:type="dxa" w:w="367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सुरक्षा क्विज़ शुरू करो</w:t>
            </w:r>
          </w:p>
        </w:tc>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Default Fallback Intent</w:t>
            </w:r>
          </w:p>
        </w:tc>
        <w:tc>
          <w:tcPr>
            <w:tcW w:type="dxa" w:w="331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tcPr>
          <w:p>
            <w:pPr>
              <w:spacing w:after="0" w:line="259" w:lineRule="auto"/>
            </w:pPr>
            <w:r>
              <w:rPr>
                <w:rFonts w:ascii="Arial" w:hAnsi="Arial"/>
                <w:b w:val="0"/>
                <w:sz w:val="18"/>
              </w:rPr>
              <w:t>Quiz did not start</w:t>
            </w:r>
          </w:p>
        </w:tc>
      </w:tr>
      <w:tr>
        <w:tc>
          <w:tcPr>
            <w:tcW w:type="dxa" w:w="367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मैंने ठग को पैसे भेज दिए</w:t>
            </w:r>
          </w:p>
        </w:tc>
        <w:tc>
          <w:tcPr>
            <w:tcW w:type="dxa" w:w="2880"/>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Default Fallback Intent</w:t>
            </w:r>
          </w:p>
        </w:tc>
        <w:tc>
          <w:tcPr>
            <w:tcW w:type="dxa" w:w="3312"/>
            <w:vAlign w:val="center"/>
            <w:tcMar>
              <w:top w:w="90" w:type="dxa"/>
              <w:bottom w:w="90" w:type="dxa"/>
              <w:left w:w="105" w:type="dxa"/>
              <w:right w:w="105" w:type="dxa"/>
            </w:tcMar>
            <w:tcBorders>
              <w:top w:val="single" w:color="D9D9D9" w:sz="4"/>
              <w:left w:val="single" w:color="D9D9D9" w:sz="4"/>
              <w:bottom w:val="single" w:color="D9D9D9" w:sz="4"/>
              <w:right w:val="single" w:color="D9D9D9" w:sz="4"/>
            </w:tcBorders>
            <w:shd w:fill="F2F5F9"/>
          </w:tcPr>
          <w:p>
            <w:pPr>
              <w:spacing w:after="0" w:line="259" w:lineRule="auto"/>
            </w:pPr>
            <w:r>
              <w:rPr>
                <w:rFonts w:ascii="Arial" w:hAnsi="Arial"/>
                <w:b w:val="0"/>
                <w:sz w:val="18"/>
              </w:rPr>
              <w:t>Loss guidance did not match</w:t>
            </w:r>
          </w:p>
        </w:tc>
      </w:tr>
    </w:tbl>
    <w:p>
      <w:pPr>
        <w:spacing w:after="40"/>
      </w:pPr>
    </w:p>
    <w:p>
      <w:pPr>
        <w:pStyle w:val="Heading1"/>
      </w:pPr>
      <w:r>
        <w:t>6  Evidence from the live agent</w:t>
      </w:r>
    </w:p>
    <w:p>
      <w:r>
        <w:t>The following screenshots were supplied from the current ScamShieldAI Dialogflow ES console. They document the visible entity list, first page of the intent list, one Hindi fallback, and the English Welcome result.</w:t>
      </w:r>
    </w:p>
    <w:p>
      <w:pPr>
        <w:jc w:val="center"/>
      </w:pPr>
      <w:r>
        <w:drawing>
          <wp:inline xmlns:a="http://schemas.openxmlformats.org/drawingml/2006/main" xmlns:pic="http://schemas.openxmlformats.org/drawingml/2006/picture">
            <wp:extent cx="4754880" cy="2800096"/>
            <wp:docPr id="1" name="Picture 1"/>
            <wp:cNvGraphicFramePr>
              <a:graphicFrameLocks noChangeAspect="1"/>
            </wp:cNvGraphicFramePr>
            <a:graphic>
              <a:graphicData uri="http://schemas.openxmlformats.org/drawingml/2006/picture">
                <pic:pic>
                  <pic:nvPicPr>
                    <pic:cNvPr id="0" name="codex-clipboard-0aebbbc2-1e49-4fd9-a975-6e6ac67a4c56.png"/>
                    <pic:cNvPicPr/>
                  </pic:nvPicPr>
                  <pic:blipFill>
                    <a:blip r:embed="rId13"/>
                    <a:stretch>
                      <a:fillRect/>
                    </a:stretch>
                  </pic:blipFill>
                  <pic:spPr>
                    <a:xfrm>
                      <a:off x="0" y="0"/>
                      <a:ext cx="4754880" cy="2800096"/>
                    </a:xfrm>
                    <a:prstGeom prst="rect"/>
                  </pic:spPr>
                </pic:pic>
              </a:graphicData>
            </a:graphic>
          </wp:inline>
        </w:drawing>
      </w:r>
    </w:p>
    <w:p>
      <w:pPr>
        <w:pStyle w:val="Caption"/>
        <w:jc w:val="center"/>
      </w:pPr>
      <w:r>
        <w:t>Figure 1  Ten custom entities</w:t>
      </w:r>
    </w:p>
    <w:p>
      <w:pPr>
        <w:jc w:val="center"/>
      </w:pPr>
      <w:r>
        <w:drawing>
          <wp:inline xmlns:a="http://schemas.openxmlformats.org/drawingml/2006/main" xmlns:pic="http://schemas.openxmlformats.org/drawingml/2006/picture">
            <wp:extent cx="4754880" cy="3436160"/>
            <wp:docPr id="2" name="Picture 2"/>
            <wp:cNvGraphicFramePr>
              <a:graphicFrameLocks noChangeAspect="1"/>
            </wp:cNvGraphicFramePr>
            <a:graphic>
              <a:graphicData uri="http://schemas.openxmlformats.org/drawingml/2006/picture">
                <pic:pic>
                  <pic:nvPicPr>
                    <pic:cNvPr id="0" name="codex-clipboard-bc789771-301a-492f-b6e4-6c85494102a7.png"/>
                    <pic:cNvPicPr/>
                  </pic:nvPicPr>
                  <pic:blipFill>
                    <a:blip r:embed="rId14"/>
                    <a:stretch>
                      <a:fillRect/>
                    </a:stretch>
                  </pic:blipFill>
                  <pic:spPr>
                    <a:xfrm>
                      <a:off x="0" y="0"/>
                      <a:ext cx="4754880" cy="3436160"/>
                    </a:xfrm>
                    <a:prstGeom prst="rect"/>
                  </pic:spPr>
                </pic:pic>
              </a:graphicData>
            </a:graphic>
          </wp:inline>
        </w:drawing>
      </w:r>
    </w:p>
    <w:p>
      <w:pPr>
        <w:pStyle w:val="Caption"/>
        <w:jc w:val="center"/>
      </w:pPr>
      <w:r>
        <w:t>Figure 2  First page of the intent list</w:t>
      </w:r>
    </w:p>
    <w:p>
      <w:r>
        <w:br w:type="page"/>
      </w:r>
    </w:p>
    <w:tbl>
      <w:tblPr>
        <w:tblW w:type="auto" w:w="0"/>
        <w:tblLayout w:type="fixed"/>
        <w:tblLook w:firstColumn="1" w:firstRow="1" w:lastColumn="0" w:lastRow="0" w:noHBand="0" w:noVBand="1" w:val="04A0"/>
      </w:tblPr>
      <w:tblGrid>
        <w:gridCol w:w="4896"/>
        <w:gridCol w:w="4896"/>
      </w:tblGrid>
      <w:tr>
        <w:tc>
          <w:tcPr>
            <w:tcW w:type="dxa" w:w="4997"/>
            <w:vAlign w:val="top"/>
            <w:tcMar>
              <w:top w:w="90" w:type="dxa"/>
              <w:bottom w:w="90" w:type="dxa"/>
              <w:left w:w="105" w:type="dxa"/>
              <w:right w:w="105" w:type="dxa"/>
            </w:tcMar>
          </w:tcPr>
          <w:p>
            <w:pPr>
              <w:jc w:val="center"/>
            </w:pPr>
            <w:r/>
            <w:r>
              <w:drawing>
                <wp:inline xmlns:a="http://schemas.openxmlformats.org/drawingml/2006/main" xmlns:pic="http://schemas.openxmlformats.org/drawingml/2006/picture">
                  <wp:extent cx="1737360" cy="3721504"/>
                  <wp:docPr id="3" name="Picture 3"/>
                  <wp:cNvGraphicFramePr>
                    <a:graphicFrameLocks noChangeAspect="1"/>
                  </wp:cNvGraphicFramePr>
                  <a:graphic>
                    <a:graphicData uri="http://schemas.openxmlformats.org/drawingml/2006/picture">
                      <pic:pic>
                        <pic:nvPicPr>
                          <pic:cNvPr id="0" name="codex-clipboard-8bc00719-806f-4af1-a9a0-1d04a19d420b.png"/>
                          <pic:cNvPicPr/>
                        </pic:nvPicPr>
                        <pic:blipFill>
                          <a:blip r:embed="rId15"/>
                          <a:stretch>
                            <a:fillRect/>
                          </a:stretch>
                        </pic:blipFill>
                        <pic:spPr>
                          <a:xfrm>
                            <a:off x="0" y="0"/>
                            <a:ext cx="1737360" cy="3721504"/>
                          </a:xfrm>
                          <a:prstGeom prst="rect"/>
                        </pic:spPr>
                      </pic:pic>
                    </a:graphicData>
                  </a:graphic>
                </wp:inline>
              </w:drawing>
            </w:r>
          </w:p>
          <w:p>
            <w:pPr>
              <w:pStyle w:val="Caption"/>
              <w:jc w:val="center"/>
            </w:pPr>
            <w:r>
              <w:t>Figure 3  English greeting matched Welcome</w:t>
            </w:r>
          </w:p>
        </w:tc>
        <w:tc>
          <w:tcPr>
            <w:tcW w:type="dxa" w:w="4997"/>
            <w:vAlign w:val="top"/>
            <w:tcMar>
              <w:top w:w="90" w:type="dxa"/>
              <w:bottom w:w="90" w:type="dxa"/>
              <w:left w:w="105" w:type="dxa"/>
              <w:right w:w="105" w:type="dxa"/>
            </w:tcMar>
          </w:tcPr>
          <w:p>
            <w:pPr>
              <w:jc w:val="center"/>
            </w:pPr>
            <w:r/>
            <w:r>
              <w:drawing>
                <wp:inline xmlns:a="http://schemas.openxmlformats.org/drawingml/2006/main" xmlns:pic="http://schemas.openxmlformats.org/drawingml/2006/picture">
                  <wp:extent cx="1737360" cy="4755160"/>
                  <wp:docPr id="4" name="Picture 4"/>
                  <wp:cNvGraphicFramePr>
                    <a:graphicFrameLocks noChangeAspect="1"/>
                  </wp:cNvGraphicFramePr>
                  <a:graphic>
                    <a:graphicData uri="http://schemas.openxmlformats.org/drawingml/2006/picture">
                      <pic:pic>
                        <pic:nvPicPr>
                          <pic:cNvPr id="0" name="codex-clipboard-351056d5-88dd-4fdb-bf0b-1762cbb28df2.png"/>
                          <pic:cNvPicPr/>
                        </pic:nvPicPr>
                        <pic:blipFill>
                          <a:blip r:embed="rId16"/>
                          <a:stretch>
                            <a:fillRect/>
                          </a:stretch>
                        </pic:blipFill>
                        <pic:spPr>
                          <a:xfrm>
                            <a:off x="0" y="0"/>
                            <a:ext cx="1737360" cy="4755160"/>
                          </a:xfrm>
                          <a:prstGeom prst="rect"/>
                        </pic:spPr>
                      </pic:pic>
                    </a:graphicData>
                  </a:graphic>
                </wp:inline>
              </w:drawing>
            </w:r>
          </w:p>
          <w:p>
            <w:pPr>
              <w:pStyle w:val="Caption"/>
              <w:jc w:val="center"/>
            </w:pPr>
            <w:r>
              <w:t>Figure 4  Hindi money-loss input reached Fallback</w:t>
            </w:r>
          </w:p>
        </w:tc>
      </w:tr>
    </w:tbl>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A5A5A"/>
        <w:sz w:val="16"/>
      </w:rPr>
      <w:t>Aarav Motwani  •  22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A5A5A"/>
        <w:sz w:val="16"/>
      </w:rPr>
      <w:t>SCAMSHIELD AI  |  SUMMATIVE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Arial" w:hAnsi="Arial"/>
      <w:i/>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80"/>
    </w:pPr>
    <w:rPr>
      <w:rFonts w:ascii="Arial" w:hAnsi="Arial"/>
      <w:b w:val="0"/>
      <w:bCs/>
      <w:i/>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aarav343/scam-shield-ai-sa" TargetMode="External"/><Relationship Id="rId12" Type="http://schemas.openxmlformats.org/officeDocument/2006/relationships/hyperlink" Target="https://dialogflow.cloud.google.com/#/editAgent/scamshieldai-k9w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