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9304" w14:textId="77777777" w:rsidR="008D0364" w:rsidRDefault="008D0364">
      <w:pPr>
        <w:spacing w:after="120"/>
      </w:pPr>
    </w:p>
    <w:p w14:paraId="6092D532" w14:textId="3AB04080" w:rsidR="008D0364" w:rsidRDefault="00000000">
      <w:pPr>
        <w:spacing w:after="60"/>
      </w:pPr>
      <w:r>
        <w:rPr>
          <w:b/>
          <w:bCs/>
          <w:sz w:val="40"/>
          <w:szCs w:val="40"/>
        </w:rPr>
        <w:t>European Cross-Commodity Note</w:t>
      </w:r>
    </w:p>
    <w:p w14:paraId="1E8C3033" w14:textId="75F10741" w:rsidR="008D0364" w:rsidRDefault="00000000">
      <w:pPr>
        <w:spacing w:after="60"/>
      </w:pPr>
      <w:r>
        <w:rPr>
          <w:color w:val="57606A"/>
        </w:rPr>
        <w:t>Aarav Agarwal</w:t>
      </w:r>
    </w:p>
    <w:p w14:paraId="0321C95B" w14:textId="77777777" w:rsidR="008D0364" w:rsidRDefault="008D0364">
      <w:pPr>
        <w:pBdr>
          <w:bottom w:val="single" w:sz="6" w:space="1" w:color="0969DA"/>
        </w:pBdr>
        <w:spacing w:after="160"/>
      </w:pPr>
    </w:p>
    <w:p w14:paraId="42365DB5" w14:textId="3B5880A4" w:rsidR="008D0364" w:rsidRDefault="00000000">
      <w:pPr>
        <w:pStyle w:val="Heading1"/>
      </w:pPr>
      <w:r>
        <w:t>Summary</w:t>
      </w:r>
    </w:p>
    <w:p w14:paraId="3AB5C4B2" w14:textId="3BDB51F5" w:rsidR="008D0364" w:rsidRDefault="00000000">
      <w:pPr>
        <w:spacing w:after="100"/>
        <w:jc w:val="both"/>
      </w:pPr>
      <w:r>
        <w:t xml:space="preserve">European energy markets are in a structurally stressed regime. TTF front-month trades at </w:t>
      </w:r>
      <w:r w:rsidRPr="00410152">
        <w:t>€51.82/MWh</w:t>
      </w:r>
      <w:r>
        <w:t xml:space="preserve"> </w:t>
      </w:r>
      <w:r w:rsidR="00410152">
        <w:t>-</w:t>
      </w:r>
      <w:r>
        <w:t xml:space="preserve"> up 40% year-on-year </w:t>
      </w:r>
      <w:r w:rsidR="00410152">
        <w:t xml:space="preserve">- </w:t>
      </w:r>
      <w:r>
        <w:t xml:space="preserve">after Qatari force majeure in early March removed ~17% of global LNG liquefaction capacity and the Strait of Hormuz closure disrupted roughly a fifth of global LNG supply. EU gas storage sits at just </w:t>
      </w:r>
      <w:r w:rsidRPr="00410152">
        <w:t>36.3% full</w:t>
      </w:r>
      <w:r>
        <w:t xml:space="preserve">, a near-record low for mid-May and approximately </w:t>
      </w:r>
      <w:r w:rsidRPr="00410152">
        <w:t>19 percentage points below the five-year seasonal average</w:t>
      </w:r>
      <w:r>
        <w:t xml:space="preserve">. The required injection rate to reach even 80% by 1 November is </w:t>
      </w:r>
      <w:r w:rsidRPr="00410152">
        <w:t>~3,516 GWh/day</w:t>
      </w:r>
      <w:r w:rsidR="00410152">
        <w:t>,</w:t>
      </w:r>
      <w:r>
        <w:t xml:space="preserve"> well above current pace and historically unprecedented in a backwardated curve environment that undermines storage economics.</w:t>
      </w:r>
    </w:p>
    <w:p w14:paraId="6A47A645" w14:textId="77777777" w:rsidR="008D0364" w:rsidRDefault="00000000">
      <w:pPr>
        <w:spacing w:after="100"/>
        <w:jc w:val="both"/>
      </w:pPr>
      <w:r>
        <w:t xml:space="preserve">EU carbon (EUA Dec-26) holds at </w:t>
      </w:r>
      <w:r w:rsidRPr="00410152">
        <w:t>€75.02/t</w:t>
      </w:r>
      <w:r>
        <w:t xml:space="preserve">, adding ~€29.6/MWh of variable cost to every megawatt-hour of gas-fired generation. German Cal-27 baseload settled at </w:t>
      </w:r>
      <w:r w:rsidRPr="00410152">
        <w:t>€92.75/MWh</w:t>
      </w:r>
      <w:r>
        <w:t xml:space="preserve">, implying a marginally negative clean spark spread of roughly </w:t>
      </w:r>
      <w:r w:rsidRPr="00410152">
        <w:t>−€12/MWh</w:t>
      </w:r>
      <w:r>
        <w:t>. The risk is asymmetric to the upside: a cold autumn or further Hormuz escalation lands in a market with almost no storage buffer. A Hormuz resolution is the primary downside catalyst.</w:t>
      </w:r>
    </w:p>
    <w:p w14:paraId="59C29B74" w14:textId="77777777" w:rsidR="008D0364" w:rsidRDefault="008D0364">
      <w:pPr>
        <w:pBdr>
          <w:bottom w:val="single" w:sz="4" w:space="1" w:color="D0D7DE"/>
        </w:pBdr>
        <w:spacing w:after="120"/>
      </w:pPr>
    </w:p>
    <w:p w14:paraId="19D28AAF" w14:textId="024A32BA" w:rsidR="008D0364" w:rsidRDefault="00E406CE">
      <w:pPr>
        <w:pStyle w:val="Heading1"/>
      </w:pPr>
      <w:r>
        <w:t xml:space="preserve">1 </w:t>
      </w:r>
      <w:proofErr w:type="gramStart"/>
      <w:r>
        <w:t>|</w:t>
      </w:r>
      <w:r w:rsidR="00000000">
        <w:t xml:space="preserve">  Gas</w:t>
      </w:r>
      <w:proofErr w:type="gramEnd"/>
      <w:r w:rsidR="00000000">
        <w:t xml:space="preserve"> Tightness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8D0364" w14:paraId="178DC9B2"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D1F1160" w14:textId="77777777" w:rsidR="008D0364" w:rsidRDefault="00000000">
            <w:r>
              <w:rPr>
                <w:b/>
                <w:bCs/>
                <w:color w:val="57606A"/>
                <w:sz w:val="17"/>
                <w:szCs w:val="17"/>
              </w:rPr>
              <w:t>TTF M+1 (19 May 2026)</w:t>
            </w:r>
          </w:p>
        </w:tc>
        <w:tc>
          <w:tcPr>
            <w:tcW w:w="61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BEA5362" w14:textId="2F0FCA58" w:rsidR="008D0364" w:rsidRDefault="00000000">
            <w:r>
              <w:t>€51.82/</w:t>
            </w:r>
            <w:r w:rsidR="00410152">
              <w:t>MWh (</w:t>
            </w:r>
            <w:r>
              <w:t>+40.1% YoY, +28.9% MoM)</w:t>
            </w:r>
          </w:p>
        </w:tc>
      </w:tr>
      <w:tr w:rsidR="008D0364" w14:paraId="0E628A25"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57F6524" w14:textId="77777777" w:rsidR="008D0364" w:rsidRDefault="00000000">
            <w:r>
              <w:rPr>
                <w:b/>
                <w:bCs/>
                <w:color w:val="57606A"/>
                <w:sz w:val="17"/>
                <w:szCs w:val="17"/>
              </w:rPr>
              <w:t>52-week range</w:t>
            </w:r>
          </w:p>
        </w:tc>
        <w:tc>
          <w:tcPr>
            <w:tcW w:w="613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357E7BF" w14:textId="25AD329E" w:rsidR="008D0364" w:rsidRDefault="00000000">
            <w:r>
              <w:t>€26.55 – €69.35/</w:t>
            </w:r>
            <w:r w:rsidR="00410152">
              <w:t>MWh | March</w:t>
            </w:r>
            <w:r>
              <w:t xml:space="preserve"> peak: &gt;€60/MWh post-Qatar shock</w:t>
            </w:r>
          </w:p>
        </w:tc>
      </w:tr>
      <w:tr w:rsidR="008D0364" w14:paraId="43517139"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55A5560" w14:textId="77777777" w:rsidR="008D0364" w:rsidRDefault="00000000">
            <w:r>
              <w:rPr>
                <w:b/>
                <w:bCs/>
                <w:color w:val="57606A"/>
                <w:sz w:val="17"/>
                <w:szCs w:val="17"/>
              </w:rPr>
              <w:t>EU Storage (18 May 2026)</w:t>
            </w:r>
          </w:p>
        </w:tc>
        <w:tc>
          <w:tcPr>
            <w:tcW w:w="61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58A3CF6" w14:textId="5EA35544" w:rsidR="008D0364" w:rsidRDefault="00000000">
            <w:r>
              <w:t xml:space="preserve">36.34% </w:t>
            </w:r>
            <w:r w:rsidR="00410152">
              <w:t>full | 411.3</w:t>
            </w:r>
            <w:r>
              <w:t xml:space="preserve"> </w:t>
            </w:r>
            <w:r w:rsidR="00410152">
              <w:t xml:space="preserve">TWh </w:t>
            </w:r>
            <w:proofErr w:type="gramStart"/>
            <w:r w:rsidR="00410152">
              <w:t>|</w:t>
            </w:r>
            <w:r>
              <w:t xml:space="preserve">  5</w:t>
            </w:r>
            <w:proofErr w:type="gramEnd"/>
            <w:r>
              <w:t>-yr avg: ~55</w:t>
            </w:r>
            <w:r w:rsidR="00410152">
              <w:t xml:space="preserve">% </w:t>
            </w:r>
            <w:proofErr w:type="gramStart"/>
            <w:r w:rsidR="00410152">
              <w:t>|</w:t>
            </w:r>
            <w:r>
              <w:t xml:space="preserve">  Gap</w:t>
            </w:r>
            <w:proofErr w:type="gramEnd"/>
            <w:r>
              <w:t>: −19pp</w:t>
            </w:r>
          </w:p>
        </w:tc>
      </w:tr>
      <w:tr w:rsidR="008D0364" w14:paraId="5E6A02F8"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67178F7" w14:textId="77777777" w:rsidR="008D0364" w:rsidRDefault="00000000">
            <w:r>
              <w:rPr>
                <w:b/>
                <w:bCs/>
                <w:color w:val="57606A"/>
                <w:sz w:val="17"/>
                <w:szCs w:val="17"/>
              </w:rPr>
              <w:t>Required injection pace</w:t>
            </w:r>
          </w:p>
        </w:tc>
        <w:tc>
          <w:tcPr>
            <w:tcW w:w="613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A3A6CBA" w14:textId="152DBEBA" w:rsidR="008D0364" w:rsidRDefault="00000000">
            <w:r>
              <w:t xml:space="preserve">~3,516 GWh/day to reach 80% by 1 </w:t>
            </w:r>
            <w:r w:rsidR="00410152">
              <w:t>Nov | Current</w:t>
            </w:r>
            <w:r>
              <w:t xml:space="preserve"> pace: ~2,100 GWh/day</w:t>
            </w:r>
          </w:p>
        </w:tc>
      </w:tr>
      <w:tr w:rsidR="008D0364" w14:paraId="7C78C359"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400D769" w14:textId="77777777" w:rsidR="008D0364" w:rsidRDefault="00000000">
            <w:r>
              <w:rPr>
                <w:b/>
                <w:bCs/>
                <w:color w:val="57606A"/>
                <w:sz w:val="17"/>
                <w:szCs w:val="17"/>
              </w:rPr>
              <w:t>Norwegian flow</w:t>
            </w:r>
          </w:p>
        </w:tc>
        <w:tc>
          <w:tcPr>
            <w:tcW w:w="61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F549F86" w14:textId="77777777" w:rsidR="008D0364" w:rsidRDefault="00000000">
            <w:r>
              <w:t>Plateau ~114.9 Bcm in 2025 (−2.3% YoY); 2026 guide: 110–120 Bcm</w:t>
            </w:r>
          </w:p>
        </w:tc>
      </w:tr>
      <w:tr w:rsidR="008D0364" w14:paraId="2CCA2B75"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FEB2E36" w14:textId="77777777" w:rsidR="008D0364" w:rsidRDefault="00000000">
            <w:r>
              <w:rPr>
                <w:b/>
                <w:bCs/>
                <w:color w:val="57606A"/>
                <w:sz w:val="17"/>
                <w:szCs w:val="17"/>
              </w:rPr>
              <w:t>LNG supply shock</w:t>
            </w:r>
          </w:p>
        </w:tc>
        <w:tc>
          <w:tcPr>
            <w:tcW w:w="613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C589147" w14:textId="77777777" w:rsidR="008D0364" w:rsidRDefault="00000000">
            <w:r>
              <w:t>Qatar force majeure on ~17% of liquefaction capacity (March 2026)</w:t>
            </w:r>
          </w:p>
        </w:tc>
      </w:tr>
    </w:tbl>
    <w:p w14:paraId="62F1F919" w14:textId="77777777" w:rsidR="008D0364" w:rsidRDefault="008D0364">
      <w:pPr>
        <w:spacing w:after="120"/>
      </w:pPr>
    </w:p>
    <w:p w14:paraId="77EE2CDD" w14:textId="4374ADBF" w:rsidR="008D0364" w:rsidRDefault="00000000">
      <w:pPr>
        <w:spacing w:after="100"/>
        <w:jc w:val="both"/>
      </w:pPr>
      <w:r>
        <w:t>The structural picture is one of chronic tightness compounded by a geopolitical shock. The winter 2025/26 was colder than recent winters, drawing storage below 30% in several EU markets by end-March</w:t>
      </w:r>
      <w:r w:rsidR="00410152">
        <w:t xml:space="preserve">. </w:t>
      </w:r>
      <w:r>
        <w:t>Recovery has been slow: as of 18 May, EU storage at 36.3% sits below even the distressed 2022 level at the same date.</w:t>
      </w:r>
    </w:p>
    <w:p w14:paraId="073C1300" w14:textId="6B0BC3C9" w:rsidR="008D0364" w:rsidRDefault="00000000">
      <w:pPr>
        <w:spacing w:after="100"/>
        <w:jc w:val="both"/>
      </w:pPr>
      <w:r>
        <w:t>The LNG supply backdrop has deteriorated materially. Before the conflict, Europe sourced 12–14% of its LNG from Qatar under long-term contracts. US LNG is partially filling the gap</w:t>
      </w:r>
      <w:r w:rsidR="00410152">
        <w:t>,</w:t>
      </w:r>
      <w:r>
        <w:t xml:space="preserve"> the US now supplies ~29% of EU gas imports vs Norway’s 30% in Q1 2026</w:t>
      </w:r>
      <w:r w:rsidR="00410152">
        <w:t xml:space="preserve">, </w:t>
      </w:r>
      <w:r>
        <w:t>but at spot prices well above pre-shock levels. The Hormuz situation remains unstable; any re-escalation in a thin summer injection market would be acutely felt across the forward curve.</w:t>
      </w:r>
    </w:p>
    <w:p w14:paraId="26B18C17" w14:textId="0636A185" w:rsidR="008D0364" w:rsidRDefault="00000000">
      <w:pPr>
        <w:spacing w:after="100"/>
        <w:jc w:val="both"/>
      </w:pPr>
      <w:r>
        <w:t xml:space="preserve">The TTF curve is in </w:t>
      </w:r>
      <w:r w:rsidR="00410152">
        <w:rPr>
          <w:b/>
          <w:bCs/>
        </w:rPr>
        <w:t>backwardation</w:t>
      </w:r>
      <w:r w:rsidR="00410152">
        <w:t>,</w:t>
      </w:r>
      <w:r>
        <w:t xml:space="preserve"> summer prices above winter 2026/27 delivery</w:t>
      </w:r>
      <w:r w:rsidR="00410152">
        <w:t>,</w:t>
      </w:r>
      <w:r>
        <w:t xml:space="preserve"> which structurally undermines the economics of injecting gas now to sell in winter. Equinor’s CFO said explicitly in early May that Europe is unlikely to reach even the 80% interim target by winter onset. This is not a tail risk; it is the base case.</w:t>
      </w:r>
    </w:p>
    <w:p w14:paraId="045824D4" w14:textId="77777777" w:rsidR="008D0364" w:rsidRDefault="008D0364">
      <w:pPr>
        <w:pBdr>
          <w:bottom w:val="single" w:sz="4" w:space="1" w:color="D0D7DE"/>
        </w:pBdr>
        <w:spacing w:after="120"/>
      </w:pPr>
    </w:p>
    <w:p w14:paraId="44897DA8" w14:textId="77777777" w:rsidR="008D0364" w:rsidRDefault="00000000">
      <w:pPr>
        <w:spacing w:after="80"/>
        <w:jc w:val="center"/>
      </w:pPr>
      <w:r>
        <w:rPr>
          <w:noProof/>
        </w:rPr>
        <w:drawing>
          <wp:inline distT="0" distB="0" distL="0" distR="0" wp14:anchorId="31FC3A5D" wp14:editId="7A9FB087">
            <wp:extent cx="4871357" cy="243617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28723" cy="2464859"/>
                    </a:xfrm>
                    <a:prstGeom prst="rect">
                      <a:avLst/>
                    </a:prstGeom>
                  </pic:spPr>
                </pic:pic>
              </a:graphicData>
            </a:graphic>
          </wp:inline>
        </w:drawing>
      </w:r>
    </w:p>
    <w:p w14:paraId="69A6690D" w14:textId="5DC3A9AB" w:rsidR="008D0364" w:rsidRDefault="00000000">
      <w:pPr>
        <w:spacing w:after="160"/>
        <w:jc w:val="center"/>
      </w:pPr>
      <w:r>
        <w:rPr>
          <w:i/>
          <w:iCs/>
          <w:color w:val="57606A"/>
          <w:sz w:val="15"/>
          <w:szCs w:val="15"/>
        </w:rPr>
        <w:t xml:space="preserve">Chart 1: EU aggregate gas storage fill % vs 5-year seasonal band. Dotted line shows required injection trajectory to reach 90% by 1 November. </w:t>
      </w:r>
    </w:p>
    <w:p w14:paraId="3018FB74" w14:textId="77777777" w:rsidR="008D0364" w:rsidRDefault="008D0364">
      <w:pPr>
        <w:pBdr>
          <w:bottom w:val="single" w:sz="4" w:space="1" w:color="D0D7DE"/>
        </w:pBdr>
        <w:spacing w:after="120"/>
      </w:pPr>
    </w:p>
    <w:p w14:paraId="497361EA" w14:textId="03189BC6" w:rsidR="008D0364" w:rsidRDefault="00E406CE">
      <w:pPr>
        <w:pStyle w:val="Heading1"/>
      </w:pPr>
      <w:r>
        <w:t xml:space="preserve">2 </w:t>
      </w:r>
      <w:proofErr w:type="gramStart"/>
      <w:r>
        <w:t>|</w:t>
      </w:r>
      <w:r w:rsidR="00000000">
        <w:t xml:space="preserve">  Carbon</w:t>
      </w:r>
      <w:proofErr w:type="gramEnd"/>
      <w:r w:rsidR="00000000">
        <w:t>: Supply Signal and Policy Dynamics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8D0364" w14:paraId="52D181F8"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A802080" w14:textId="77777777" w:rsidR="008D0364" w:rsidRDefault="00000000">
            <w:r>
              <w:rPr>
                <w:b/>
                <w:bCs/>
                <w:color w:val="57606A"/>
                <w:sz w:val="17"/>
                <w:szCs w:val="17"/>
              </w:rPr>
              <w:t>EUA Dec-26 (19 May 2026)</w:t>
            </w:r>
          </w:p>
        </w:tc>
        <w:tc>
          <w:tcPr>
            <w:tcW w:w="61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06BCE2D" w14:textId="3CF2BC37" w:rsidR="008D0364" w:rsidRDefault="00000000">
            <w:r>
              <w:t>€75.02/</w:t>
            </w:r>
            <w:r w:rsidR="00410152">
              <w:t>t (</w:t>
            </w:r>
            <w:r>
              <w:t xml:space="preserve">+2.5% </w:t>
            </w:r>
            <w:r w:rsidR="00410152">
              <w:t>YoY) | May</w:t>
            </w:r>
            <w:r>
              <w:t xml:space="preserve"> range: €74–€77/t</w:t>
            </w:r>
          </w:p>
        </w:tc>
      </w:tr>
      <w:tr w:rsidR="008D0364" w14:paraId="0A9C9812"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A73D6F8" w14:textId="77777777" w:rsidR="008D0364" w:rsidRDefault="00000000">
            <w:r>
              <w:rPr>
                <w:b/>
                <w:bCs/>
                <w:color w:val="57606A"/>
                <w:sz w:val="17"/>
                <w:szCs w:val="17"/>
              </w:rPr>
              <w:t>Carbon cost per MWh (gas)</w:t>
            </w:r>
          </w:p>
        </w:tc>
        <w:tc>
          <w:tcPr>
            <w:tcW w:w="613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90AB3B2" w14:textId="77777777" w:rsidR="008D0364" w:rsidRDefault="00000000">
            <w:r>
              <w:t>€75.02 × 0.394 tCO2/MWh = €29.6/MWh embedded in power</w:t>
            </w:r>
          </w:p>
        </w:tc>
      </w:tr>
      <w:tr w:rsidR="008D0364" w14:paraId="5823F3B5"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482AD4D" w14:textId="77777777" w:rsidR="008D0364" w:rsidRDefault="00000000">
            <w:r>
              <w:rPr>
                <w:b/>
                <w:bCs/>
                <w:color w:val="57606A"/>
                <w:sz w:val="17"/>
                <w:szCs w:val="17"/>
              </w:rPr>
              <w:t>MSR withdrawal (Sep25–Aug26)</w:t>
            </w:r>
          </w:p>
        </w:tc>
        <w:tc>
          <w:tcPr>
            <w:tcW w:w="61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43F36BF" w14:textId="5A22E233" w:rsidR="008D0364" w:rsidRDefault="00000000">
            <w:r>
              <w:t xml:space="preserve">275.5 Mt removed from auction </w:t>
            </w:r>
            <w:r w:rsidR="00410152">
              <w:t>supply | TNAC</w:t>
            </w:r>
            <w:r>
              <w:t xml:space="preserve"> 2024: 1,148 Mt</w:t>
            </w:r>
          </w:p>
        </w:tc>
      </w:tr>
      <w:tr w:rsidR="008D0364" w14:paraId="02887FB3"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6495B0A" w14:textId="77777777" w:rsidR="008D0364" w:rsidRDefault="00000000">
            <w:r>
              <w:rPr>
                <w:b/>
                <w:bCs/>
                <w:color w:val="57606A"/>
                <w:sz w:val="17"/>
                <w:szCs w:val="17"/>
              </w:rPr>
              <w:t>REPowerEU auctions 2026</w:t>
            </w:r>
          </w:p>
        </w:tc>
        <w:tc>
          <w:tcPr>
            <w:tcW w:w="613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7368B3C" w14:textId="77777777" w:rsidR="008D0364" w:rsidRDefault="00000000">
            <w:r>
              <w:t>93.28 Mt front-loaded; end no later than 31 Aug 2026</w:t>
            </w:r>
          </w:p>
        </w:tc>
      </w:tr>
      <w:tr w:rsidR="008D0364" w14:paraId="708174CA"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997B617" w14:textId="77777777" w:rsidR="008D0364" w:rsidRDefault="00000000">
            <w:r>
              <w:rPr>
                <w:b/>
                <w:bCs/>
                <w:color w:val="57606A"/>
                <w:sz w:val="17"/>
                <w:szCs w:val="17"/>
              </w:rPr>
              <w:t>Post-Aug 2026 supply</w:t>
            </w:r>
          </w:p>
        </w:tc>
        <w:tc>
          <w:tcPr>
            <w:tcW w:w="6138"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C3175CF" w14:textId="77777777" w:rsidR="008D0364" w:rsidRDefault="00000000">
            <w:r>
              <w:t>Mechanically tighter from Sep 2026 — supply step-down</w:t>
            </w:r>
          </w:p>
        </w:tc>
      </w:tr>
      <w:tr w:rsidR="008D0364" w14:paraId="4D8F93D5" w14:textId="77777777">
        <w:tblPrEx>
          <w:tblCellMar>
            <w:top w:w="0" w:type="dxa"/>
            <w:bottom w:w="0" w:type="dxa"/>
          </w:tblCellMar>
        </w:tblPrEx>
        <w:tc>
          <w:tcPr>
            <w:tcW w:w="288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16A6D7C" w14:textId="77777777" w:rsidR="008D0364" w:rsidRDefault="00000000">
            <w:r>
              <w:rPr>
                <w:b/>
                <w:bCs/>
                <w:color w:val="57606A"/>
                <w:sz w:val="17"/>
                <w:szCs w:val="17"/>
              </w:rPr>
              <w:t>ETS review catalyst</w:t>
            </w:r>
          </w:p>
        </w:tc>
        <w:tc>
          <w:tcPr>
            <w:tcW w:w="6138"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AF6EA83" w14:textId="0A97D75E" w:rsidR="008D0364" w:rsidRDefault="00000000">
            <w:r>
              <w:t xml:space="preserve">EU ETS Directive broader review: July </w:t>
            </w:r>
            <w:r w:rsidR="00410152">
              <w:t>2026 | Key</w:t>
            </w:r>
            <w:r>
              <w:t xml:space="preserve"> watch date</w:t>
            </w:r>
          </w:p>
        </w:tc>
      </w:tr>
    </w:tbl>
    <w:p w14:paraId="18272FF8" w14:textId="77777777" w:rsidR="008D0364" w:rsidRDefault="008D0364">
      <w:pPr>
        <w:spacing w:after="120"/>
      </w:pPr>
    </w:p>
    <w:p w14:paraId="3267EB8D" w14:textId="181CF646" w:rsidR="008D0364" w:rsidRDefault="00000000">
      <w:pPr>
        <w:spacing w:after="100"/>
        <w:jc w:val="both"/>
      </w:pPr>
      <w:r>
        <w:t xml:space="preserve">EUA prices have surprised consensus to the downside in 2026 </w:t>
      </w:r>
      <w:r w:rsidR="00E406CE">
        <w:t>-</w:t>
      </w:r>
      <w:r>
        <w:t xml:space="preserve"> a Reuters survey from July 2025 had forecast €91/t average; actuals have printed in the €62–77 range. The underperformance reflects weak EU industrial activity reducing compliance demand, and the 1 April 2026 Commission proposal on the MSR invalidation mechanism, which the market initially read as bearish before recovering.</w:t>
      </w:r>
    </w:p>
    <w:p w14:paraId="57C44B60" w14:textId="68D0DB03" w:rsidR="008D0364" w:rsidRDefault="00000000">
      <w:pPr>
        <w:spacing w:after="100"/>
        <w:jc w:val="both"/>
      </w:pPr>
      <w:r>
        <w:t xml:space="preserve">The structural calendar for carbon is </w:t>
      </w:r>
      <w:r>
        <w:rPr>
          <w:b/>
          <w:bCs/>
        </w:rPr>
        <w:t>bullish from September 2026 onwards</w:t>
      </w:r>
      <w:r>
        <w:t>. The REPowerEU front-loaded auction programme ends by 31 August 2026. From September, the standard Linear Reduction Factor (−4.3%/year under Fit for 55) and MSR dynamics take over with a lower supply base. Any hawkish outcome in the July 2026 ETS Directive review</w:t>
      </w:r>
      <w:r w:rsidR="00E406CE">
        <w:t>,</w:t>
      </w:r>
      <w:r>
        <w:t xml:space="preserve"> particularly around CBAM free-allocation phase-out acceleration</w:t>
      </w:r>
      <w:r w:rsidR="00E406CE">
        <w:t>,</w:t>
      </w:r>
      <w:r>
        <w:t xml:space="preserve"> would provide a meaningful upward catalyst.</w:t>
      </w:r>
    </w:p>
    <w:p w14:paraId="208C82D6" w14:textId="04A215E3" w:rsidR="008D0364" w:rsidRDefault="00000000">
      <w:pPr>
        <w:spacing w:after="100"/>
        <w:jc w:val="both"/>
      </w:pPr>
      <w:r>
        <w:t xml:space="preserve">Carbon and gas prices are positively </w:t>
      </w:r>
      <w:r w:rsidR="00E406CE">
        <w:t>correlated,</w:t>
      </w:r>
      <w:r>
        <w:t xml:space="preserve"> but the relationship is </w:t>
      </w:r>
      <w:proofErr w:type="gramStart"/>
      <w:r>
        <w:t>regime-dependent</w:t>
      </w:r>
      <w:proofErr w:type="gramEnd"/>
      <w:r>
        <w:t>. Currently, TTF moves are larger in percentage terms than EUA moves. Industrial demand weakness remains the primary EUA headwind.</w:t>
      </w:r>
    </w:p>
    <w:p w14:paraId="498400DE" w14:textId="77777777" w:rsidR="008D0364" w:rsidRDefault="008D0364">
      <w:pPr>
        <w:pBdr>
          <w:bottom w:val="single" w:sz="4" w:space="1" w:color="D0D7DE"/>
        </w:pBdr>
        <w:spacing w:after="120"/>
      </w:pPr>
    </w:p>
    <w:p w14:paraId="6822162B" w14:textId="698170BD" w:rsidR="008D0364" w:rsidRDefault="00E406CE">
      <w:pPr>
        <w:pStyle w:val="Heading1"/>
      </w:pPr>
      <w:r>
        <w:t>3 | Power</w:t>
      </w:r>
      <w:r w:rsidR="00000000">
        <w:t xml:space="preserve"> Curve Implications</w:t>
      </w:r>
    </w:p>
    <w:p w14:paraId="7EB9616F" w14:textId="77777777" w:rsidR="008D0364" w:rsidRDefault="00000000">
      <w:pPr>
        <w:pStyle w:val="Heading2"/>
      </w:pPr>
      <w:r>
        <w:t>Clean Spark Spread Arithmetic (German Cal-27)</w:t>
      </w:r>
    </w:p>
    <w:p w14:paraId="28DBDC28" w14:textId="6254A5B9" w:rsidR="008D0364" w:rsidRDefault="00E406CE">
      <w:pPr>
        <w:spacing w:after="80"/>
        <w:ind w:left="480"/>
      </w:pPr>
      <m:oMathPara>
        <m:oMath>
          <m:r>
            <w:rPr>
              <w:rFonts w:ascii="Cambria Math" w:eastAsia="Courier New" w:hAnsi="Cambria Math" w:cs="Courier New"/>
              <w:color w:val="1A7F37"/>
            </w:rPr>
            <m:t>CSS =  Power  -  (Gas ÷ Efficiency)  -  (Emission Factor × Carbon)</m:t>
          </m:r>
        </m:oMath>
      </m:oMathPara>
    </w:p>
    <w:p w14:paraId="1599B5B0" w14:textId="70893E02" w:rsidR="008D0364" w:rsidRDefault="00000000">
      <w:pPr>
        <w:spacing w:after="100"/>
        <w:jc w:val="both"/>
      </w:pPr>
      <w:r>
        <w:t>Using German Cal-27 = €92.75/</w:t>
      </w:r>
      <w:r w:rsidR="00E406CE">
        <w:t xml:space="preserve">MWh </w:t>
      </w:r>
      <w:proofErr w:type="gramStart"/>
      <w:r w:rsidR="00E406CE">
        <w:t>·</w:t>
      </w:r>
      <w:r>
        <w:t xml:space="preserve">  TTF</w:t>
      </w:r>
      <w:proofErr w:type="gramEnd"/>
      <w:r>
        <w:t xml:space="preserve"> Cal-27 proxy ≈ €37/</w:t>
      </w:r>
      <w:proofErr w:type="gramStart"/>
      <w:r>
        <w:t>MWh  ·</w:t>
      </w:r>
      <w:proofErr w:type="gramEnd"/>
      <w:r>
        <w:t xml:space="preserve">  EUA = €75.02/</w:t>
      </w:r>
      <w:proofErr w:type="gramStart"/>
      <w:r>
        <w:t>t  ·</w:t>
      </w:r>
      <w:proofErr w:type="gramEnd"/>
      <w:r>
        <w:t xml:space="preserve">  η = 49.13% (Argus </w:t>
      </w:r>
      <w:proofErr w:type="gramStart"/>
      <w:r>
        <w:t>convention)  ·</w:t>
      </w:r>
      <w:proofErr w:type="gramEnd"/>
      <w:r>
        <w:t xml:space="preserve">  EF = 0.394 tCO2/MWh:</w:t>
      </w:r>
    </w:p>
    <w:p w14:paraId="44DBDB88" w14:textId="4D1B0410" w:rsidR="008D0364" w:rsidRDefault="00E406CE">
      <w:pPr>
        <w:spacing w:after="80"/>
        <w:ind w:left="480"/>
      </w:pPr>
      <m:oMathPara>
        <m:oMath>
          <m:r>
            <w:rPr>
              <w:rFonts w:ascii="Cambria Math" w:eastAsia="Courier New" w:hAnsi="Cambria Math" w:cs="Courier New"/>
              <w:color w:val="1A7F37"/>
            </w:rPr>
            <m:t>CSS  =  92.75  -  (37.00 ÷ 0.4913)  -  (0.394 × 75.02)  =  92.75  -  75.31  -  29.56  =  -€12.12/MWh</m:t>
          </m:r>
        </m:oMath>
      </m:oMathPara>
    </w:p>
    <w:p w14:paraId="4181CBE5" w14:textId="77777777" w:rsidR="008D0364" w:rsidRDefault="00000000">
      <w:pPr>
        <w:spacing w:after="100"/>
        <w:jc w:val="both"/>
      </w:pPr>
      <w:r>
        <w:t>A negative Cal-27 CSS signals that the forward power curve does not compensate gas generators for their expected input costs at current prices. Forward power is structurally compressed by renewable penetration expectations even as gas remains the real-time marginal price-setter in stressed hours.</w:t>
      </w:r>
    </w:p>
    <w:p w14:paraId="2B77E1B7" w14:textId="77777777" w:rsidR="008D0364" w:rsidRDefault="00000000">
      <w:pPr>
        <w:pStyle w:val="Heading2"/>
      </w:pPr>
      <w:r>
        <w:t>Breakeven Carbon in Cal-27 Power</w:t>
      </w:r>
    </w:p>
    <w:p w14:paraId="311AF4EF" w14:textId="2D6D05BC" w:rsidR="008D0364" w:rsidRDefault="00E406CE">
      <w:pPr>
        <w:spacing w:after="80"/>
        <w:ind w:left="480"/>
      </w:pPr>
      <m:oMathPara>
        <m:oMath>
          <m:r>
            <w:rPr>
              <w:rFonts w:ascii="Cambria Math" w:eastAsia="Courier New" w:hAnsi="Cambria Math" w:cs="Courier New"/>
              <w:color w:val="1A7F37"/>
            </w:rPr>
            <m:t>Solving CSS = 0:  EUA*  =  (Power - Gas/η) ÷ EF  =  (92.75 - 75.31) ÷ 0.394  =  €44.3/t</m:t>
          </m:r>
        </m:oMath>
      </m:oMathPara>
    </w:p>
    <w:p w14:paraId="72334B4A" w14:textId="11B089D5" w:rsidR="008D0364" w:rsidRDefault="00000000">
      <w:pPr>
        <w:spacing w:after="100"/>
        <w:jc w:val="both"/>
      </w:pPr>
      <w:r>
        <w:t xml:space="preserve">German Cal-27 power is therefore pricing in an implied carbon of ~€44/t — far below spot EUA at €75/t. This </w:t>
      </w:r>
      <w:r>
        <w:rPr>
          <w:b/>
          <w:bCs/>
        </w:rPr>
        <w:t>€31/t gap</w:t>
      </w:r>
      <w:r>
        <w:t xml:space="preserve"> represents either: (a) the market expecting EUA to fall sharply by 2027, or (b) an expectation that renewables will displace gas in enough hours to compress the baseload average. Given the MSR supply tightening from September 2026 and the LRF trajectory, interpretation (a) looks stretched. In a scenario where storage is 19pp below seasonal norms and a cold winter </w:t>
      </w:r>
      <w:r w:rsidR="00E406CE">
        <w:t>arrives;</w:t>
      </w:r>
      <w:r>
        <w:t xml:space="preserve"> the power curve has meaningful upside from current levels.</w:t>
      </w:r>
    </w:p>
    <w:p w14:paraId="34DC4740" w14:textId="77777777" w:rsidR="008D0364" w:rsidRDefault="00000000">
      <w:pPr>
        <w:pStyle w:val="Heading2"/>
      </w:pPr>
      <w:r>
        <w:t>Prompt-Wagging-the-Curve Transmission</w:t>
      </w:r>
    </w:p>
    <w:p w14:paraId="01A63559" w14:textId="08E8421F" w:rsidR="008D0364" w:rsidRDefault="00000000">
      <w:pPr>
        <w:spacing w:after="100"/>
        <w:jc w:val="both"/>
      </w:pPr>
      <w:r>
        <w:t xml:space="preserve">The TTF front-month spike from €26/MWh in July 2025 to €51.82/MWh today has transmitted into the forward curve: German Cal-27 has risen from ~€68/MWh in May 2025 to €92.75/MWh today </w:t>
      </w:r>
      <w:r w:rsidR="00E406CE">
        <w:t>-</w:t>
      </w:r>
      <w:r>
        <w:t xml:space="preserve"> a €24.75/MWh move against a €25.82/MWh TTF move, implying a near-1:1 prompt-to-curve pass-through. In the current stressed-storage environment, further TTF prompt spikes will continue to pull Cal-27 higher.</w:t>
      </w:r>
    </w:p>
    <w:p w14:paraId="60595BAA" w14:textId="77777777" w:rsidR="008D0364" w:rsidRDefault="008D0364">
      <w:pPr>
        <w:pBdr>
          <w:bottom w:val="single" w:sz="4" w:space="1" w:color="D0D7DE"/>
        </w:pBdr>
        <w:spacing w:after="120"/>
      </w:pPr>
    </w:p>
    <w:p w14:paraId="5F1E7BC6" w14:textId="77777777" w:rsidR="008D0364" w:rsidRDefault="00000000">
      <w:pPr>
        <w:spacing w:after="80"/>
        <w:jc w:val="center"/>
      </w:pPr>
      <w:r>
        <w:rPr>
          <w:noProof/>
        </w:rPr>
        <w:lastRenderedPageBreak/>
        <w:drawing>
          <wp:inline distT="0" distB="0" distL="0" distR="0" wp14:anchorId="2774F31D" wp14:editId="4C9F5A0E">
            <wp:extent cx="6191250" cy="3096250"/>
            <wp:effectExtent l="0" t="0" r="0" b="0"/>
            <wp:docPr id="530855129" name="Picture 53085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096250"/>
                    </a:xfrm>
                    <a:prstGeom prst="rect">
                      <a:avLst/>
                    </a:prstGeom>
                  </pic:spPr>
                </pic:pic>
              </a:graphicData>
            </a:graphic>
          </wp:inline>
        </w:drawing>
      </w:r>
    </w:p>
    <w:p w14:paraId="2F7F3944" w14:textId="39D7EF36" w:rsidR="008D0364" w:rsidRDefault="00000000">
      <w:pPr>
        <w:spacing w:after="160"/>
        <w:jc w:val="center"/>
      </w:pPr>
      <w:r>
        <w:rPr>
          <w:i/>
          <w:iCs/>
          <w:color w:val="57606A"/>
          <w:sz w:val="15"/>
          <w:szCs w:val="15"/>
        </w:rPr>
        <w:t xml:space="preserve">Chart 2: TTF M+1 (blue), EUA Dec-26 (red, RHS), German Cal-27 baseload (green) </w:t>
      </w:r>
      <w:r w:rsidR="00E406CE">
        <w:rPr>
          <w:i/>
          <w:iCs/>
          <w:color w:val="57606A"/>
          <w:sz w:val="15"/>
          <w:szCs w:val="15"/>
        </w:rPr>
        <w:t>-</w:t>
      </w:r>
      <w:r>
        <w:rPr>
          <w:i/>
          <w:iCs/>
          <w:color w:val="57606A"/>
          <w:sz w:val="15"/>
          <w:szCs w:val="15"/>
        </w:rPr>
        <w:t xml:space="preserve"> 12-month lookback.</w:t>
      </w:r>
    </w:p>
    <w:p w14:paraId="3EC4B37B" w14:textId="77777777" w:rsidR="008D0364" w:rsidRDefault="008D0364">
      <w:pPr>
        <w:pBdr>
          <w:bottom w:val="single" w:sz="4" w:space="1" w:color="D0D7DE"/>
        </w:pBdr>
        <w:spacing w:after="120"/>
      </w:pPr>
    </w:p>
    <w:p w14:paraId="1B263DFE" w14:textId="33AE977D" w:rsidR="008D0364" w:rsidRDefault="00E406CE">
      <w:pPr>
        <w:pStyle w:val="Heading1"/>
      </w:pPr>
      <w:r>
        <w:t xml:space="preserve">4 </w:t>
      </w:r>
      <w:proofErr w:type="gramStart"/>
      <w:r>
        <w:t>|</w:t>
      </w:r>
      <w:r w:rsidR="00000000">
        <w:t xml:space="preserve">  Monitor</w:t>
      </w:r>
      <w:proofErr w:type="gramEnd"/>
      <w:r w:rsidR="00000000">
        <w:t xml:space="preserve"> Metrics &amp; Risk Skew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1444"/>
        <w:gridCol w:w="1444"/>
        <w:gridCol w:w="3610"/>
      </w:tblGrid>
      <w:tr w:rsidR="008D0364" w14:paraId="07D4D3F5" w14:textId="77777777">
        <w:tblPrEx>
          <w:tblCellMar>
            <w:top w:w="0" w:type="dxa"/>
            <w:bottom w:w="0" w:type="dxa"/>
          </w:tblCellMar>
        </w:tblPrEx>
        <w:trPr>
          <w:tblHeader/>
        </w:trPr>
        <w:tc>
          <w:tcPr>
            <w:tcW w:w="2527" w:type="dxa"/>
            <w:tcBorders>
              <w:top w:val="single" w:sz="1" w:space="0" w:color="D0D7DE"/>
              <w:left w:val="single" w:sz="1" w:space="0" w:color="D0D7DE"/>
              <w:bottom w:val="single" w:sz="1" w:space="0" w:color="D0D7DE"/>
              <w:right w:val="single" w:sz="1" w:space="0" w:color="D0D7DE"/>
            </w:tcBorders>
            <w:shd w:val="clear" w:color="auto" w:fill="D0D7DE"/>
            <w:tcMar>
              <w:top w:w="80" w:type="dxa"/>
              <w:left w:w="100" w:type="dxa"/>
              <w:bottom w:w="80" w:type="dxa"/>
              <w:right w:w="100" w:type="dxa"/>
            </w:tcMar>
          </w:tcPr>
          <w:p w14:paraId="2524F79E" w14:textId="77777777" w:rsidR="008D0364" w:rsidRDefault="00000000">
            <w:r>
              <w:rPr>
                <w:b/>
                <w:bCs/>
                <w:color w:val="57606A"/>
                <w:sz w:val="16"/>
                <w:szCs w:val="16"/>
              </w:rPr>
              <w:t>Metric</w:t>
            </w:r>
          </w:p>
        </w:tc>
        <w:tc>
          <w:tcPr>
            <w:tcW w:w="1444" w:type="dxa"/>
            <w:tcBorders>
              <w:top w:val="single" w:sz="1" w:space="0" w:color="D0D7DE"/>
              <w:left w:val="single" w:sz="1" w:space="0" w:color="D0D7DE"/>
              <w:bottom w:val="single" w:sz="1" w:space="0" w:color="D0D7DE"/>
              <w:right w:val="single" w:sz="1" w:space="0" w:color="D0D7DE"/>
            </w:tcBorders>
            <w:shd w:val="clear" w:color="auto" w:fill="D0D7DE"/>
            <w:tcMar>
              <w:top w:w="80" w:type="dxa"/>
              <w:left w:w="100" w:type="dxa"/>
              <w:bottom w:w="80" w:type="dxa"/>
              <w:right w:w="100" w:type="dxa"/>
            </w:tcMar>
          </w:tcPr>
          <w:p w14:paraId="163C20AC" w14:textId="77777777" w:rsidR="008D0364" w:rsidRDefault="00000000">
            <w:r>
              <w:rPr>
                <w:b/>
                <w:bCs/>
                <w:color w:val="57606A"/>
                <w:sz w:val="16"/>
                <w:szCs w:val="16"/>
              </w:rPr>
              <w:t>Value</w:t>
            </w:r>
          </w:p>
        </w:tc>
        <w:tc>
          <w:tcPr>
            <w:tcW w:w="1444" w:type="dxa"/>
            <w:tcBorders>
              <w:top w:val="single" w:sz="1" w:space="0" w:color="D0D7DE"/>
              <w:left w:val="single" w:sz="1" w:space="0" w:color="D0D7DE"/>
              <w:bottom w:val="single" w:sz="1" w:space="0" w:color="D0D7DE"/>
              <w:right w:val="single" w:sz="1" w:space="0" w:color="D0D7DE"/>
            </w:tcBorders>
            <w:shd w:val="clear" w:color="auto" w:fill="D0D7DE"/>
            <w:tcMar>
              <w:top w:w="80" w:type="dxa"/>
              <w:left w:w="100" w:type="dxa"/>
              <w:bottom w:w="80" w:type="dxa"/>
              <w:right w:w="100" w:type="dxa"/>
            </w:tcMar>
          </w:tcPr>
          <w:p w14:paraId="1BBE29C6" w14:textId="77777777" w:rsidR="008D0364" w:rsidRDefault="00000000">
            <w:r>
              <w:rPr>
                <w:b/>
                <w:bCs/>
                <w:color w:val="57606A"/>
                <w:sz w:val="16"/>
                <w:szCs w:val="16"/>
              </w:rPr>
              <w:t>Signal</w:t>
            </w:r>
          </w:p>
        </w:tc>
        <w:tc>
          <w:tcPr>
            <w:tcW w:w="3610" w:type="dxa"/>
            <w:tcBorders>
              <w:top w:val="single" w:sz="1" w:space="0" w:color="D0D7DE"/>
              <w:left w:val="single" w:sz="1" w:space="0" w:color="D0D7DE"/>
              <w:bottom w:val="single" w:sz="1" w:space="0" w:color="D0D7DE"/>
              <w:right w:val="single" w:sz="1" w:space="0" w:color="D0D7DE"/>
            </w:tcBorders>
            <w:shd w:val="clear" w:color="auto" w:fill="D0D7DE"/>
            <w:tcMar>
              <w:top w:w="80" w:type="dxa"/>
              <w:left w:w="100" w:type="dxa"/>
              <w:bottom w:w="80" w:type="dxa"/>
              <w:right w:w="100" w:type="dxa"/>
            </w:tcMar>
          </w:tcPr>
          <w:p w14:paraId="695548C0" w14:textId="77777777" w:rsidR="008D0364" w:rsidRDefault="00000000">
            <w:r>
              <w:rPr>
                <w:b/>
                <w:bCs/>
                <w:color w:val="57606A"/>
                <w:sz w:val="16"/>
                <w:szCs w:val="16"/>
              </w:rPr>
              <w:t>Relevance</w:t>
            </w:r>
          </w:p>
        </w:tc>
      </w:tr>
      <w:tr w:rsidR="008D0364" w14:paraId="0976D671"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0AD40831" w14:textId="77777777" w:rsidR="008D0364" w:rsidRDefault="00000000">
            <w:r>
              <w:rPr>
                <w:sz w:val="17"/>
                <w:szCs w:val="17"/>
              </w:rPr>
              <w:t>TTF M+1 (€/MWh)</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034AFD65" w14:textId="77777777" w:rsidR="008D0364" w:rsidRDefault="00000000">
            <w:r>
              <w:rPr>
                <w:b/>
                <w:bCs/>
                <w:color w:val="0969DA"/>
                <w:sz w:val="17"/>
                <w:szCs w:val="17"/>
              </w:rPr>
              <w:t>€51.82</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6EE7CB01" w14:textId="77777777" w:rsidR="008D0364" w:rsidRDefault="00000000">
            <w:r>
              <w:rPr>
                <w:b/>
                <w:bCs/>
                <w:color w:val="1A7F37"/>
                <w:sz w:val="16"/>
                <w:szCs w:val="16"/>
              </w:rPr>
              <w:t>▲ BULLISH</w:t>
            </w:r>
          </w:p>
        </w:tc>
        <w:tc>
          <w:tcPr>
            <w:tcW w:w="361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4D63D1DC" w14:textId="77777777" w:rsidR="008D0364" w:rsidRDefault="00000000">
            <w:r>
              <w:rPr>
                <w:color w:val="57606A"/>
                <w:sz w:val="16"/>
                <w:szCs w:val="16"/>
              </w:rPr>
              <w:t>Primary power price input; 40%+ above year-ago</w:t>
            </w:r>
          </w:p>
        </w:tc>
      </w:tr>
      <w:tr w:rsidR="008D0364" w14:paraId="5E2659F7"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2F0D67A5" w14:textId="77777777" w:rsidR="008D0364" w:rsidRDefault="00000000">
            <w:r>
              <w:rPr>
                <w:sz w:val="17"/>
                <w:szCs w:val="17"/>
              </w:rPr>
              <w:t>EU Storage vs 5-yr avg</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304E006E" w14:textId="77777777" w:rsidR="008D0364" w:rsidRDefault="00000000">
            <w:r>
              <w:rPr>
                <w:b/>
                <w:bCs/>
                <w:color w:val="0969DA"/>
                <w:sz w:val="17"/>
                <w:szCs w:val="17"/>
              </w:rPr>
              <w:t>−19pp</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3B734D7C" w14:textId="77777777" w:rsidR="008D0364" w:rsidRDefault="00000000">
            <w:r>
              <w:rPr>
                <w:b/>
                <w:bCs/>
                <w:color w:val="1A7F37"/>
                <w:sz w:val="16"/>
                <w:szCs w:val="16"/>
              </w:rPr>
              <w:t>▲ BULLISH</w:t>
            </w:r>
          </w:p>
        </w:tc>
        <w:tc>
          <w:tcPr>
            <w:tcW w:w="361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51705980" w14:textId="77777777" w:rsidR="008D0364" w:rsidRDefault="00000000">
            <w:r>
              <w:rPr>
                <w:color w:val="57606A"/>
                <w:sz w:val="16"/>
                <w:szCs w:val="16"/>
              </w:rPr>
              <w:t>Low buffer amplifies any demand shock</w:t>
            </w:r>
          </w:p>
        </w:tc>
      </w:tr>
      <w:tr w:rsidR="008D0364" w14:paraId="03BC0AF5"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00564A1A" w14:textId="77777777" w:rsidR="008D0364" w:rsidRDefault="00000000">
            <w:r>
              <w:rPr>
                <w:sz w:val="17"/>
                <w:szCs w:val="17"/>
              </w:rPr>
              <w:t>Required injection pace</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0965741B" w14:textId="77777777" w:rsidR="008D0364" w:rsidRDefault="00000000">
            <w:r>
              <w:rPr>
                <w:b/>
                <w:bCs/>
                <w:color w:val="0969DA"/>
                <w:sz w:val="17"/>
                <w:szCs w:val="17"/>
              </w:rPr>
              <w:t>3,516 GWh/d</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1423ED2E" w14:textId="77777777" w:rsidR="008D0364" w:rsidRDefault="00000000">
            <w:r>
              <w:rPr>
                <w:b/>
                <w:bCs/>
                <w:color w:val="CF222E"/>
                <w:sz w:val="16"/>
                <w:szCs w:val="16"/>
              </w:rPr>
              <w:t>▼ BEARISH</w:t>
            </w:r>
          </w:p>
        </w:tc>
        <w:tc>
          <w:tcPr>
            <w:tcW w:w="361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414EB67F" w14:textId="77777777" w:rsidR="008D0364" w:rsidRDefault="00000000">
            <w:r>
              <w:rPr>
                <w:color w:val="57606A"/>
                <w:sz w:val="16"/>
                <w:szCs w:val="16"/>
              </w:rPr>
              <w:t>Current pace well short; 80% target at risk</w:t>
            </w:r>
          </w:p>
        </w:tc>
      </w:tr>
      <w:tr w:rsidR="008D0364" w14:paraId="4384658F"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5FFD0882" w14:textId="77777777" w:rsidR="008D0364" w:rsidRDefault="00000000">
            <w:r>
              <w:rPr>
                <w:sz w:val="17"/>
                <w:szCs w:val="17"/>
              </w:rPr>
              <w:t>EUA Dec-26 (€/t)</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093C4337" w14:textId="77777777" w:rsidR="008D0364" w:rsidRDefault="00000000">
            <w:r>
              <w:rPr>
                <w:b/>
                <w:bCs/>
                <w:color w:val="0969DA"/>
                <w:sz w:val="17"/>
                <w:szCs w:val="17"/>
              </w:rPr>
              <w:t>€75.02</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67EB3C3E" w14:textId="77777777" w:rsidR="008D0364" w:rsidRDefault="00000000">
            <w:r>
              <w:rPr>
                <w:b/>
                <w:bCs/>
                <w:color w:val="9A6700"/>
                <w:sz w:val="16"/>
                <w:szCs w:val="16"/>
              </w:rPr>
              <w:t>→ NEUTRAL</w:t>
            </w:r>
          </w:p>
        </w:tc>
        <w:tc>
          <w:tcPr>
            <w:tcW w:w="361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4672F741" w14:textId="77777777" w:rsidR="008D0364" w:rsidRDefault="00000000">
            <w:r>
              <w:rPr>
                <w:color w:val="57606A"/>
                <w:sz w:val="16"/>
                <w:szCs w:val="16"/>
              </w:rPr>
              <w:t>+€30/MWh cost; Sep supply tightening bullish</w:t>
            </w:r>
          </w:p>
        </w:tc>
      </w:tr>
      <w:tr w:rsidR="008D0364" w14:paraId="281E1F8A"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4938FCD6" w14:textId="77777777" w:rsidR="008D0364" w:rsidRDefault="00000000">
            <w:r>
              <w:rPr>
                <w:sz w:val="17"/>
                <w:szCs w:val="17"/>
              </w:rPr>
              <w:t>TTF Summer-Winter spread</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2A486813" w14:textId="77777777" w:rsidR="008D0364" w:rsidRDefault="00000000">
            <w:r>
              <w:rPr>
                <w:b/>
                <w:bCs/>
                <w:color w:val="0969DA"/>
                <w:sz w:val="17"/>
                <w:szCs w:val="17"/>
              </w:rPr>
              <w:t>Backwardated</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36CD5B92" w14:textId="77777777" w:rsidR="008D0364" w:rsidRDefault="00000000">
            <w:r>
              <w:rPr>
                <w:b/>
                <w:bCs/>
                <w:color w:val="1A7F37"/>
                <w:sz w:val="16"/>
                <w:szCs w:val="16"/>
              </w:rPr>
              <w:t>▲ BULLISH</w:t>
            </w:r>
          </w:p>
        </w:tc>
        <w:tc>
          <w:tcPr>
            <w:tcW w:w="361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7F3ED27E" w14:textId="77777777" w:rsidR="008D0364" w:rsidRDefault="00000000">
            <w:r>
              <w:rPr>
                <w:color w:val="57606A"/>
                <w:sz w:val="16"/>
                <w:szCs w:val="16"/>
              </w:rPr>
              <w:t>Undermines storage refill economics</w:t>
            </w:r>
          </w:p>
        </w:tc>
      </w:tr>
      <w:tr w:rsidR="008D0364" w14:paraId="1BD3B881"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26ACBD09" w14:textId="77777777" w:rsidR="008D0364" w:rsidRDefault="00000000">
            <w:r>
              <w:rPr>
                <w:sz w:val="17"/>
                <w:szCs w:val="17"/>
              </w:rPr>
              <w:t>Cal-27 Implied EUA</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4BDCDC2F" w14:textId="77777777" w:rsidR="008D0364" w:rsidRDefault="00000000">
            <w:r>
              <w:rPr>
                <w:b/>
                <w:bCs/>
                <w:color w:val="0969DA"/>
                <w:sz w:val="17"/>
                <w:szCs w:val="17"/>
              </w:rPr>
              <w:t>~€44/t</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72F7CFB6" w14:textId="77777777" w:rsidR="008D0364" w:rsidRDefault="00000000">
            <w:r>
              <w:rPr>
                <w:b/>
                <w:bCs/>
                <w:color w:val="9A6700"/>
                <w:sz w:val="16"/>
                <w:szCs w:val="16"/>
              </w:rPr>
              <w:t>→ NEUTRAL</w:t>
            </w:r>
          </w:p>
        </w:tc>
        <w:tc>
          <w:tcPr>
            <w:tcW w:w="361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27E874C0" w14:textId="77777777" w:rsidR="008D0364" w:rsidRDefault="00000000">
            <w:r>
              <w:rPr>
                <w:color w:val="57606A"/>
                <w:sz w:val="16"/>
                <w:szCs w:val="16"/>
              </w:rPr>
              <w:t>€31 discount to spot; gap is a risk premium</w:t>
            </w:r>
          </w:p>
        </w:tc>
      </w:tr>
      <w:tr w:rsidR="008D0364" w14:paraId="108E3DA6"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2459DCAB" w14:textId="77777777" w:rsidR="008D0364" w:rsidRDefault="00000000">
            <w:r>
              <w:rPr>
                <w:sz w:val="17"/>
                <w:szCs w:val="17"/>
              </w:rPr>
              <w:t>German Cal-27 CSS</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2673619E" w14:textId="77777777" w:rsidR="008D0364" w:rsidRDefault="00000000">
            <w:r>
              <w:rPr>
                <w:b/>
                <w:bCs/>
                <w:color w:val="0969DA"/>
                <w:sz w:val="17"/>
                <w:szCs w:val="17"/>
              </w:rPr>
              <w:t>~−€12/MWh</w:t>
            </w:r>
          </w:p>
        </w:tc>
        <w:tc>
          <w:tcPr>
            <w:tcW w:w="1444"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3374A78B" w14:textId="77777777" w:rsidR="008D0364" w:rsidRDefault="00000000">
            <w:r>
              <w:rPr>
                <w:b/>
                <w:bCs/>
                <w:color w:val="9A6700"/>
                <w:sz w:val="16"/>
                <w:szCs w:val="16"/>
              </w:rPr>
              <w:t>→ NEUTRAL</w:t>
            </w:r>
          </w:p>
        </w:tc>
        <w:tc>
          <w:tcPr>
            <w:tcW w:w="361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00" w:type="dxa"/>
              <w:bottom w:w="80" w:type="dxa"/>
              <w:right w:w="100" w:type="dxa"/>
            </w:tcMar>
          </w:tcPr>
          <w:p w14:paraId="1D4C3B5E" w14:textId="77777777" w:rsidR="008D0364" w:rsidRDefault="00000000">
            <w:r>
              <w:rPr>
                <w:color w:val="57606A"/>
                <w:sz w:val="16"/>
                <w:szCs w:val="16"/>
              </w:rPr>
              <w:t xml:space="preserve">Negative margin; gas plants price-takers </w:t>
            </w:r>
            <w:proofErr w:type="spellStart"/>
            <w:r>
              <w:rPr>
                <w:color w:val="57606A"/>
                <w:sz w:val="16"/>
                <w:szCs w:val="16"/>
              </w:rPr>
              <w:t>fwd</w:t>
            </w:r>
            <w:proofErr w:type="spellEnd"/>
          </w:p>
        </w:tc>
      </w:tr>
      <w:tr w:rsidR="008D0364" w14:paraId="321F63DD" w14:textId="77777777">
        <w:tblPrEx>
          <w:tblCellMar>
            <w:top w:w="0" w:type="dxa"/>
            <w:bottom w:w="0" w:type="dxa"/>
          </w:tblCellMar>
        </w:tblPrEx>
        <w:tc>
          <w:tcPr>
            <w:tcW w:w="2527"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3BDFBB22" w14:textId="77777777" w:rsidR="008D0364" w:rsidRDefault="00000000">
            <w:r>
              <w:rPr>
                <w:sz w:val="17"/>
                <w:szCs w:val="17"/>
              </w:rPr>
              <w:t>Hormuz situation</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111AD92D" w14:textId="77777777" w:rsidR="008D0364" w:rsidRDefault="00000000">
            <w:r>
              <w:rPr>
                <w:b/>
                <w:bCs/>
                <w:color w:val="0969DA"/>
                <w:sz w:val="17"/>
                <w:szCs w:val="17"/>
              </w:rPr>
              <w:t>Unstable</w:t>
            </w:r>
          </w:p>
        </w:tc>
        <w:tc>
          <w:tcPr>
            <w:tcW w:w="1444"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4E0A544F" w14:textId="77777777" w:rsidR="008D0364" w:rsidRDefault="00000000">
            <w:r>
              <w:rPr>
                <w:b/>
                <w:bCs/>
                <w:color w:val="1A7F37"/>
                <w:sz w:val="16"/>
                <w:szCs w:val="16"/>
              </w:rPr>
              <w:t>▲ BULLISH</w:t>
            </w:r>
          </w:p>
        </w:tc>
        <w:tc>
          <w:tcPr>
            <w:tcW w:w="361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00" w:type="dxa"/>
              <w:bottom w:w="80" w:type="dxa"/>
              <w:right w:w="100" w:type="dxa"/>
            </w:tcMar>
          </w:tcPr>
          <w:p w14:paraId="7D51470B" w14:textId="77777777" w:rsidR="008D0364" w:rsidRDefault="00000000">
            <w:r>
              <w:rPr>
                <w:color w:val="57606A"/>
                <w:sz w:val="16"/>
                <w:szCs w:val="16"/>
              </w:rPr>
              <w:t>Any re-escalation = immediate TTF +5–10€</w:t>
            </w:r>
          </w:p>
        </w:tc>
      </w:tr>
    </w:tbl>
    <w:p w14:paraId="7946DA4A" w14:textId="77777777" w:rsidR="008D0364" w:rsidRDefault="008D0364">
      <w:pPr>
        <w:spacing w:after="160"/>
      </w:pPr>
    </w:p>
    <w:p w14:paraId="2E315440" w14:textId="77777777" w:rsidR="008D0364" w:rsidRDefault="00000000">
      <w:pPr>
        <w:pStyle w:val="Heading2"/>
      </w:pPr>
      <w:r>
        <w:t>Upside risks to power forwards (bullish)</w:t>
      </w:r>
    </w:p>
    <w:p w14:paraId="3579EF65" w14:textId="6703319F" w:rsidR="008D0364" w:rsidRDefault="00000000">
      <w:pPr>
        <w:pStyle w:val="ListParagraph"/>
        <w:numPr>
          <w:ilvl w:val="0"/>
          <w:numId w:val="2"/>
        </w:numPr>
        <w:spacing w:after="80"/>
      </w:pPr>
      <w:r>
        <w:rPr>
          <w:b/>
          <w:bCs/>
        </w:rPr>
        <w:t>Cold autumn onset (Oct 2026)</w:t>
      </w:r>
      <w:r>
        <w:t xml:space="preserve"> </w:t>
      </w:r>
      <w:r w:rsidR="00E406CE">
        <w:t>-</w:t>
      </w:r>
      <w:r>
        <w:t xml:space="preserve"> Storage entering winter at 70% vs 90% target means any cold spell drives immediate price spikes. Every 1pp below seasonal norm </w:t>
      </w:r>
      <w:r w:rsidR="00E406CE">
        <w:t>on</w:t>
      </w:r>
      <w:r>
        <w:t xml:space="preserve"> 1 Nov historically adds €3</w:t>
      </w:r>
      <w:r w:rsidR="00E406CE">
        <w:t>-</w:t>
      </w:r>
      <w:r>
        <w:t>5/MWh to front-winter power.</w:t>
      </w:r>
    </w:p>
    <w:p w14:paraId="21E1CEDC" w14:textId="0DB7C38B" w:rsidR="008D0364" w:rsidRDefault="00000000">
      <w:pPr>
        <w:pStyle w:val="ListParagraph"/>
        <w:numPr>
          <w:ilvl w:val="0"/>
          <w:numId w:val="2"/>
        </w:numPr>
        <w:spacing w:after="80"/>
      </w:pPr>
      <w:r>
        <w:rPr>
          <w:b/>
          <w:bCs/>
        </w:rPr>
        <w:t>Hormuz re-escalation or Qatar repair delays</w:t>
      </w:r>
      <w:r>
        <w:t xml:space="preserve"> </w:t>
      </w:r>
      <w:r w:rsidR="00E406CE">
        <w:t>-</w:t>
      </w:r>
      <w:r>
        <w:t xml:space="preserve"> TTF could retest €60+; Cal-27 power at €116 was the March peak. The physical market cannot quickly substitute 17% of LNG supply.</w:t>
      </w:r>
    </w:p>
    <w:p w14:paraId="6EC9873D" w14:textId="5F193793" w:rsidR="008D0364" w:rsidRDefault="00000000">
      <w:pPr>
        <w:pStyle w:val="ListParagraph"/>
        <w:numPr>
          <w:ilvl w:val="0"/>
          <w:numId w:val="2"/>
        </w:numPr>
        <w:spacing w:after="80"/>
      </w:pPr>
      <w:r>
        <w:rPr>
          <w:b/>
          <w:bCs/>
        </w:rPr>
        <w:t>Hawkish ETS Directive review (July 2026)</w:t>
      </w:r>
      <w:r>
        <w:t xml:space="preserve"> </w:t>
      </w:r>
      <w:r w:rsidR="00E406CE">
        <w:t>-</w:t>
      </w:r>
      <w:r>
        <w:t xml:space="preserve"> Any acceleration in free-allocation phase-out or stronger LRF path would lift EUA toward €90+, adding €6/MWh to power variable costs.</w:t>
      </w:r>
    </w:p>
    <w:p w14:paraId="44562DA4" w14:textId="76EDB86A" w:rsidR="008D0364" w:rsidRDefault="00000000">
      <w:pPr>
        <w:pStyle w:val="ListParagraph"/>
        <w:numPr>
          <w:ilvl w:val="0"/>
          <w:numId w:val="2"/>
        </w:numPr>
        <w:spacing w:after="80"/>
      </w:pPr>
      <w:r>
        <w:rPr>
          <w:b/>
          <w:bCs/>
        </w:rPr>
        <w:t>Norwegian maintenance season (Aug–Sep)</w:t>
      </w:r>
      <w:r>
        <w:t xml:space="preserve"> </w:t>
      </w:r>
      <w:r w:rsidR="00E406CE">
        <w:t>-</w:t>
      </w:r>
      <w:r>
        <w:t xml:space="preserve"> In the current tight market, even a 10 bcm/day flow reduction moves TTF 3–5% intraday.</w:t>
      </w:r>
    </w:p>
    <w:p w14:paraId="3921B76F" w14:textId="77777777" w:rsidR="008D0364" w:rsidRDefault="008D0364">
      <w:pPr>
        <w:spacing w:after="80"/>
      </w:pPr>
    </w:p>
    <w:p w14:paraId="5D86E268" w14:textId="77777777" w:rsidR="008D0364" w:rsidRDefault="00000000">
      <w:pPr>
        <w:pStyle w:val="Heading2"/>
      </w:pPr>
      <w:r>
        <w:t>Downside risks (bearish)</w:t>
      </w:r>
    </w:p>
    <w:p w14:paraId="1AA89BC1" w14:textId="385CAEE1" w:rsidR="008D0364" w:rsidRDefault="00000000">
      <w:pPr>
        <w:pStyle w:val="ListParagraph"/>
        <w:numPr>
          <w:ilvl w:val="0"/>
          <w:numId w:val="2"/>
        </w:numPr>
        <w:spacing w:after="80"/>
      </w:pPr>
      <w:r>
        <w:rPr>
          <w:b/>
          <w:bCs/>
        </w:rPr>
        <w:t>Hormuz resolution / US-Iran deal</w:t>
      </w:r>
      <w:r>
        <w:t xml:space="preserve"> </w:t>
      </w:r>
      <w:r w:rsidR="00E406CE">
        <w:t>-</w:t>
      </w:r>
      <w:r>
        <w:t xml:space="preserve"> Renewed LNG shipping normalisation and Qatar repair timeline clarity. TTF could fall 8–12€/MWh; Cal-27 power would follow 1:1.</w:t>
      </w:r>
    </w:p>
    <w:p w14:paraId="516C0B23" w14:textId="64ABABF1" w:rsidR="008D0364" w:rsidRDefault="00000000">
      <w:pPr>
        <w:pStyle w:val="ListParagraph"/>
        <w:numPr>
          <w:ilvl w:val="0"/>
          <w:numId w:val="2"/>
        </w:numPr>
        <w:spacing w:after="80"/>
      </w:pPr>
      <w:r>
        <w:rPr>
          <w:b/>
          <w:bCs/>
        </w:rPr>
        <w:t>Warm summer and autumn</w:t>
      </w:r>
      <w:r>
        <w:t xml:space="preserve"> </w:t>
      </w:r>
      <w:r w:rsidR="00E406CE">
        <w:t>-</w:t>
      </w:r>
      <w:r>
        <w:t xml:space="preserve"> A 2°C above-average September/October could add 5–8pp to storage, compressing the winter risk premium.</w:t>
      </w:r>
    </w:p>
    <w:p w14:paraId="38F41741" w14:textId="20832A61" w:rsidR="008D0364" w:rsidRDefault="00000000">
      <w:pPr>
        <w:pStyle w:val="ListParagraph"/>
        <w:numPr>
          <w:ilvl w:val="0"/>
          <w:numId w:val="2"/>
        </w:numPr>
        <w:spacing w:after="80"/>
      </w:pPr>
      <w:r>
        <w:rPr>
          <w:b/>
          <w:bCs/>
        </w:rPr>
        <w:t>US LNG commissioning acceleration (2027)</w:t>
      </w:r>
      <w:r>
        <w:t xml:space="preserve"> </w:t>
      </w:r>
      <w:r w:rsidR="00E406CE">
        <w:t>-</w:t>
      </w:r>
      <w:r>
        <w:t xml:space="preserve"> Plaquemines, Golden Pass, Rio Grande on schedule would ease 2027 balance expectations, weakening Cal-27 and Cal-28 power.</w:t>
      </w:r>
    </w:p>
    <w:p w14:paraId="072CF4C7" w14:textId="37E61342" w:rsidR="008D0364" w:rsidRDefault="00000000">
      <w:pPr>
        <w:pStyle w:val="ListParagraph"/>
        <w:numPr>
          <w:ilvl w:val="0"/>
          <w:numId w:val="2"/>
        </w:numPr>
        <w:spacing w:after="80"/>
      </w:pPr>
      <w:r>
        <w:rPr>
          <w:b/>
          <w:bCs/>
        </w:rPr>
        <w:lastRenderedPageBreak/>
        <w:t>EUA weakness on industrial demand</w:t>
      </w:r>
      <w:r>
        <w:t xml:space="preserve"> </w:t>
      </w:r>
      <w:r w:rsidR="00E406CE">
        <w:t>-</w:t>
      </w:r>
      <w:r>
        <w:t xml:space="preserve"> Sustained below-consensus EUA (below €65/t) would reduce the carbon cost floor in power, pulling Cal-27 down €4</w:t>
      </w:r>
      <w:r w:rsidR="00E406CE">
        <w:t>-</w:t>
      </w:r>
      <w:r>
        <w:t>6/MWh.</w:t>
      </w:r>
    </w:p>
    <w:p w14:paraId="478CFFD7" w14:textId="77777777" w:rsidR="008D0364" w:rsidRDefault="008D0364">
      <w:pPr>
        <w:pBdr>
          <w:bottom w:val="single" w:sz="4" w:space="1" w:color="D0D7DE"/>
        </w:pBdr>
        <w:spacing w:after="120"/>
      </w:pPr>
    </w:p>
    <w:p w14:paraId="073FB480" w14:textId="4DFE99A0" w:rsidR="008D0364" w:rsidRDefault="00000000">
      <w:pPr>
        <w:jc w:val="center"/>
      </w:pPr>
      <w:r>
        <w:rPr>
          <w:i/>
          <w:iCs/>
          <w:color w:val="57606A"/>
          <w:sz w:val="15"/>
          <w:szCs w:val="15"/>
        </w:rPr>
        <w:t>Data sources: GIE AGSI+, ICE/Trading Economics (TTF, EUA), EEX/MacroMicro (German power), ACER Winter Report April 2026, Bruegel European Gas Imports dataset, Kpler (LNG flows), IEEFA. Prices as of 19 May 2026.</w:t>
      </w:r>
    </w:p>
    <w:sectPr w:rsidR="008D0364">
      <w:headerReference w:type="default" r:id="rId9"/>
      <w:pgSz w:w="11906" w:h="16838"/>
      <w:pgMar w:top="1200" w:right="1200" w:bottom="1008"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89C4" w14:textId="77777777" w:rsidR="00867C48" w:rsidRDefault="00867C48">
      <w:r>
        <w:separator/>
      </w:r>
    </w:p>
  </w:endnote>
  <w:endnote w:type="continuationSeparator" w:id="0">
    <w:p w14:paraId="46D12875" w14:textId="77777777" w:rsidR="00867C48" w:rsidRDefault="00867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97219" w14:textId="77777777" w:rsidR="00867C48" w:rsidRDefault="00867C48">
      <w:r>
        <w:separator/>
      </w:r>
    </w:p>
  </w:footnote>
  <w:footnote w:type="continuationSeparator" w:id="0">
    <w:p w14:paraId="1E4FFE1A" w14:textId="77777777" w:rsidR="00867C48" w:rsidRDefault="00867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DEA5" w14:textId="1F8050A2" w:rsidR="008D0364" w:rsidRDefault="00000000">
    <w:pPr>
      <w:pBdr>
        <w:bottom w:val="single" w:sz="4" w:space="1" w:color="0969DA"/>
      </w:pBdr>
    </w:pPr>
    <w:r>
      <w:rPr>
        <w:b/>
        <w:bCs/>
        <w:color w:val="0969DA"/>
        <w:sz w:val="16"/>
        <w:szCs w:val="16"/>
      </w:rPr>
      <w:t>EUROPEAN CROSS-COMMODITY</w:t>
    </w:r>
    <w:r w:rsidR="00410152">
      <w:rPr>
        <w:b/>
        <w:bCs/>
        <w:color w:val="0969DA"/>
        <w:sz w:val="16"/>
        <w:szCs w:val="16"/>
      </w:rPr>
      <w:t xml:space="preserve"> </w:t>
    </w:r>
    <w:r>
      <w:rPr>
        <w:b/>
        <w:bCs/>
        <w:color w:val="0969DA"/>
        <w:sz w:val="16"/>
        <w:szCs w:val="16"/>
      </w:rPr>
      <w:t>NOT</w:t>
    </w:r>
    <w:r w:rsidR="00410152">
      <w:rPr>
        <w:b/>
        <w:bCs/>
        <w:color w:val="0969DA"/>
        <w:sz w:val="16"/>
        <w:szCs w:val="16"/>
      </w:rPr>
      <w:t xml:space="preserve">E </w:t>
    </w:r>
    <w:r>
      <w:rPr>
        <w:color w:val="57606A"/>
        <w:sz w:val="15"/>
        <w:szCs w:val="15"/>
      </w:rPr>
      <w:t>|</w:t>
    </w:r>
    <w:r w:rsidR="00410152">
      <w:rPr>
        <w:color w:val="57606A"/>
        <w:sz w:val="15"/>
        <w:szCs w:val="15"/>
      </w:rPr>
      <w:t xml:space="preserve"> </w:t>
    </w:r>
    <w:r>
      <w:rPr>
        <w:color w:val="57606A"/>
        <w:sz w:val="15"/>
        <w:szCs w:val="15"/>
      </w:rPr>
      <w:t>Aarav Agarwal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1F6C"/>
    <w:multiLevelType w:val="hybridMultilevel"/>
    <w:tmpl w:val="7034DBCA"/>
    <w:lvl w:ilvl="0" w:tplc="7EBC7E58">
      <w:start w:val="1"/>
      <w:numFmt w:val="bullet"/>
      <w:lvlText w:val="•"/>
      <w:lvlJc w:val="left"/>
      <w:pPr>
        <w:ind w:left="480" w:hanging="240"/>
      </w:pPr>
      <w:rPr>
        <w:rFonts w:ascii="Arial" w:eastAsia="Arial" w:hAnsi="Arial" w:cs="Arial"/>
        <w:color w:val="0969DA"/>
      </w:rPr>
    </w:lvl>
    <w:lvl w:ilvl="1" w:tplc="81F2910C">
      <w:numFmt w:val="decimal"/>
      <w:lvlText w:val=""/>
      <w:lvlJc w:val="left"/>
    </w:lvl>
    <w:lvl w:ilvl="2" w:tplc="25BE5A56">
      <w:numFmt w:val="decimal"/>
      <w:lvlText w:val=""/>
      <w:lvlJc w:val="left"/>
    </w:lvl>
    <w:lvl w:ilvl="3" w:tplc="0D421EF2">
      <w:numFmt w:val="decimal"/>
      <w:lvlText w:val=""/>
      <w:lvlJc w:val="left"/>
    </w:lvl>
    <w:lvl w:ilvl="4" w:tplc="8ADE1076">
      <w:numFmt w:val="decimal"/>
      <w:lvlText w:val=""/>
      <w:lvlJc w:val="left"/>
    </w:lvl>
    <w:lvl w:ilvl="5" w:tplc="DF323964">
      <w:numFmt w:val="decimal"/>
      <w:lvlText w:val=""/>
      <w:lvlJc w:val="left"/>
    </w:lvl>
    <w:lvl w:ilvl="6" w:tplc="386E5F72">
      <w:numFmt w:val="decimal"/>
      <w:lvlText w:val=""/>
      <w:lvlJc w:val="left"/>
    </w:lvl>
    <w:lvl w:ilvl="7" w:tplc="FA705E7A">
      <w:numFmt w:val="decimal"/>
      <w:lvlText w:val=""/>
      <w:lvlJc w:val="left"/>
    </w:lvl>
    <w:lvl w:ilvl="8" w:tplc="D4BCC648">
      <w:numFmt w:val="decimal"/>
      <w:lvlText w:val=""/>
      <w:lvlJc w:val="left"/>
    </w:lvl>
  </w:abstractNum>
  <w:abstractNum w:abstractNumId="1" w15:restartNumberingAfterBreak="0">
    <w:nsid w:val="681F3D00"/>
    <w:multiLevelType w:val="hybridMultilevel"/>
    <w:tmpl w:val="2306E272"/>
    <w:lvl w:ilvl="0" w:tplc="BAF03E94">
      <w:start w:val="1"/>
      <w:numFmt w:val="bullet"/>
      <w:lvlText w:val="●"/>
      <w:lvlJc w:val="left"/>
      <w:pPr>
        <w:ind w:left="720" w:hanging="360"/>
      </w:pPr>
    </w:lvl>
    <w:lvl w:ilvl="1" w:tplc="340AEA7A">
      <w:start w:val="1"/>
      <w:numFmt w:val="bullet"/>
      <w:lvlText w:val="○"/>
      <w:lvlJc w:val="left"/>
      <w:pPr>
        <w:ind w:left="1440" w:hanging="360"/>
      </w:pPr>
    </w:lvl>
    <w:lvl w:ilvl="2" w:tplc="F90256D8">
      <w:start w:val="1"/>
      <w:numFmt w:val="bullet"/>
      <w:lvlText w:val="■"/>
      <w:lvlJc w:val="left"/>
      <w:pPr>
        <w:ind w:left="2160" w:hanging="360"/>
      </w:pPr>
    </w:lvl>
    <w:lvl w:ilvl="3" w:tplc="14CC37CE">
      <w:start w:val="1"/>
      <w:numFmt w:val="bullet"/>
      <w:lvlText w:val="●"/>
      <w:lvlJc w:val="left"/>
      <w:pPr>
        <w:ind w:left="2880" w:hanging="360"/>
      </w:pPr>
    </w:lvl>
    <w:lvl w:ilvl="4" w:tplc="52AAD49A">
      <w:start w:val="1"/>
      <w:numFmt w:val="bullet"/>
      <w:lvlText w:val="○"/>
      <w:lvlJc w:val="left"/>
      <w:pPr>
        <w:ind w:left="3600" w:hanging="360"/>
      </w:pPr>
    </w:lvl>
    <w:lvl w:ilvl="5" w:tplc="A216B536">
      <w:start w:val="1"/>
      <w:numFmt w:val="bullet"/>
      <w:lvlText w:val="■"/>
      <w:lvlJc w:val="left"/>
      <w:pPr>
        <w:ind w:left="4320" w:hanging="360"/>
      </w:pPr>
    </w:lvl>
    <w:lvl w:ilvl="6" w:tplc="614C1FB6">
      <w:start w:val="1"/>
      <w:numFmt w:val="bullet"/>
      <w:lvlText w:val="●"/>
      <w:lvlJc w:val="left"/>
      <w:pPr>
        <w:ind w:left="5040" w:hanging="360"/>
      </w:pPr>
    </w:lvl>
    <w:lvl w:ilvl="7" w:tplc="081C81F8">
      <w:start w:val="1"/>
      <w:numFmt w:val="bullet"/>
      <w:lvlText w:val="●"/>
      <w:lvlJc w:val="left"/>
      <w:pPr>
        <w:ind w:left="5760" w:hanging="360"/>
      </w:pPr>
    </w:lvl>
    <w:lvl w:ilvl="8" w:tplc="AD16B46E">
      <w:start w:val="1"/>
      <w:numFmt w:val="bullet"/>
      <w:lvlText w:val="●"/>
      <w:lvlJc w:val="left"/>
      <w:pPr>
        <w:ind w:left="6480" w:hanging="360"/>
      </w:pPr>
    </w:lvl>
  </w:abstractNum>
  <w:num w:numId="1" w16cid:durableId="1538078030">
    <w:abstractNumId w:val="1"/>
    <w:lvlOverride w:ilvl="0">
      <w:startOverride w:val="1"/>
    </w:lvlOverride>
  </w:num>
  <w:num w:numId="2" w16cid:durableId="686520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364"/>
    <w:rsid w:val="000058F0"/>
    <w:rsid w:val="00410152"/>
    <w:rsid w:val="00867C48"/>
    <w:rsid w:val="008D0364"/>
    <w:rsid w:val="00D03CAD"/>
    <w:rsid w:val="00E40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4667F"/>
  <w15:docId w15:val="{C463A455-496B-49E2-9B17-68EA1B7F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0969DA"/>
      <w:sz w:val="24"/>
      <w:szCs w:val="24"/>
    </w:rPr>
  </w:style>
  <w:style w:type="paragraph" w:styleId="Heading2">
    <w:name w:val="heading 2"/>
    <w:uiPriority w:val="9"/>
    <w:unhideWhenUsed/>
    <w:qFormat/>
    <w:pPr>
      <w:spacing w:before="160" w:after="60"/>
      <w:outlineLvl w:val="1"/>
    </w:pPr>
    <w:rPr>
      <w:b/>
      <w:bCs/>
      <w:color w:val="9A6700"/>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0152"/>
    <w:pPr>
      <w:tabs>
        <w:tab w:val="center" w:pos="4513"/>
        <w:tab w:val="right" w:pos="9026"/>
      </w:tabs>
    </w:pPr>
  </w:style>
  <w:style w:type="character" w:customStyle="1" w:styleId="HeaderChar">
    <w:name w:val="Header Char"/>
    <w:basedOn w:val="DefaultParagraphFont"/>
    <w:link w:val="Header"/>
    <w:uiPriority w:val="99"/>
    <w:rsid w:val="00410152"/>
  </w:style>
  <w:style w:type="paragraph" w:styleId="Footer">
    <w:name w:val="footer"/>
    <w:basedOn w:val="Normal"/>
    <w:link w:val="FooterChar"/>
    <w:uiPriority w:val="99"/>
    <w:unhideWhenUsed/>
    <w:rsid w:val="00410152"/>
    <w:pPr>
      <w:tabs>
        <w:tab w:val="center" w:pos="4513"/>
        <w:tab w:val="right" w:pos="9026"/>
      </w:tabs>
    </w:pPr>
  </w:style>
  <w:style w:type="character" w:customStyle="1" w:styleId="FooterChar">
    <w:name w:val="Footer Char"/>
    <w:basedOn w:val="DefaultParagraphFont"/>
    <w:link w:val="Footer"/>
    <w:uiPriority w:val="99"/>
    <w:rsid w:val="00410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Anaya Agarwal (1577)</cp:lastModifiedBy>
  <cp:revision>2</cp:revision>
  <dcterms:created xsi:type="dcterms:W3CDTF">2026-05-19T23:14:00Z</dcterms:created>
  <dcterms:modified xsi:type="dcterms:W3CDTF">2026-05-19T23:14:00Z</dcterms:modified>
</cp:coreProperties>
</file>