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Terms of Service, Privacy Policy &amp; Data Processing Outline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A structured drafting brief, not a legally approved contract. Obtain review from qualified Indian legal counsel before use.</w:t>
      </w:r>
    </w:p>
    <w:p>
      <w:pPr>
        <w:pStyle w:val="Heading1"/>
      </w:pPr>
      <w:r>
        <w:t>Terms of Service Topics</w:t>
      </w:r>
    </w:p>
    <w:p>
      <w:pPr>
        <w:pStyle w:val="ListBullet"/>
      </w:pPr>
      <w:r>
        <w:t>Parties and definitions; service description; account eligibility and authority; subscriptions, billing, renewal, taxes and plan limits; acceptable use; customer and restaurant responsibilities; third-party services; availability and maintenance; support; suspension/termination; cancellation/refunds; intellectual property; warranties/disclaimers; liability limits; indemnities; dispute resolution, governing law and notices.</w:t>
      </w:r>
    </w:p>
    <w:p>
      <w:pPr>
        <w:pStyle w:val="Heading1"/>
      </w:pPr>
      <w:r>
        <w:t>Privacy Notice Topics</w:t>
      </w:r>
    </w:p>
    <w:p>
      <w:pPr>
        <w:pStyle w:val="ListBullet"/>
      </w:pPr>
      <w:r>
        <w:t>Categories of data collected from restaurant owners, staff and customers; purposes and lawful basis/consent where applicable; payment-provider data boundaries; cookies/logs; sharing with processors; retention and deletion; access/correction/grievance process; security practices; children’s data handling; cross-border processing if any; contact details and policy update process.</w:t>
      </w:r>
    </w:p>
    <w:p>
      <w:pPr>
        <w:pStyle w:val="Heading1"/>
      </w:pPr>
      <w:r>
        <w:t>Data Processing Schedule</w:t>
      </w:r>
    </w:p>
    <w:p>
      <w:pPr>
        <w:pStyle w:val="ListBullet"/>
      </w:pPr>
      <w:r>
        <w:t>Define restaurant/customer roles and InfusioTech’s processing role per data flow with counsel; documented instructions; confidentiality; technical/organizational measures; subprocessors; breach notification workflow; assistance with data requests; deletion/return at termination; audit cooperation.</w:t>
      </w:r>
    </w:p>
    <w:p>
      <w:pPr>
        <w:pStyle w:val="Heading1"/>
      </w:pPr>
      <w:r>
        <w:t>Product Policy Decisions</w:t>
      </w:r>
    </w:p>
    <w:p>
      <w:pPr>
        <w:pStyle w:val="ListBullet"/>
      </w:pPr>
      <w:r>
        <w:t>Data controller/processor allocation; retention periods; customer data export; account closure; inactive tenant treatment; payment records; marketing consent; support access; backups deletion windows; breach response contact and timelines.</w:t>
      </w:r>
    </w:p>
    <w:p>
      <w:pPr>
        <w:pStyle w:val="Heading1"/>
      </w:pPr>
      <w:r>
        <w:t>Review Checklist</w:t>
      </w:r>
    </w:p>
    <w:p>
      <w:pPr>
        <w:pStyle w:val="ListBullet"/>
      </w:pPr>
      <w:r>
        <w:t>Validate applicable Indian privacy, consumer, e-commerce, tax and payment requirements with counsel; align public statements with actual product behavior; maintain version history and acceptance records.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