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2304A"/>
          <w:sz w:val="46"/>
        </w:rPr>
        <w:t>Support &amp; Operations SOP and SLA Framework</w:t>
      </w:r>
    </w:p>
    <w:p>
      <w:pPr>
        <w:jc w:val="center"/>
      </w:pPr>
      <w:r>
        <w:rPr>
          <w:color w:val="167D8D"/>
          <w:sz w:val="18"/>
        </w:rPr>
        <w:t>InfusioTech Restaurant Ordering SaaS | Version 1.0 | 2 October 2026</w:t>
      </w:r>
    </w:p>
    <w:p>
      <w:pPr>
        <w:pStyle w:val="Heading1"/>
      </w:pPr>
      <w:r>
        <w:t>Purpose</w:t>
      </w:r>
    </w:p>
    <w:p>
      <w:r>
        <w:t>Defines an initial support workflow and proposed service targets for internal review; targets are not commitments until approved and contractually adopted.</w:t>
      </w:r>
    </w:p>
    <w:p>
      <w:pPr>
        <w:pStyle w:val="Heading1"/>
      </w:pPr>
      <w:r>
        <w:t>Support Intake</w:t>
      </w:r>
    </w:p>
    <w:p>
      <w:pPr>
        <w:pStyle w:val="ListBullet"/>
      </w:pPr>
      <w:r>
        <w:t>Capture tenant/outlet, reporter, contact, issue category, affected workflow, timestamp/timezone, app/build, device/browser, order/payment reference (avoid secrets), impact and evidence.</w:t>
      </w:r>
    </w:p>
    <w:p>
      <w:pPr>
        <w:pStyle w:val="ListBullet"/>
      </w:pPr>
      <w:r>
        <w:t>Assign a ticket ID and acknowledge receipt through the agreed support channel.</w:t>
      </w:r>
    </w:p>
    <w:p>
      <w:pPr>
        <w:pStyle w:val="Heading1"/>
      </w:pPr>
      <w:r>
        <w:t>Triage &amp; Severity</w:t>
      </w:r>
    </w:p>
    <w:p>
      <w:pPr>
        <w:pStyle w:val="ListBullet"/>
      </w:pPr>
      <w:r>
        <w:t>P1 Critical: suspected tenant data exposure, payment integrity issue or broad service outage.</w:t>
      </w:r>
    </w:p>
    <w:p>
      <w:pPr>
        <w:pStyle w:val="ListBullet"/>
      </w:pPr>
      <w:r>
        <w:t>P2 High: core ordering or restaurant operations unavailable for a tenant with no safe workaround.</w:t>
      </w:r>
    </w:p>
    <w:p>
      <w:pPr>
        <w:pStyle w:val="ListBullet"/>
      </w:pPr>
      <w:r>
        <w:t>P3 Normal: degraded feature with workaround or limited impact.</w:t>
      </w:r>
    </w:p>
    <w:p>
      <w:pPr>
        <w:pStyle w:val="ListBullet"/>
      </w:pPr>
      <w:r>
        <w:t>P4 Low: how-to, cosmetic issue or feature request.</w:t>
      </w:r>
    </w:p>
    <w:p>
      <w:pPr>
        <w:pStyle w:val="Heading1"/>
      </w:pPr>
      <w:r>
        <w:t>Proposed Initial Targets</w:t>
      </w:r>
    </w:p>
    <w:p>
      <w:pPr>
        <w:pStyle w:val="ListBullet"/>
      </w:pPr>
      <w:r>
        <w:t>P1: acknowledge within 1 business hour during published support hours; continuous escalation only if an on-call service is formally staffed.</w:t>
      </w:r>
    </w:p>
    <w:p>
      <w:pPr>
        <w:pStyle w:val="ListBullet"/>
      </w:pPr>
      <w:r>
        <w:t>P2: acknowledge within 4 business hours.</w:t>
      </w:r>
    </w:p>
    <w:p>
      <w:pPr>
        <w:pStyle w:val="ListBullet"/>
      </w:pPr>
      <w:r>
        <w:t>P3: acknowledge within 1 business day.</w:t>
      </w:r>
    </w:p>
    <w:p>
      <w:pPr>
        <w:pStyle w:val="ListBullet"/>
      </w:pPr>
      <w:r>
        <w:t>P4: acknowledge within 2 business days.</w:t>
      </w:r>
    </w:p>
    <w:p>
      <w:pPr>
        <w:pStyle w:val="ListBullet"/>
      </w:pPr>
      <w:r>
        <w:t>These are proposed acknowledgement targets, not guaranteed resolution times or uptime commitments.</w:t>
      </w:r>
    </w:p>
    <w:p>
      <w:pPr>
        <w:pStyle w:val="Heading1"/>
      </w:pPr>
      <w:r>
        <w:t>Incident Procedure</w:t>
      </w:r>
    </w:p>
    <w:p>
      <w:pPr>
        <w:pStyle w:val="ListBullet"/>
      </w:pPr>
      <w:r>
        <w:t>Acknowledge and classify; establish scope; protect customer/payment data; assign incident lead; mitigate safely; communicate updates; verify recovery; document root cause and preventive actions.</w:t>
      </w:r>
    </w:p>
    <w:p>
      <w:pPr>
        <w:pStyle w:val="ListBullet"/>
      </w:pPr>
      <w:r>
        <w:t>For payment issues, reconcile gateway state before manually changing records. For access issues, verify identity and audit access changes.</w:t>
      </w:r>
    </w:p>
    <w:p>
      <w:pPr>
        <w:pStyle w:val="Heading1"/>
      </w:pPr>
      <w:r>
        <w:t>Escalation &amp; Closure</w:t>
      </w:r>
    </w:p>
    <w:p>
      <w:pPr>
        <w:pStyle w:val="ListBullet"/>
      </w:pPr>
      <w:r>
        <w:t>Escalate technical defects to engineering, payment issues to gateway operations, privacy/security issues to designated security/privacy lead and legal adviser as appropriate.</w:t>
      </w:r>
    </w:p>
    <w:p>
      <w:pPr>
        <w:pStyle w:val="ListBullet"/>
      </w:pPr>
      <w:r>
        <w:t>Close only after customer confirmation or documented resolution, root cause/category and follow-up tasks.</w:t>
      </w:r>
    </w:p>
    <w:p>
      <w:pPr>
        <w:pStyle w:val="Heading1"/>
      </w:pPr>
      <w:r>
        <w:t>SLA Items to Finalize</w:t>
      </w:r>
    </w:p>
    <w:p>
      <w:pPr>
        <w:pStyle w:val="ListBullet"/>
      </w:pPr>
      <w:r>
        <w:t>Support hours/timezone; channels; acknowledgement and update cadence; service availability target; planned maintenance notice; exclusions; incident communication; data backup/recovery commitments; escalation contacts; service credits if any.</w:t>
      </w:r>
    </w:p>
    <w:sectPr w:rsidR="00FC693F" w:rsidRPr="0006063C" w:rsidSect="00034616">
      <w:footerReference w:type="default" r:id="rId9"/>
      <w:pgSz w:w="12240" w:h="15840"/>
      <w:pgMar w:top="1008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828C"/>
        <w:sz w:val="16"/>
      </w:rPr>
      <w:t>InfusioTech | Internal working document | Review before production use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230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67D8D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2304A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