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A5F" w:color="auto" w:val="clear"/>
            <w:tcMar>
              <w:top w:type="dxa" w:w="220"/>
              <w:left w:type="dxa" w:w="240"/>
              <w:bottom w:type="dxa" w:w="220"/>
              <w:right w:type="dxa" w:w="240"/>
            </w:tcMar>
          </w:tcPr>
          <w:p>
            <w:pPr>
              <w:spacing w:after="60"/>
            </w:pPr>
            <w:r>
              <w:rPr>
                <w:rFonts w:ascii="Calibri" w:cs="Calibri" w:eastAsia="Calibri" w:hAnsi="Calibri"/>
                <w:b/>
                <w:bCs/>
                <w:color w:val="FFFFFF"/>
                <w:spacing w:val="40"/>
                <w:sz w:val="24"/>
                <w:szCs w:val="24"/>
              </w:rPr>
              <w:t xml:space="preserve">STEP 17</w:t>
            </w:r>
          </w:p>
          <w:p>
            <w:pPr>
              <w:spacing w:after="100"/>
            </w:pPr>
            <w:r>
              <w:rPr>
                <w:rFonts w:ascii="Calibri" w:cs="Calibri" w:eastAsia="Calibri" w:hAnsi="Calibri"/>
                <w:b/>
                <w:bCs/>
                <w:color w:val="FFFFFF"/>
                <w:sz w:val="26"/>
                <w:szCs w:val="26"/>
              </w:rPr>
              <w:t xml:space="preserve">Independent verification of the Φ–F horse race and the interaction reparameterisation</w:t>
            </w:r>
          </w:p>
          <w:p>
            <w:r>
              <w:rPr>
                <w:rFonts w:ascii="Calibri" w:cs="Calibri" w:eastAsia="Calibri" w:hAnsi="Calibri"/>
                <w:color w:val="D6E2F0"/>
                <w:sz w:val="18"/>
                <w:szCs w:val="18"/>
              </w:rPr>
              <w:t xml:space="preserve">HDI-N / Stranded capacity  •  external validation, Section 3.6  •  replication task</w:t>
            </w:r>
          </w:p>
        </w:tc>
      </w:tr>
    </w:tbl>
    <w:p>
      <w:pPr>
        <w:spacing w:after="200" w:line="276"/>
      </w:pPr>
      <w:r>
        <w:rPr>
          <w:rFonts w:ascii="Calibri" w:cs="Calibri" w:eastAsia="Calibri" w:hAnsi="Calibri"/>
          <w:sz w:val="20"/>
          <w:szCs w:val="20"/>
        </w:rPr>
        <w:t xml:space="preserve"/>
      </w:r>
    </w:p>
    <w:p>
      <w:pPr>
        <w:pBdr>
          <w:bottom w:val="single" w:color="1F3A5F" w:sz="6" w:space="4"/>
        </w:pBdr>
        <w:spacing w:after="140" w:before="320"/>
      </w:pPr>
      <w:r>
        <w:rPr>
          <w:rFonts w:ascii="Calibri" w:cs="Calibri" w:eastAsia="Calibri" w:hAnsi="Calibri"/>
          <w:b/>
          <w:bCs/>
          <w:color w:val="1F3A5F"/>
          <w:spacing w:val="20"/>
          <w:sz w:val="22"/>
          <w:szCs w:val="22"/>
        </w:rPr>
        <w:t xml:space="preserve">1  WHY THIS STEP EXISTS</w:t>
      </w:r>
    </w:p>
    <w:p>
      <w:pPr>
        <w:spacing w:after="120" w:line="276"/>
      </w:pPr>
      <w:r>
        <w:rPr>
          <w:rFonts w:ascii="Calibri" w:cs="Calibri" w:eastAsia="Calibri" w:hAnsi="Calibri"/>
          <w:sz w:val="20"/>
          <w:szCs w:val="20"/>
        </w:rPr>
        <w:t xml:space="preserve">A referee will observe that stranded capacity is the product of two quantities we already hold, Φ = Tₑᵧₒᵥ × Fₑᵧₒᵥ, and that the falsity component F carries the larger part of its cross-country variance. The objection follows: Φ may be non-reach relabelled, and the validation reported in Section 3.6 controls for T but not for F, so it cannot distinguish the two.</w:t>
      </w:r>
    </w:p>
    <w:p>
      <w:pPr>
        <w:spacing w:after="120" w:line="276"/>
      </w:pPr>
      <w:r>
        <w:rPr>
          <w:rFonts w:ascii="Calibri" w:cs="Calibri" w:eastAsia="Calibri" w:hAnsi="Calibri"/>
          <w:sz w:val="20"/>
          <w:szCs w:val="20"/>
        </w:rPr>
        <w:t xml:space="preserve">The specification that settles this is not a contest between rival predictors. Because Φ is a product of two variables already in the model, entering T, F and Φ together is a standard interaction regression, and the coefficient on Φ is the interaction term. Its substantive reading is precise: non-reach depresses citizen uptake more where the state has built more capacity. That is the paper's thesis stated econometrically.</w:t>
      </w:r>
    </w:p>
    <w:p>
      <w:pPr>
        <w:spacing w:after="120" w:line="276"/>
      </w:pPr>
      <w:r>
        <w:rPr>
          <w:rFonts w:ascii="Calibri" w:cs="Calibri" w:eastAsia="Calibri" w:hAnsi="Calibri"/>
          <w:sz w:val="20"/>
          <w:szCs w:val="20"/>
        </w:rPr>
        <w:t xml:space="preserve">This step re-estimates that specification independently. It is a verification task: reference values are held on the supervision side and your return will be checked against them cell by cell. Report what the estimation produces, including any result that appears wrong or contradicts the paper. Do not adjust a specification to move a coefficient.</w:t>
      </w:r>
    </w:p>
    <w:p>
      <w:pPr>
        <w:pBdr>
          <w:bottom w:val="single" w:color="1F3A5F" w:sz="6" w:space="4"/>
        </w:pBdr>
        <w:spacing w:after="140" w:before="320"/>
      </w:pPr>
      <w:r>
        <w:rPr>
          <w:rFonts w:ascii="Calibri" w:cs="Calibri" w:eastAsia="Calibri" w:hAnsi="Calibri"/>
          <w:b/>
          <w:bCs/>
          <w:color w:val="1F3A5F"/>
          <w:spacing w:val="20"/>
          <w:sz w:val="22"/>
          <w:szCs w:val="22"/>
        </w:rPr>
        <w:t xml:space="preserve">2  INPUTS</w:t>
      </w:r>
    </w:p>
    <w:p>
      <w:pPr>
        <w:pStyle w:val="ListParagraph"/>
        <w:numPr>
          <w:ilvl w:val="0"/>
          <w:numId w:val="2"/>
        </w:numPr>
        <w:spacing w:after="80" w:line="276"/>
      </w:pPr>
      <w:r>
        <w:rPr>
          <w:rFonts w:ascii="Calibri" w:cs="Calibri" w:eastAsia="Calibri" w:hAnsi="Calibri"/>
          <w:sz w:val="20"/>
          <w:szCs w:val="20"/>
        </w:rPr>
        <w:t xml:space="preserve">HDIN_Canonical_v2.csv — 184 rows, one per Tier I economy, keyed on ISO3.</w:t>
      </w:r>
    </w:p>
    <w:p>
      <w:pPr>
        <w:pStyle w:val="ListParagraph"/>
        <w:numPr>
          <w:ilvl w:val="0"/>
          <w:numId w:val="2"/>
        </w:numPr>
        <w:spacing w:after="80" w:line="276"/>
      </w:pPr>
      <w:r>
        <w:rPr>
          <w:rFonts w:ascii="Calibri" w:cs="Calibri" w:eastAsia="Calibri" w:hAnsi="Calibri"/>
          <w:sz w:val="20"/>
          <w:szCs w:val="20"/>
        </w:rPr>
        <w:t xml:space="preserve">Step15_Findex_Raw.csv — 174 rows, keyed on ISO3, columns GovPay_Pct, DigitalPay_Pct, MobileAccess_Pct, Survey_Year, Retrieval_Date.</w:t>
      </w:r>
    </w:p>
    <w:p>
      <w:pPr>
        <w:spacing w:after="160" w:line="276"/>
      </w:pPr>
      <w:r>
        <w:rPr>
          <w:rFonts w:ascii="Calibri" w:cs="Calibri" w:eastAsia="Calibri" w:hAnsi="Calibri"/>
          <w:sz w:val="20"/>
          <w:szCs w:val="20"/>
        </w:rPr>
        <w:t xml:space="preserve">Use no other file. Do not re-download from ITU, the UN, or the World Bank for this step; the point is to reproduce the estimate from the frozen panel, not to rebuild it.</w:t>
      </w:r>
    </w:p>
    <w:p>
      <w:pPr>
        <w:spacing w:after="80" w:before="200"/>
      </w:pPr>
      <w:r>
        <w:rPr>
          <w:rFonts w:ascii="Calibri" w:cs="Calibri" w:eastAsia="Calibri" w:hAnsi="Calibri"/>
          <w:b/>
          <w:bCs/>
          <w:color w:val="1F3A5F"/>
          <w:sz w:val="20"/>
          <w:szCs w:val="20"/>
        </w:rPr>
        <w:t xml:space="preserve">Variable construction — exact definitions</w:t>
      </w:r>
    </w:p>
    <w:p>
      <w:pPr>
        <w:pStyle w:val="ListParagraph"/>
        <w:numPr>
          <w:ilvl w:val="0"/>
          <w:numId w:val="2"/>
        </w:numPr>
        <w:spacing w:after="80" w:line="276"/>
      </w:pPr>
      <w:r>
        <w:rPr>
          <w:rFonts w:ascii="Calibri" w:cs="Calibri" w:eastAsia="Calibri" w:hAnsi="Calibri"/>
          <w:sz w:val="20"/>
          <w:szCs w:val="20"/>
        </w:rPr>
        <w:t xml:space="preserve">T = EGDI (column EGDI). Do not rescale.</w:t>
      </w:r>
    </w:p>
    <w:p>
      <w:pPr>
        <w:pStyle w:val="ListParagraph"/>
        <w:numPr>
          <w:ilvl w:val="0"/>
          <w:numId w:val="2"/>
        </w:numPr>
        <w:spacing w:after="80" w:line="276"/>
      </w:pPr>
      <w:r>
        <w:rPr>
          <w:rFonts w:ascii="Calibri" w:cs="Calibri" w:eastAsia="Calibri" w:hAnsi="Calibri"/>
          <w:sz w:val="20"/>
          <w:szCs w:val="20"/>
        </w:rPr>
        <w:t xml:space="preserve">F = 1 − p, where p is the column p (penetration on the unit interval, not Penetration_Pct).</w:t>
      </w:r>
    </w:p>
    <w:p>
      <w:pPr>
        <w:pStyle w:val="ListParagraph"/>
        <w:numPr>
          <w:ilvl w:val="0"/>
          <w:numId w:val="2"/>
        </w:numPr>
        <w:spacing w:after="80" w:line="276"/>
      </w:pPr>
      <w:r>
        <w:rPr>
          <w:rFonts w:ascii="Calibri" w:cs="Calibri" w:eastAsia="Calibri" w:hAnsi="Calibri"/>
          <w:sz w:val="20"/>
          <w:szCs w:val="20"/>
        </w:rPr>
        <w:t xml:space="preserve">Φ = Phi_EGDI. Recompute it as EGDI × (1 − p) and confirm the two agree to within 1 × 10⁻¹⁰ before using the stored column.</w:t>
      </w:r>
    </w:p>
    <w:p>
      <w:pPr>
        <w:pStyle w:val="ListParagraph"/>
        <w:numPr>
          <w:ilvl w:val="0"/>
          <w:numId w:val="2"/>
        </w:numPr>
        <w:spacing w:after="80" w:line="276"/>
      </w:pPr>
      <w:r>
        <w:rPr>
          <w:rFonts w:ascii="Calibri" w:cs="Calibri" w:eastAsia="Calibri" w:hAnsi="Calibri"/>
          <w:sz w:val="20"/>
          <w:szCs w:val="20"/>
        </w:rPr>
        <w:t xml:space="preserve">Φ_svc = Phi_OSI; T_svc = OSI. Same recomputation check.</w:t>
      </w:r>
    </w:p>
    <w:p>
      <w:pPr>
        <w:pStyle w:val="ListParagraph"/>
        <w:numPr>
          <w:ilvl w:val="0"/>
          <w:numId w:val="2"/>
        </w:numPr>
        <w:spacing w:after="80" w:line="276"/>
      </w:pPr>
      <w:r>
        <w:rPr>
          <w:rFonts w:ascii="Calibri" w:cs="Calibri" w:eastAsia="Calibri" w:hAnsi="Calibri"/>
          <w:sz w:val="20"/>
          <w:szCs w:val="20"/>
        </w:rPr>
        <w:t xml:space="preserve">inc = I_income (the UNDP income sub-index, already on the goalpost scale).</w:t>
      </w:r>
    </w:p>
    <w:p>
      <w:pPr>
        <w:pStyle w:val="ListParagraph"/>
        <w:numPr>
          <w:ilvl w:val="0"/>
          <w:numId w:val="2"/>
        </w:numPr>
        <w:spacing w:after="80" w:line="276"/>
      </w:pPr>
      <w:r>
        <w:rPr>
          <w:rFonts w:ascii="Calibri" w:cs="Calibri" w:eastAsia="Calibri" w:hAnsi="Calibri"/>
          <w:sz w:val="20"/>
          <w:szCs w:val="20"/>
        </w:rPr>
        <w:t xml:space="preserve">Outcomes are the three Findex columns. They are already proportions on [0, 1] — Afghanistan's GovPay_Pct is 0.0226, meaning 2.3 per cent. Do not divide by 100.</w:t>
      </w:r>
    </w:p>
    <w:p>
      <w:pPr>
        <w:pBdr>
          <w:bottom w:val="single" w:color="1F3A5F" w:sz="6" w:space="4"/>
        </w:pBdr>
        <w:spacing w:after="140" w:before="320"/>
      </w:pPr>
      <w:r>
        <w:rPr>
          <w:rFonts w:ascii="Calibri" w:cs="Calibri" w:eastAsia="Calibri" w:hAnsi="Calibri"/>
          <w:b/>
          <w:bCs/>
          <w:color w:val="1F3A5F"/>
          <w:spacing w:val="20"/>
          <w:sz w:val="22"/>
          <w:szCs w:val="22"/>
        </w:rPr>
        <w:t xml:space="preserve">3  MERGE RULE AND THE TRAP IN IT</w:t>
      </w:r>
    </w:p>
    <w:p>
      <w:pPr>
        <w:spacing w:after="120" w:line="276"/>
      </w:pPr>
      <w:r>
        <w:rPr>
          <w:rFonts w:ascii="Calibri" w:cs="Calibri" w:eastAsia="Calibri" w:hAnsi="Calibri"/>
          <w:sz w:val="20"/>
          <w:szCs w:val="20"/>
        </w:rPr>
        <w:t xml:space="preserve">Merge Step15_Findex_Raw.csv onto HDIN_Canonical_v2.csv with a LEFT join on ISO3, canonical file on the left. The direction matters.</w:t>
      </w:r>
    </w:p>
    <w:p>
      <w:pPr>
        <w:spacing w:after="160" w:line="276"/>
      </w:pPr>
      <w:r>
        <w:rPr>
          <w:rFonts w:ascii="Calibri" w:cs="Calibri" w:eastAsia="Calibri" w:hAnsi="Calibri"/>
          <w:sz w:val="20"/>
          <w:szCs w:val="20"/>
        </w:rPr>
        <w:t xml:space="preserve">The Findex file contains 22 ISO3 codes that are not economies in our frame. Twelve are regional or income aggregates — WLD, HIC, LIC, LMC, UMC, LMY, EAP, ECA, LAC, MNA, SAS, SSA. Five are territories or non-member states outside the EGDI frame — HKG, PRI, PSE, TWN, XKX. Five are Tier I exclusions with no penetration value — SDN, SSD, SYR, TKM, YEM. An inner join or a concatenation will pull some of these into the estimation sample, and a regression containing WLD or HIC alongside 145 countries is a serious error that will not announce itself. A left join from the canonical file drops all 22 automatically. Verify that it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638" w:sz="2"/>
              <w:left w:val="single" w:color="A32638" w:sz="18"/>
              <w:bottom w:val="single" w:color="A32638" w:sz="2"/>
              <w:right w:val="single" w:color="A32638" w:sz="2"/>
            </w:tcBorders>
            <w:shd w:fill="F9E3E6" w:color="auto" w:val="clear"/>
            <w:tcMar>
              <w:top w:type="dxa" w:w="140"/>
              <w:left w:type="dxa" w:w="160"/>
              <w:bottom w:type="dxa" w:w="140"/>
              <w:right w:type="dxa" w:w="160"/>
            </w:tcMar>
          </w:tcPr>
          <w:p>
            <w:r>
              <w:rPr>
                <w:rFonts w:ascii="Calibri" w:cs="Calibri" w:eastAsia="Calibri" w:hAnsi="Calibri"/>
                <w:b/>
                <w:bCs/>
                <w:color w:val="A32638"/>
                <w:sz w:val="19"/>
                <w:szCs w:val="19"/>
              </w:rPr>
              <w:t xml:space="preserve">GATE — </w:t>
            </w:r>
            <w:r>
              <w:rPr>
                <w:rFonts w:ascii="Calibri" w:cs="Calibri" w:eastAsia="Calibri" w:hAnsi="Calibri"/>
                <w:sz w:val="19"/>
                <w:szCs w:val="19"/>
              </w:rPr>
              <w:t xml:space="preserve">Gate A. Before estimating anything, report the merged row counts. The number of rows with a non-missing outcome and non-missing inc, T, F and Φ must be exactly 145 for GovPay_Pct, 150 for DigitalPay_Pct, and 88 for MobileAccess_Pct. If any of the three differs by even one row, stop and report the discrepancy with the ISO3 codes involved. Do not proceed to Section 4.</w:t>
            </w:r>
          </w:p>
        </w:tc>
      </w:tr>
    </w:tbl>
    <w:p>
      <w:pPr>
        <w:spacing w:after="120" w:line="276"/>
      </w:pPr>
      <w:r>
        <w:rPr>
          <w:rFonts w:ascii="Calibri" w:cs="Calibri" w:eastAsia="Calibri" w:hAnsi="Calibri"/>
          <w:sz w:val="20"/>
          <w:szCs w:val="20"/>
        </w:rPr>
        <w:t xml:space="preserve"/>
      </w:r>
    </w:p>
    <w:p>
      <w:pPr>
        <w:spacing w:after="160" w:line="276"/>
      </w:pPr>
      <w:r>
        <w:rPr>
          <w:rFonts w:ascii="Calibri" w:cs="Calibri" w:eastAsia="Calibri" w:hAnsi="Calibri"/>
          <w:sz w:val="20"/>
          <w:szCs w:val="20"/>
        </w:rPr>
        <w:t xml:space="preserve">One economy, Monaco (MCO), has no UNDP income sub-index and therefore leaves every specification through listwise deletion. That is correct behaviour. Do not impute it.</w:t>
      </w:r>
    </w:p>
    <w:p>
      <w:pPr>
        <w:pBdr>
          <w:bottom w:val="single" w:color="1F3A5F" w:sz="6" w:space="4"/>
        </w:pBdr>
        <w:spacing w:after="140" w:before="320"/>
      </w:pPr>
      <w:r>
        <w:rPr>
          <w:rFonts w:ascii="Calibri" w:cs="Calibri" w:eastAsia="Calibri" w:hAnsi="Calibri"/>
          <w:b/>
          <w:bCs/>
          <w:color w:val="1F3A5F"/>
          <w:spacing w:val="20"/>
          <w:sz w:val="22"/>
          <w:szCs w:val="22"/>
        </w:rPr>
        <w:t xml:space="preserve">4  THE SPECIFICATION LADDER</w:t>
      </w:r>
    </w:p>
    <w:p>
      <w:pPr>
        <w:spacing w:after="120" w:line="276"/>
      </w:pPr>
      <w:r>
        <w:rPr>
          <w:rFonts w:ascii="Calibri" w:cs="Calibri" w:eastAsia="Calibri" w:hAnsi="Calibri"/>
          <w:sz w:val="20"/>
          <w:szCs w:val="20"/>
        </w:rPr>
        <w:t xml:space="preserve">Estimate by ordinary least squares with heteroskedasticity-robust standard errors of type HC3, not HC1 and not the default. At N = 145 the difference is not cosmetic. Run the full ladder separately on each of the three outcomes.</w:t>
      </w:r>
    </w:p>
    <w:p>
      <w:pPr>
        <w:spacing w:after="100" w:line="276"/>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2460"/>
      </w:tblGrid>
      <w:tr>
        <w:trPr>
          <w:tblHeader/>
        </w:trPr>
        <w:tc>
          <w:tcPr>
            <w:tcW w:type="dxa" w:w="1500"/>
            <w:shd w:fill="1F3A5F" w:color="auto" w:val="clear"/>
            <w:tcMar>
              <w:top w:type="dxa" w:w="90"/>
              <w:left w:type="dxa" w:w="110"/>
              <w:bottom w:type="dxa" w:w="90"/>
              <w:right w:type="dxa" w:w="110"/>
            </w:tcMar>
          </w:tcPr>
          <w:p>
            <w:r>
              <w:rPr>
                <w:rFonts w:ascii="Calibri" w:cs="Calibri" w:eastAsia="Calibri" w:hAnsi="Calibri"/>
                <w:b/>
                <w:bCs/>
                <w:color w:val="FFFFFF"/>
                <w:sz w:val="17"/>
                <w:szCs w:val="17"/>
              </w:rPr>
              <w:t xml:space="preserve">MODEL</w:t>
            </w:r>
          </w:p>
        </w:tc>
        <w:tc>
          <w:tcPr>
            <w:tcW w:type="dxa" w:w="5400"/>
            <w:shd w:fill="1F3A5F" w:color="auto" w:val="clear"/>
            <w:tcMar>
              <w:top w:type="dxa" w:w="90"/>
              <w:left w:type="dxa" w:w="110"/>
              <w:bottom w:type="dxa" w:w="90"/>
              <w:right w:type="dxa" w:w="110"/>
            </w:tcMar>
          </w:tcPr>
          <w:p>
            <w:r>
              <w:rPr>
                <w:rFonts w:ascii="Calibri" w:cs="Calibri" w:eastAsia="Calibri" w:hAnsi="Calibri"/>
                <w:b/>
                <w:bCs/>
                <w:color w:val="FFFFFF"/>
                <w:sz w:val="17"/>
                <w:szCs w:val="17"/>
              </w:rPr>
              <w:t xml:space="preserve">RIGHT-HAND SIDE</w:t>
            </w:r>
          </w:p>
        </w:tc>
        <w:tc>
          <w:tcPr>
            <w:tcW w:type="dxa" w:w="2460"/>
            <w:shd w:fill="1F3A5F" w:color="auto" w:val="clear"/>
            <w:tcMar>
              <w:top w:type="dxa" w:w="90"/>
              <w:left w:type="dxa" w:w="110"/>
              <w:bottom w:type="dxa" w:w="90"/>
              <w:right w:type="dxa" w:w="110"/>
            </w:tcMar>
          </w:tcPr>
          <w:p>
            <w:r>
              <w:rPr>
                <w:rFonts w:ascii="Calibri" w:cs="Calibri" w:eastAsia="Calibri" w:hAnsi="Calibri"/>
                <w:b/>
                <w:bCs/>
                <w:color w:val="FFFFFF"/>
                <w:sz w:val="17"/>
                <w:szCs w:val="17"/>
              </w:rPr>
              <w:t xml:space="preserve">COEFFICIENT OF INTEREST</w:t>
            </w:r>
          </w:p>
        </w:tc>
      </w:tr>
      <w:tr>
        <w:tc>
          <w:tcPr>
            <w:tcW w:type="dxa" w:w="1500"/>
            <w:tcMar>
              <w:top w:type="dxa" w:w="90"/>
              <w:left w:type="dxa" w:w="110"/>
              <w:bottom w:type="dxa" w:w="90"/>
              <w:right w:type="dxa" w:w="110"/>
            </w:tcMar>
          </w:tcPr>
          <w:p>
            <w:r>
              <w:rPr>
                <w:rFonts w:ascii="Consolas" w:cs="Consolas" w:eastAsia="Consolas" w:hAnsi="Consolas"/>
                <w:b/>
                <w:bCs/>
                <w:sz w:val="18"/>
                <w:szCs w:val="18"/>
              </w:rPr>
              <w:t xml:space="preserve">M0</w:t>
            </w:r>
          </w:p>
        </w:tc>
        <w:tc>
          <w:tcPr>
            <w:tcW w:type="dxa" w:w="5400"/>
            <w:tcMar>
              <w:top w:type="dxa" w:w="90"/>
              <w:left w:type="dxa" w:w="110"/>
              <w:bottom w:type="dxa" w:w="90"/>
              <w:right w:type="dxa" w:w="110"/>
            </w:tcMar>
          </w:tcPr>
          <w:p>
            <w:r>
              <w:rPr>
                <w:rFonts w:ascii="Calibri" w:cs="Calibri" w:eastAsia="Calibri" w:hAnsi="Calibri"/>
                <w:b w:val="false"/>
                <w:bCs w:val="false"/>
                <w:sz w:val="18"/>
                <w:szCs w:val="18"/>
              </w:rPr>
              <w:t xml:space="preserve">inc</w:t>
            </w:r>
          </w:p>
        </w:tc>
        <w:tc>
          <w:tcPr>
            <w:tcW w:type="dxa" w:w="2460"/>
            <w:tcMar>
              <w:top w:type="dxa" w:w="90"/>
              <w:left w:type="dxa" w:w="110"/>
              <w:bottom w:type="dxa" w:w="90"/>
              <w:right w:type="dxa" w:w="110"/>
            </w:tcMar>
          </w:tcPr>
          <w:p>
            <w:r>
              <w:rPr>
                <w:rFonts w:ascii="Calibri" w:cs="Calibri" w:eastAsia="Calibri" w:hAnsi="Calibri"/>
                <w:b w:val="false"/>
                <w:bCs w:val="false"/>
                <w:sz w:val="18"/>
                <w:szCs w:val="18"/>
              </w:rPr>
              <w:t xml:space="preserve">— (baseline R² only)</w:t>
            </w:r>
          </w:p>
        </w:tc>
      </w:tr>
      <w:tr>
        <w:tc>
          <w:tcPr>
            <w:tcW w:type="dxa" w:w="1500"/>
            <w:shd w:fill="F4F4F4" w:color="auto" w:val="clear"/>
            <w:tcMar>
              <w:top w:type="dxa" w:w="90"/>
              <w:left w:type="dxa" w:w="110"/>
              <w:bottom w:type="dxa" w:w="90"/>
              <w:right w:type="dxa" w:w="110"/>
            </w:tcMar>
          </w:tcPr>
          <w:p>
            <w:r>
              <w:rPr>
                <w:rFonts w:ascii="Consolas" w:cs="Consolas" w:eastAsia="Consolas" w:hAnsi="Consolas"/>
                <w:b/>
                <w:bCs/>
                <w:sz w:val="18"/>
                <w:szCs w:val="18"/>
              </w:rPr>
              <w:t xml:space="preserve">M1</w:t>
            </w:r>
          </w:p>
        </w:tc>
        <w:tc>
          <w:tcPr>
            <w:tcW w:type="dxa" w:w="5400"/>
            <w:shd w:fill="F4F4F4" w:color="auto" w:val="clear"/>
            <w:tcMar>
              <w:top w:type="dxa" w:w="90"/>
              <w:left w:type="dxa" w:w="110"/>
              <w:bottom w:type="dxa" w:w="90"/>
              <w:right w:type="dxa" w:w="110"/>
            </w:tcMar>
          </w:tcPr>
          <w:p>
            <w:r>
              <w:rPr>
                <w:rFonts w:ascii="Calibri" w:cs="Calibri" w:eastAsia="Calibri" w:hAnsi="Calibri"/>
                <w:b w:val="false"/>
                <w:bCs w:val="false"/>
                <w:sz w:val="18"/>
                <w:szCs w:val="18"/>
              </w:rPr>
              <w:t xml:space="preserve">inc, T</w:t>
            </w:r>
          </w:p>
        </w:tc>
        <w:tc>
          <w:tcPr>
            <w:tcW w:type="dxa" w:w="2460"/>
            <w:shd w:fill="F4F4F4" w:color="auto" w:val="clear"/>
            <w:tcMar>
              <w:top w:type="dxa" w:w="90"/>
              <w:left w:type="dxa" w:w="110"/>
              <w:bottom w:type="dxa" w:w="90"/>
              <w:right w:type="dxa" w:w="110"/>
            </w:tcMar>
          </w:tcPr>
          <w:p>
            <w:r>
              <w:rPr>
                <w:rFonts w:ascii="Calibri" w:cs="Calibri" w:eastAsia="Calibri" w:hAnsi="Calibri"/>
                <w:b w:val="false"/>
                <w:bCs w:val="false"/>
                <w:sz w:val="18"/>
                <w:szCs w:val="18"/>
              </w:rPr>
              <w:t xml:space="preserve">— (baseline R² only)</w:t>
            </w:r>
          </w:p>
        </w:tc>
      </w:tr>
      <w:tr>
        <w:tc>
          <w:tcPr>
            <w:tcW w:type="dxa" w:w="1500"/>
            <w:tcMar>
              <w:top w:type="dxa" w:w="90"/>
              <w:left w:type="dxa" w:w="110"/>
              <w:bottom w:type="dxa" w:w="90"/>
              <w:right w:type="dxa" w:w="110"/>
            </w:tcMar>
          </w:tcPr>
          <w:p>
            <w:r>
              <w:rPr>
                <w:rFonts w:ascii="Consolas" w:cs="Consolas" w:eastAsia="Consolas" w:hAnsi="Consolas"/>
                <w:b/>
                <w:bCs/>
                <w:sz w:val="18"/>
                <w:szCs w:val="18"/>
              </w:rPr>
              <w:t xml:space="preserve">M2</w:t>
            </w:r>
          </w:p>
        </w:tc>
        <w:tc>
          <w:tcPr>
            <w:tcW w:type="dxa" w:w="5400"/>
            <w:tcMar>
              <w:top w:type="dxa" w:w="90"/>
              <w:left w:type="dxa" w:w="110"/>
              <w:bottom w:type="dxa" w:w="90"/>
              <w:right w:type="dxa" w:w="110"/>
            </w:tcMar>
          </w:tcPr>
          <w:p>
            <w:r>
              <w:rPr>
                <w:rFonts w:ascii="Calibri" w:cs="Calibri" w:eastAsia="Calibri" w:hAnsi="Calibri"/>
                <w:b w:val="false"/>
                <w:bCs w:val="false"/>
                <w:sz w:val="18"/>
                <w:szCs w:val="18"/>
              </w:rPr>
              <w:t xml:space="preserve">inc, T, Φ</w:t>
            </w:r>
          </w:p>
        </w:tc>
        <w:tc>
          <w:tcPr>
            <w:tcW w:type="dxa" w:w="2460"/>
            <w:tcMar>
              <w:top w:type="dxa" w:w="90"/>
              <w:left w:type="dxa" w:w="110"/>
              <w:bottom w:type="dxa" w:w="90"/>
              <w:right w:type="dxa" w:w="110"/>
            </w:tcMar>
          </w:tcPr>
          <w:p>
            <w:r>
              <w:rPr>
                <w:rFonts w:ascii="Calibri" w:cs="Calibri" w:eastAsia="Calibri" w:hAnsi="Calibri"/>
                <w:b w:val="false"/>
                <w:bCs w:val="false"/>
                <w:sz w:val="18"/>
                <w:szCs w:val="18"/>
              </w:rPr>
              <w:t xml:space="preserve">Φ  (the current paper specification)</w:t>
            </w:r>
          </w:p>
        </w:tc>
      </w:tr>
      <w:tr>
        <w:tc>
          <w:tcPr>
            <w:tcW w:type="dxa" w:w="1500"/>
            <w:shd w:fill="F4F4F4" w:color="auto" w:val="clear"/>
            <w:tcMar>
              <w:top w:type="dxa" w:w="90"/>
              <w:left w:type="dxa" w:w="110"/>
              <w:bottom w:type="dxa" w:w="90"/>
              <w:right w:type="dxa" w:w="110"/>
            </w:tcMar>
          </w:tcPr>
          <w:p>
            <w:r>
              <w:rPr>
                <w:rFonts w:ascii="Consolas" w:cs="Consolas" w:eastAsia="Consolas" w:hAnsi="Consolas"/>
                <w:b/>
                <w:bCs/>
                <w:sz w:val="18"/>
                <w:szCs w:val="18"/>
              </w:rPr>
              <w:t xml:space="preserve">M3</w:t>
            </w:r>
          </w:p>
        </w:tc>
        <w:tc>
          <w:tcPr>
            <w:tcW w:type="dxa" w:w="5400"/>
            <w:shd w:fill="F4F4F4" w:color="auto" w:val="clear"/>
            <w:tcMar>
              <w:top w:type="dxa" w:w="90"/>
              <w:left w:type="dxa" w:w="110"/>
              <w:bottom w:type="dxa" w:w="90"/>
              <w:right w:type="dxa" w:w="110"/>
            </w:tcMar>
          </w:tcPr>
          <w:p>
            <w:r>
              <w:rPr>
                <w:rFonts w:ascii="Calibri" w:cs="Calibri" w:eastAsia="Calibri" w:hAnsi="Calibri"/>
                <w:b w:val="false"/>
                <w:bCs w:val="false"/>
                <w:sz w:val="18"/>
                <w:szCs w:val="18"/>
              </w:rPr>
              <w:t xml:space="preserve">inc, T, F, Φ</w:t>
            </w:r>
          </w:p>
        </w:tc>
        <w:tc>
          <w:tcPr>
            <w:tcW w:type="dxa" w:w="2460"/>
            <w:shd w:fill="F4F4F4" w:color="auto" w:val="clear"/>
            <w:tcMar>
              <w:top w:type="dxa" w:w="90"/>
              <w:left w:type="dxa" w:w="110"/>
              <w:bottom w:type="dxa" w:w="90"/>
              <w:right w:type="dxa" w:w="110"/>
            </w:tcMar>
          </w:tcPr>
          <w:p>
            <w:r>
              <w:rPr>
                <w:rFonts w:ascii="Calibri" w:cs="Calibri" w:eastAsia="Calibri" w:hAnsi="Calibri"/>
                <w:b w:val="false"/>
                <w:bCs w:val="false"/>
                <w:sz w:val="18"/>
                <w:szCs w:val="18"/>
              </w:rPr>
              <w:t xml:space="preserve">Φ  (the decisive test)</w:t>
            </w:r>
          </w:p>
        </w:tc>
      </w:tr>
      <w:tr>
        <w:tc>
          <w:tcPr>
            <w:tcW w:type="dxa" w:w="1500"/>
            <w:tcMar>
              <w:top w:type="dxa" w:w="90"/>
              <w:left w:type="dxa" w:w="110"/>
              <w:bottom w:type="dxa" w:w="90"/>
              <w:right w:type="dxa" w:w="110"/>
            </w:tcMar>
          </w:tcPr>
          <w:p>
            <w:r>
              <w:rPr>
                <w:rFonts w:ascii="Consolas" w:cs="Consolas" w:eastAsia="Consolas" w:hAnsi="Consolas"/>
                <w:b/>
                <w:bCs/>
                <w:sz w:val="18"/>
                <w:szCs w:val="18"/>
              </w:rPr>
              <w:t xml:space="preserve">M3b</w:t>
            </w:r>
          </w:p>
        </w:tc>
        <w:tc>
          <w:tcPr>
            <w:tcW w:type="dxa" w:w="5400"/>
            <w:tcMar>
              <w:top w:type="dxa" w:w="90"/>
              <w:left w:type="dxa" w:w="110"/>
              <w:bottom w:type="dxa" w:w="90"/>
              <w:right w:type="dxa" w:w="110"/>
            </w:tcMar>
          </w:tcPr>
          <w:p>
            <w:r>
              <w:rPr>
                <w:rFonts w:ascii="Calibri" w:cs="Calibri" w:eastAsia="Calibri" w:hAnsi="Calibri"/>
                <w:b w:val="false"/>
                <w:bCs w:val="false"/>
                <w:sz w:val="18"/>
                <w:szCs w:val="18"/>
              </w:rPr>
              <w:t xml:space="preserve">inc, T, F</w:t>
            </w:r>
          </w:p>
        </w:tc>
        <w:tc>
          <w:tcPr>
            <w:tcW w:type="dxa" w:w="2460"/>
            <w:tcMar>
              <w:top w:type="dxa" w:w="90"/>
              <w:left w:type="dxa" w:w="110"/>
              <w:bottom w:type="dxa" w:w="90"/>
              <w:right w:type="dxa" w:w="110"/>
            </w:tcMar>
          </w:tcPr>
          <w:p>
            <w:r>
              <w:rPr>
                <w:rFonts w:ascii="Calibri" w:cs="Calibri" w:eastAsia="Calibri" w:hAnsi="Calibri"/>
                <w:b w:val="false"/>
                <w:bCs w:val="false"/>
                <w:sz w:val="18"/>
                <w:szCs w:val="18"/>
              </w:rPr>
              <w:t xml:space="preserve">F  (Φ omitted — what F does alone)</w:t>
            </w:r>
          </w:p>
        </w:tc>
      </w:tr>
      <w:tr>
        <w:tc>
          <w:tcPr>
            <w:tcW w:type="dxa" w:w="1500"/>
            <w:shd w:fill="F4F4F4" w:color="auto" w:val="clear"/>
            <w:tcMar>
              <w:top w:type="dxa" w:w="90"/>
              <w:left w:type="dxa" w:w="110"/>
              <w:bottom w:type="dxa" w:w="90"/>
              <w:right w:type="dxa" w:w="110"/>
            </w:tcMar>
          </w:tcPr>
          <w:p>
            <w:r>
              <w:rPr>
                <w:rFonts w:ascii="Consolas" w:cs="Consolas" w:eastAsia="Consolas" w:hAnsi="Consolas"/>
                <w:b/>
                <w:bCs/>
                <w:sz w:val="18"/>
                <w:szCs w:val="18"/>
              </w:rPr>
              <w:t xml:space="preserve">M5</w:t>
            </w:r>
          </w:p>
        </w:tc>
        <w:tc>
          <w:tcPr>
            <w:tcW w:type="dxa" w:w="5400"/>
            <w:shd w:fill="F4F4F4" w:color="auto" w:val="clear"/>
            <w:tcMar>
              <w:top w:type="dxa" w:w="90"/>
              <w:left w:type="dxa" w:w="110"/>
              <w:bottom w:type="dxa" w:w="90"/>
              <w:right w:type="dxa" w:w="110"/>
            </w:tcMar>
          </w:tcPr>
          <w:p>
            <w:r>
              <w:rPr>
                <w:rFonts w:ascii="Calibri" w:cs="Calibri" w:eastAsia="Calibri" w:hAnsi="Calibri"/>
                <w:b w:val="false"/>
                <w:bCs w:val="false"/>
                <w:sz w:val="18"/>
                <w:szCs w:val="18"/>
              </w:rPr>
              <w:t xml:space="preserve">inc, T_svc, F, Φ_svc</w:t>
            </w:r>
          </w:p>
        </w:tc>
        <w:tc>
          <w:tcPr>
            <w:tcW w:type="dxa" w:w="2460"/>
            <w:shd w:fill="F4F4F4" w:color="auto" w:val="clear"/>
            <w:tcMar>
              <w:top w:type="dxa" w:w="90"/>
              <w:left w:type="dxa" w:w="110"/>
              <w:bottom w:type="dxa" w:w="90"/>
              <w:right w:type="dxa" w:w="110"/>
            </w:tcMar>
          </w:tcPr>
          <w:p>
            <w:r>
              <w:rPr>
                <w:rFonts w:ascii="Calibri" w:cs="Calibri" w:eastAsia="Calibri" w:hAnsi="Calibri"/>
                <w:b w:val="false"/>
                <w:bCs w:val="false"/>
                <w:sz w:val="18"/>
                <w:szCs w:val="18"/>
              </w:rPr>
              <w:t xml:space="preserve">Φ_svc  (overlap-free truth component)</w:t>
            </w:r>
          </w:p>
        </w:tc>
      </w:tr>
    </w:tbl>
    <w:p>
      <w:pPr>
        <w:spacing w:after="140" w:line="276"/>
      </w:pPr>
      <w:r>
        <w:rPr>
          <w:rFonts w:ascii="Calibri" w:cs="Calibri" w:eastAsia="Calibri" w:hAnsi="Calibri"/>
          <w:sz w:val="20"/>
          <w:szCs w:val="20"/>
        </w:rPr>
        <w:t xml:space="preserve"/>
      </w:r>
    </w:p>
    <w:p>
      <w:pPr>
        <w:spacing w:after="100" w:line="276"/>
      </w:pPr>
      <w:r>
        <w:rPr>
          <w:rFonts w:ascii="Calibri" w:cs="Calibri" w:eastAsia="Calibri" w:hAnsi="Calibri"/>
          <w:sz w:val="20"/>
          <w:szCs w:val="20"/>
        </w:rPr>
        <w:t xml:space="preserve">For every model report: N, R², and for each regressor the coefficient, HC3 standard error, t statistic and p value, all to four decimal places. Report p values below 0.0001 in scientific notation rather than as 0.0000.</w:t>
      </w:r>
    </w:p>
    <w:p>
      <w:pPr>
        <w:spacing w:after="160" w:line="276"/>
      </w:pPr>
      <w:r>
        <w:rPr>
          <w:rFonts w:ascii="Calibri" w:cs="Calibri" w:eastAsia="Calibri" w:hAnsi="Calibri"/>
          <w:sz w:val="20"/>
          <w:szCs w:val="20"/>
        </w:rPr>
        <w:t xml:space="preserve">M3b is not padding. It answers a question the reader will ask directly — what does non-reach explain on its own, once capacity and income are held fixed? Report its coefficient on F and its R² against M1 whatever they turn out to be.</w:t>
      </w:r>
    </w:p>
    <w:p>
      <w:pPr>
        <w:spacing w:after="80" w:before="200"/>
      </w:pPr>
      <w:r>
        <w:rPr>
          <w:rFonts w:ascii="Calibri" w:cs="Calibri" w:eastAsia="Calibri" w:hAnsi="Calibri"/>
          <w:b/>
          <w:bCs/>
          <w:color w:val="1F3A5F"/>
          <w:sz w:val="20"/>
          <w:szCs w:val="20"/>
        </w:rPr>
        <w:t xml:space="preserve">A collinearity note you will need</w:t>
      </w:r>
    </w:p>
    <w:p>
      <w:pPr>
        <w:spacing w:after="120" w:line="276"/>
      </w:pPr>
      <w:r>
        <w:rPr>
          <w:rFonts w:ascii="Calibri" w:cs="Calibri" w:eastAsia="Calibri" w:hAnsi="Calibri"/>
          <w:sz w:val="20"/>
          <w:szCs w:val="20"/>
        </w:rPr>
        <w:t xml:space="preserve">Report the variance inflation factors for M3. They will be large for T and F, because Φ is their product. This is expected and is not a defect: the coefficient on an interaction term is invariant to mean-centring of its constituent variables, so the inflation attaches to the main effects and not to the quantity being tested. Demonstrate this rather than assert it — re-estimate M3 with T and F each centred at their sample means and Φ recomputed as the product of the centred variables, and confirm that the coefficient on Φ is identical to four decimal places. Report both estimates side by side.</w:t>
      </w:r>
    </w:p>
    <w:p>
      <w:pPr>
        <w:pBdr>
          <w:bottom w:val="single" w:color="1F3A5F" w:sz="6" w:space="4"/>
        </w:pBdr>
        <w:spacing w:after="140" w:before="320"/>
      </w:pPr>
      <w:r>
        <w:rPr>
          <w:rFonts w:ascii="Calibri" w:cs="Calibri" w:eastAsia="Calibri" w:hAnsi="Calibri"/>
          <w:b/>
          <w:bCs/>
          <w:color w:val="1F3A5F"/>
          <w:spacing w:val="20"/>
          <w:sz w:val="22"/>
          <w:szCs w:val="22"/>
        </w:rPr>
        <w:t xml:space="preserve">5  MARGINAL EFFECTS — THE PART THAT CARRIES THE INTERPRETATION</w:t>
      </w:r>
    </w:p>
    <w:p>
      <w:pPr>
        <w:spacing w:after="120" w:line="276"/>
      </w:pPr>
      <w:r>
        <w:rPr>
          <w:rFonts w:ascii="Calibri" w:cs="Calibri" w:eastAsia="Calibri" w:hAnsi="Calibri"/>
          <w:sz w:val="20"/>
          <w:szCs w:val="20"/>
        </w:rPr>
        <w:t xml:space="preserve">In an interaction model the raw coefficients on T and F are not the effects of capacity and non-reach. They are the effects of each when the other is zero, which is why the coefficient on F may carry a sign that looks wrong. Nothing should be concluded from them directly, and the paper will not report them as effects.</w:t>
      </w:r>
    </w:p>
    <w:p>
      <w:pPr>
        <w:spacing w:after="100" w:line="276"/>
      </w:pPr>
      <w:r>
        <w:rPr>
          <w:rFonts w:ascii="Calibri" w:cs="Calibri" w:eastAsia="Calibri" w:hAnsi="Calibri"/>
          <w:sz w:val="20"/>
          <w:szCs w:val="20"/>
        </w:rPr>
        <w:t xml:space="preserve">The interpretable quantity is the marginal effect of non-reach at a given level of state capacity:</w:t>
      </w:r>
    </w:p>
    <w:p>
      <w:pPr>
        <w:spacing w:after="140" w:before="60"/>
        <w:jc w:val="center"/>
      </w:pPr>
      <w:r>
        <w:rPr>
          <w:rFonts w:ascii="Cambria Math" w:cs="Cambria Math" w:eastAsia="Cambria Math" w:hAnsi="Cambria Math"/>
          <w:b/>
          <w:bCs/>
          <w:color w:val="1F3A5F"/>
          <w:sz w:val="22"/>
          <w:szCs w:val="22"/>
        </w:rPr>
        <w:t xml:space="preserve">∂y / ∂F  =  β_F  +  β_Φ · T</w:t>
      </w:r>
    </w:p>
    <w:p>
      <w:pPr>
        <w:spacing w:after="120" w:line="276"/>
      </w:pPr>
      <w:r>
        <w:rPr>
          <w:rFonts w:ascii="Calibri" w:cs="Calibri" w:eastAsia="Calibri" w:hAnsi="Calibri"/>
          <w:sz w:val="20"/>
          <w:szCs w:val="20"/>
        </w:rPr>
        <w:t xml:space="preserve">Compute this over the grid T ∈ {0.20, 0.40, 0.60, 0.80, 0.95}, for the government-payments outcome and for the broad digital-payments outcome. Standard errors by the delta method from the HC3 covariance matrix — for a gradient vector g with 1 in the F position and T in the Φ position and zeros elsewhere, the variance is gᵀ V g. Report the effect, its standard error and its p value at each grid point, plus the sample mean of T so the effect at the mean can be read off.</w:t>
      </w:r>
    </w:p>
    <w:p>
      <w:pPr>
        <w:spacing w:after="160" w:line="276"/>
      </w:pPr>
      <w:r>
        <w:rPr>
          <w:rFonts w:ascii="Calibri" w:cs="Calibri" w:eastAsia="Calibri" w:hAnsi="Calibri"/>
          <w:sz w:val="20"/>
          <w:szCs w:val="20"/>
        </w:rPr>
        <w:t xml:space="preserve">Also report, for context, the proportion of the estimation sample lying below T = 0.40. If the grid's lower points rest on very few economies, that must be visible.</w:t>
      </w:r>
    </w:p>
    <w:p>
      <w:pPr>
        <w:pBdr>
          <w:bottom w:val="single" w:color="1F3A5F" w:sz="6" w:space="4"/>
        </w:pBdr>
        <w:spacing w:after="140" w:before="320"/>
      </w:pPr>
      <w:r>
        <w:rPr>
          <w:rFonts w:ascii="Calibri" w:cs="Calibri" w:eastAsia="Calibri" w:hAnsi="Calibri"/>
          <w:b/>
          <w:bCs/>
          <w:color w:val="1F3A5F"/>
          <w:spacing w:val="20"/>
          <w:sz w:val="22"/>
          <w:szCs w:val="22"/>
        </w:rPr>
        <w:t xml:space="preserve">6  FUNCTIONAL FORM</w:t>
      </w:r>
    </w:p>
    <w:p>
      <w:pPr>
        <w:spacing w:after="120" w:line="276"/>
      </w:pPr>
      <w:r>
        <w:rPr>
          <w:rFonts w:ascii="Calibri" w:cs="Calibri" w:eastAsia="Calibri" w:hAnsi="Calibri"/>
          <w:sz w:val="20"/>
          <w:szCs w:val="20"/>
        </w:rPr>
        <w:t xml:space="preserve">All three outcomes are population shares bounded on [0, 1], so a referee will ask whether the linear model is doing the work. Re-estimate M3 for the government-payments outcome as a fractional response model — a generalised linear model with binomial family and logit link, HC3 standard errors, estimated by quasi-maximum likelihood. The outcome enters as a proportion; do not transform it and do not drop observations at the bounds.</w:t>
      </w:r>
    </w:p>
    <w:p>
      <w:pPr>
        <w:spacing w:after="120" w:line="276"/>
      </w:pPr>
      <w:r>
        <w:rPr>
          <w:rFonts w:ascii="Calibri" w:cs="Calibri" w:eastAsia="Calibri" w:hAnsi="Calibri"/>
          <w:sz w:val="20"/>
          <w:szCs w:val="20"/>
        </w:rPr>
        <w:t xml:space="preserve">Report the index coefficient on Φ with its standard error and p value, and separately the average marginal effect of F at T = 0.60, 0.80 and 0.95, computed numerically on the fitted-probability scale. These two are not the same object and may not agree in significance — an interaction coefficient in the linear index is not the interaction on the probability scale. Report both without reconciling them.</w:t>
      </w:r>
    </w:p>
    <w:p>
      <w:pPr>
        <w:pBdr>
          <w:bottom w:val="single" w:color="1F3A5F" w:sz="6" w:space="4"/>
        </w:pBdr>
        <w:spacing w:after="140" w:before="320"/>
      </w:pPr>
      <w:r>
        <w:rPr>
          <w:rFonts w:ascii="Calibri" w:cs="Calibri" w:eastAsia="Calibri" w:hAnsi="Calibri"/>
          <w:b/>
          <w:bCs/>
          <w:color w:val="1F3A5F"/>
          <w:spacing w:val="20"/>
          <w:sz w:val="22"/>
          <w:szCs w:val="22"/>
        </w:rPr>
        <w:t xml:space="preserve">7  ROBUSTNESS AND INFLUENCE</w:t>
      </w:r>
    </w:p>
    <w:p>
      <w:pPr>
        <w:pStyle w:val="ListParagraph"/>
        <w:numPr>
          <w:ilvl w:val="0"/>
          <w:numId w:val="2"/>
        </w:numPr>
        <w:spacing w:after="80" w:line="276"/>
      </w:pPr>
      <w:r>
        <w:rPr>
          <w:rFonts w:ascii="Calibri" w:cs="Calibri" w:eastAsia="Calibri" w:hAnsi="Calibri"/>
          <w:sz w:val="20"/>
          <w:szCs w:val="20"/>
        </w:rPr>
        <w:t xml:space="preserve">Influence. Cook's distance for every observation in M3 on the government-payments outcome. Name the six highest and state each against the conventional 4/n threshold.</w:t>
      </w:r>
    </w:p>
    <w:p>
      <w:pPr>
        <w:pStyle w:val="ListParagraph"/>
        <w:numPr>
          <w:ilvl w:val="0"/>
          <w:numId w:val="2"/>
        </w:numPr>
        <w:spacing w:after="80" w:line="276"/>
      </w:pPr>
      <w:r>
        <w:rPr>
          <w:rFonts w:ascii="Calibri" w:cs="Calibri" w:eastAsia="Calibri" w:hAnsi="Calibri"/>
          <w:sz w:val="20"/>
          <w:szCs w:val="20"/>
        </w:rPr>
        <w:t xml:space="preserve">Extreme Φ. Re-estimate M3 dropping the top decile of Φ within the estimation sample. Report N and the coefficient. The concern is that a right-skewed regressor is carrying the result on a handful of economies.</w:t>
      </w:r>
    </w:p>
    <w:p>
      <w:pPr>
        <w:pStyle w:val="ListParagraph"/>
        <w:numPr>
          <w:ilvl w:val="0"/>
          <w:numId w:val="2"/>
        </w:numPr>
        <w:spacing w:after="80" w:line="276"/>
      </w:pPr>
      <w:r>
        <w:rPr>
          <w:rFonts w:ascii="Calibri" w:cs="Calibri" w:eastAsia="Calibri" w:hAnsi="Calibri"/>
          <w:sz w:val="20"/>
          <w:szCs w:val="20"/>
        </w:rPr>
        <w:t xml:space="preserve">Regional confounding. Re-estimate M3 adding World Bank region fixed effects (column WB_Region — strip trailing whitespace before creating the dummies; at least one value carries a trailing space in the source).</w:t>
      </w:r>
    </w:p>
    <w:p>
      <w:pPr>
        <w:pStyle w:val="ListParagraph"/>
        <w:numPr>
          <w:ilvl w:val="0"/>
          <w:numId w:val="2"/>
        </w:numPr>
        <w:spacing w:after="80" w:line="276"/>
      </w:pPr>
      <w:r>
        <w:rPr>
          <w:rFonts w:ascii="Calibri" w:cs="Calibri" w:eastAsia="Calibri" w:hAnsi="Calibri"/>
          <w:sz w:val="20"/>
          <w:szCs w:val="20"/>
        </w:rPr>
        <w:t xml:space="preserve">Survey vintage. Survey_Year is 2024 for most economies but 2011, 2014, 2017, 2021 or 2022 for the remainder. Re-estimate M3 restricted to Survey_Year = 2024 and report N alongside the coefficient.</w:t>
      </w:r>
    </w:p>
    <w:p>
      <w:pPr>
        <w:pStyle w:val="ListParagraph"/>
        <w:numPr>
          <w:ilvl w:val="0"/>
          <w:numId w:val="2"/>
        </w:numPr>
        <w:spacing w:after="80" w:line="276"/>
      </w:pPr>
      <w:r>
        <w:rPr>
          <w:rFonts w:ascii="Calibri" w:cs="Calibri" w:eastAsia="Calibri" w:hAnsi="Calibri"/>
          <w:sz w:val="20"/>
          <w:szCs w:val="20"/>
        </w:rPr>
        <w:t xml:space="preserve">Pakistan vintage. Pakistan's penetration is a 2020 carry-forward. Re-estimate M3 with Pakistan alone set to the 2024 release value, p = 0.5725, recomputing F and Φ for that row only. Change no other row.</w:t>
      </w:r>
    </w:p>
    <w:p>
      <w:pPr>
        <w:spacing w:after="160" w:line="276"/>
      </w:pPr>
      <w:r>
        <w:rPr>
          <w:rFonts w:ascii="Calibri" w:cs="Calibri" w:eastAsia="Calibri" w:hAnsi="Calibri"/>
          <w:sz w:val="20"/>
          <w:szCs w:val="20"/>
        </w:rPr>
        <w:t xml:space="preserve">Each of these is a single re-estimation reported in one line. Do not combine them.</w:t>
      </w:r>
    </w:p>
    <w:p>
      <w:pPr>
        <w:pBdr>
          <w:bottom w:val="single" w:color="1F3A5F" w:sz="6" w:space="4"/>
        </w:pBdr>
        <w:spacing w:after="140" w:before="320"/>
      </w:pPr>
      <w:r>
        <w:rPr>
          <w:rFonts w:ascii="Calibri" w:cs="Calibri" w:eastAsia="Calibri" w:hAnsi="Calibri"/>
          <w:b/>
          <w:bCs/>
          <w:color w:val="1F3A5F"/>
          <w:spacing w:val="20"/>
          <w:sz w:val="22"/>
          <w:szCs w:val="22"/>
        </w:rPr>
        <w:t xml:space="preserve">8  FINDEX COVERAGE — IS THE VALIDATION SAMPLE SELECTED?</w:t>
      </w:r>
    </w:p>
    <w:p>
      <w:pPr>
        <w:spacing w:after="120" w:line="276"/>
      </w:pPr>
      <w:r>
        <w:rPr>
          <w:rFonts w:ascii="Calibri" w:cs="Calibri" w:eastAsia="Calibri" w:hAnsi="Calibri"/>
          <w:sz w:val="20"/>
          <w:szCs w:val="20"/>
        </w:rPr>
        <w:t xml:space="preserve">Thirty-nine of the 184 Tier I economies have no government-payments value. If those economies are disproportionately the high-Φ cases, the validation is running on the range where the phenomenon is weakest and the result understates itself; if they are disproportionately low-Φ, the reverse.</w:t>
      </w:r>
    </w:p>
    <w:p>
      <w:pPr>
        <w:spacing w:after="160" w:line="276"/>
      </w:pPr>
      <w:r>
        <w:rPr>
          <w:rFonts w:ascii="Calibri" w:cs="Calibri" w:eastAsia="Calibri" w:hAnsi="Calibri"/>
          <w:sz w:val="20"/>
          <w:szCs w:val="20"/>
        </w:rPr>
        <w:t xml:space="preserve">Split the full Tier I population into covered and uncovered on the availability of GovPay_Pct. For each of Φ, EGDI and inc, report the mean and n in both groups and a two-sided Mann–Whitney test between them. List the uncovered ISO3 codes in full. Draw no conclusion; report the three tests and the list.</w:t>
      </w:r>
    </w:p>
    <w:p>
      <w:pPr>
        <w:pBdr>
          <w:bottom w:val="single" w:color="1F3A5F" w:sz="6" w:space="4"/>
        </w:pBdr>
        <w:spacing w:after="140" w:before="320"/>
      </w:pPr>
      <w:r>
        <w:rPr>
          <w:rFonts w:ascii="Calibri" w:cs="Calibri" w:eastAsia="Calibri" w:hAnsi="Calibri"/>
          <w:b/>
          <w:bCs/>
          <w:color w:val="1F3A5F"/>
          <w:spacing w:val="20"/>
          <w:sz w:val="22"/>
          <w:szCs w:val="22"/>
        </w:rPr>
        <w:t xml:space="preserve">9  INTERPRETIVE CRITERIA — FIXED BEFORE THE ESTIMATES ARE SEEN</w:t>
      </w:r>
    </w:p>
    <w:p>
      <w:pPr>
        <w:spacing w:after="120" w:line="276"/>
      </w:pPr>
      <w:r>
        <w:rPr>
          <w:rFonts w:ascii="Calibri" w:cs="Calibri" w:eastAsia="Calibri" w:hAnsi="Calibri"/>
          <w:sz w:val="20"/>
          <w:szCs w:val="20"/>
        </w:rPr>
        <w:t xml:space="preserve">These were set in the manuscript's Section 2.8 before this step was issued and are not revised after the fact. They are stated here so that you understand what the numbers decide; they are not yours to apply, and your return should contain no interpretation.</w:t>
      </w:r>
    </w:p>
    <w:p>
      <w:pPr>
        <w:pStyle w:val="ListParagraph"/>
        <w:numPr>
          <w:ilvl w:val="0"/>
          <w:numId w:val="2"/>
        </w:numPr>
        <w:spacing w:after="80" w:line="276"/>
      </w:pPr>
      <w:r>
        <w:rPr>
          <w:rFonts w:ascii="Calibri" w:cs="Calibri" w:eastAsia="Calibri" w:hAnsi="Calibri"/>
          <w:sz w:val="20"/>
          <w:szCs w:val="20"/>
        </w:rPr>
        <w:t xml:space="preserve">If the coefficient on Φ in M3 is negative and significant, the conjunction carries information that non-reach alone does not, and the measure's external validation stands.</w:t>
      </w:r>
    </w:p>
    <w:p>
      <w:pPr>
        <w:pStyle w:val="ListParagraph"/>
        <w:numPr>
          <w:ilvl w:val="0"/>
          <w:numId w:val="2"/>
        </w:numPr>
        <w:spacing w:after="80" w:line="276"/>
      </w:pPr>
      <w:r>
        <w:rPr>
          <w:rFonts w:ascii="Calibri" w:cs="Calibri" w:eastAsia="Calibri" w:hAnsi="Calibri"/>
          <w:sz w:val="20"/>
          <w:szCs w:val="20"/>
        </w:rPr>
        <w:t xml:space="preserve">If it is attenuated but survives, both are reported and the manuscript's language is softened accordingly.</w:t>
      </w:r>
    </w:p>
    <w:p>
      <w:pPr>
        <w:pStyle w:val="ListParagraph"/>
        <w:numPr>
          <w:ilvl w:val="0"/>
          <w:numId w:val="2"/>
        </w:numPr>
        <w:spacing w:after="80" w:line="276"/>
      </w:pPr>
      <w:r>
        <w:rPr>
          <w:rFonts w:ascii="Calibri" w:cs="Calibri" w:eastAsia="Calibri" w:hAnsi="Calibri"/>
          <w:sz w:val="20"/>
          <w:szCs w:val="20"/>
        </w:rPr>
        <w:t xml:space="preserve">If F absorbs it, the honest conclusion is that stranded capacity is non-reach weighted by a near-constant factor, and the paper reports that instead.</w:t>
      </w:r>
    </w:p>
    <w:p>
      <w:pPr>
        <w:spacing w:after="160" w:line="276"/>
      </w:pPr>
      <w:r>
        <w:rPr>
          <w:rFonts w:ascii="Calibri" w:cs="Calibri" w:eastAsia="Calibri" w:hAnsi="Calibri"/>
          <w:sz w:val="20"/>
          <w:szCs w:val="20"/>
        </w:rPr>
        <w:t xml:space="preserve">Any of the three is a publishable outcome. None of them is a reason to alter the specification.</w:t>
      </w:r>
    </w:p>
    <w:p>
      <w:pPr>
        <w:pBdr>
          <w:bottom w:val="single" w:color="1F3A5F" w:sz="6" w:space="4"/>
        </w:pBdr>
        <w:spacing w:after="140" w:before="320"/>
      </w:pPr>
      <w:r>
        <w:rPr>
          <w:rFonts w:ascii="Calibri" w:cs="Calibri" w:eastAsia="Calibri" w:hAnsi="Calibri"/>
          <w:b/>
          <w:bCs/>
          <w:color w:val="1F3A5F"/>
          <w:spacing w:val="20"/>
          <w:sz w:val="22"/>
          <w:szCs w:val="22"/>
        </w:rPr>
        <w:t xml:space="preserve">10  WATCH-OUTS</w:t>
      </w:r>
    </w:p>
    <w:p>
      <w:pPr>
        <w:pStyle w:val="ListParagraph"/>
        <w:numPr>
          <w:ilvl w:val="0"/>
          <w:numId w:val="2"/>
        </w:numPr>
        <w:spacing w:after="80" w:line="276"/>
      </w:pPr>
      <w:r>
        <w:rPr>
          <w:rFonts w:ascii="Calibri" w:cs="Calibri" w:eastAsia="Calibri" w:hAnsi="Calibri"/>
          <w:sz w:val="20"/>
          <w:szCs w:val="20"/>
        </w:rPr>
        <w:t xml:space="preserve">Do not impute. No missing outcome, no missing income, no missing penetration is to be filled. Listwise deletion is the rule and the varying N across the three outcomes is expected.</w:t>
      </w:r>
    </w:p>
    <w:p>
      <w:pPr>
        <w:pStyle w:val="ListParagraph"/>
        <w:numPr>
          <w:ilvl w:val="0"/>
          <w:numId w:val="2"/>
        </w:numPr>
        <w:spacing w:after="80" w:line="276"/>
      </w:pPr>
      <w:r>
        <w:rPr>
          <w:rFonts w:ascii="Calibri" w:cs="Calibri" w:eastAsia="Calibri" w:hAnsi="Calibri"/>
          <w:sz w:val="20"/>
          <w:szCs w:val="20"/>
        </w:rPr>
        <w:t xml:space="preserve">Do not standardise or log any variable. All are already on interpretable scales and the interaction term is not invariant to transformations of its arguments.</w:t>
      </w:r>
    </w:p>
    <w:p>
      <w:pPr>
        <w:pStyle w:val="ListParagraph"/>
        <w:numPr>
          <w:ilvl w:val="0"/>
          <w:numId w:val="2"/>
        </w:numPr>
        <w:spacing w:after="80" w:line="276"/>
      </w:pPr>
      <w:r>
        <w:rPr>
          <w:rFonts w:ascii="Calibri" w:cs="Calibri" w:eastAsia="Calibri" w:hAnsi="Calibri"/>
          <w:sz w:val="20"/>
          <w:szCs w:val="20"/>
        </w:rPr>
        <w:t xml:space="preserve">Do not add controls, drop economies, or try alternative Findex indicators in search of a significant coefficient. If the specification appears wrong to you, report the problem and stop — do not fix it silently.</w:t>
      </w:r>
    </w:p>
    <w:p>
      <w:pPr>
        <w:pStyle w:val="ListParagraph"/>
        <w:numPr>
          <w:ilvl w:val="0"/>
          <w:numId w:val="2"/>
        </w:numPr>
        <w:spacing w:after="80" w:line="276"/>
      </w:pPr>
      <w:r>
        <w:rPr>
          <w:rFonts w:ascii="Calibri" w:cs="Calibri" w:eastAsia="Calibri" w:hAnsi="Calibri"/>
          <w:sz w:val="20"/>
          <w:szCs w:val="20"/>
        </w:rPr>
        <w:t xml:space="preserve">Do not use the column Penetration_Pct where p is specified. They differ by a factor of 100 and the error will propagate into Φ without being obvious.</w:t>
      </w:r>
    </w:p>
    <w:p>
      <w:pPr>
        <w:pStyle w:val="ListParagraph"/>
        <w:numPr>
          <w:ilvl w:val="0"/>
          <w:numId w:val="2"/>
        </w:numPr>
        <w:spacing w:after="80" w:line="276"/>
      </w:pPr>
      <w:r>
        <w:rPr>
          <w:rFonts w:ascii="Calibri" w:cs="Calibri" w:eastAsia="Calibri" w:hAnsi="Calibri"/>
          <w:sz w:val="20"/>
          <w:szCs w:val="20"/>
        </w:rPr>
        <w:t xml:space="preserve">MobileAccess_Pct is conditional on holding an account, so it is a post-treatment quantity and is secondary here. Estimate it, report it, and do not treat it as a third confirmation.</w:t>
      </w:r>
    </w:p>
    <w:p>
      <w:pPr>
        <w:pStyle w:val="ListParagraph"/>
        <w:numPr>
          <w:ilvl w:val="0"/>
          <w:numId w:val="2"/>
        </w:numPr>
        <w:spacing w:after="80" w:line="276"/>
      </w:pPr>
      <w:r>
        <w:rPr>
          <w:rFonts w:ascii="Calibri" w:cs="Calibri" w:eastAsia="Calibri" w:hAnsi="Calibri"/>
          <w:sz w:val="20"/>
          <w:szCs w:val="20"/>
        </w:rPr>
        <w:t xml:space="preserve">Report null and contradictory results in full. A coefficient that fails to reach significance is a finding for this step, not an error to be hidden or a reason to re-run.</w:t>
      </w:r>
    </w:p>
    <w:p>
      <w:pPr>
        <w:pStyle w:val="ListParagraph"/>
        <w:numPr>
          <w:ilvl w:val="0"/>
          <w:numId w:val="2"/>
        </w:numPr>
        <w:spacing w:after="80" w:line="276"/>
      </w:pPr>
      <w:r>
        <w:rPr>
          <w:rFonts w:ascii="Calibri" w:cs="Calibri" w:eastAsia="Calibri" w:hAnsi="Calibri"/>
          <w:sz w:val="20"/>
          <w:szCs w:val="20"/>
        </w:rPr>
        <w:t xml:space="preserve">Do not round intermediate quantities. Round only at the point of reporting, to four decimal places.</w:t>
      </w:r>
    </w:p>
    <w:p>
      <w:pPr>
        <w:pStyle w:val="ListParagraph"/>
        <w:numPr>
          <w:ilvl w:val="0"/>
          <w:numId w:val="2"/>
        </w:numPr>
        <w:spacing w:after="80" w:line="276"/>
      </w:pPr>
      <w:r>
        <w:rPr>
          <w:rFonts w:ascii="Calibri" w:cs="Calibri" w:eastAsia="Calibri" w:hAnsi="Calibri"/>
          <w:sz w:val="20"/>
          <w:szCs w:val="20"/>
        </w:rPr>
        <w:t xml:space="preserve">Do not consult the manuscript's Section 3.6 before you finish. The point of the exercise is an independent estimate.</w:t>
      </w:r>
    </w:p>
    <w:p>
      <w:pPr>
        <w:pBdr>
          <w:bottom w:val="single" w:color="1F3A5F" w:sz="6" w:space="4"/>
        </w:pBdr>
        <w:spacing w:after="140" w:before="320"/>
      </w:pPr>
      <w:r>
        <w:rPr>
          <w:rFonts w:ascii="Calibri" w:cs="Calibri" w:eastAsia="Calibri" w:hAnsi="Calibri"/>
          <w:b/>
          <w:bCs/>
          <w:color w:val="1F3A5F"/>
          <w:spacing w:val="20"/>
          <w:sz w:val="22"/>
          <w:szCs w:val="22"/>
        </w:rPr>
        <w:t xml:space="preserve">11  DELIVERABLES AND TASK TABLE</w:t>
      </w:r>
    </w:p>
    <w:p>
      <w:pPr>
        <w:spacing w:after="140" w:line="276"/>
      </w:pPr>
      <w:r>
        <w:rPr>
          <w:rFonts w:ascii="Calibri" w:cs="Calibri" w:eastAsia="Calibri" w:hAnsi="Calibri"/>
          <w:sz w:val="20"/>
          <w:szCs w:val="20"/>
        </w:rPr>
        <w:t xml:space="preserve">Return four files, named exactly as below. The script must run start to finish on the two input files with no manual steps and no hard-coded paths outside a single variable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560"/>
        <w:gridCol w:w="2700"/>
        <w:gridCol w:w="2480"/>
      </w:tblGrid>
      <w:tr>
        <w:trPr>
          <w:tblHeader/>
        </w:trPr>
        <w:tc>
          <w:tcPr>
            <w:tcW w:type="dxa" w:w="620"/>
            <w:shd w:fill="1F3A5F" w:color="auto" w:val="clear"/>
            <w:tcMar>
              <w:top w:type="dxa" w:w="90"/>
              <w:left w:type="dxa" w:w="110"/>
              <w:bottom w:type="dxa" w:w="90"/>
              <w:right w:type="dxa" w:w="110"/>
            </w:tcMar>
          </w:tcPr>
          <w:p>
            <w:r>
              <w:rPr>
                <w:rFonts w:ascii="Calibri" w:cs="Calibri" w:eastAsia="Calibri" w:hAnsi="Calibri"/>
                <w:b/>
                <w:bCs/>
                <w:color w:val="FFFFFF"/>
                <w:sz w:val="17"/>
                <w:szCs w:val="17"/>
              </w:rPr>
              <w:t xml:space="preserve">#</w:t>
            </w:r>
          </w:p>
        </w:tc>
        <w:tc>
          <w:tcPr>
            <w:tcW w:type="dxa" w:w="3560"/>
            <w:shd w:fill="1F3A5F" w:color="auto" w:val="clear"/>
            <w:tcMar>
              <w:top w:type="dxa" w:w="90"/>
              <w:left w:type="dxa" w:w="110"/>
              <w:bottom w:type="dxa" w:w="90"/>
              <w:right w:type="dxa" w:w="110"/>
            </w:tcMar>
          </w:tcPr>
          <w:p>
            <w:r>
              <w:rPr>
                <w:rFonts w:ascii="Calibri" w:cs="Calibri" w:eastAsia="Calibri" w:hAnsi="Calibri"/>
                <w:b/>
                <w:bCs/>
                <w:color w:val="FFFFFF"/>
                <w:sz w:val="17"/>
                <w:szCs w:val="17"/>
              </w:rPr>
              <w:t xml:space="preserve">TASK</w:t>
            </w:r>
          </w:p>
        </w:tc>
        <w:tc>
          <w:tcPr>
            <w:tcW w:type="dxa" w:w="2700"/>
            <w:shd w:fill="1F3A5F" w:color="auto" w:val="clear"/>
            <w:tcMar>
              <w:top w:type="dxa" w:w="90"/>
              <w:left w:type="dxa" w:w="110"/>
              <w:bottom w:type="dxa" w:w="90"/>
              <w:right w:type="dxa" w:w="110"/>
            </w:tcMar>
          </w:tcPr>
          <w:p>
            <w:r>
              <w:rPr>
                <w:rFonts w:ascii="Calibri" w:cs="Calibri" w:eastAsia="Calibri" w:hAnsi="Calibri"/>
                <w:b/>
                <w:bCs/>
                <w:color w:val="FFFFFF"/>
                <w:sz w:val="17"/>
                <w:szCs w:val="17"/>
              </w:rPr>
              <w:t xml:space="preserve">DELIVERABLE</w:t>
            </w:r>
          </w:p>
        </w:tc>
        <w:tc>
          <w:tcPr>
            <w:tcW w:type="dxa" w:w="2480"/>
            <w:shd w:fill="1F3A5F" w:color="auto" w:val="clear"/>
            <w:tcMar>
              <w:top w:type="dxa" w:w="90"/>
              <w:left w:type="dxa" w:w="110"/>
              <w:bottom w:type="dxa" w:w="90"/>
              <w:right w:type="dxa" w:w="110"/>
            </w:tcMar>
          </w:tcPr>
          <w:p>
            <w:r>
              <w:rPr>
                <w:rFonts w:ascii="Calibri" w:cs="Calibri" w:eastAsia="Calibri" w:hAnsi="Calibri"/>
                <w:b/>
                <w:bCs/>
                <w:color w:val="FFFFFF"/>
                <w:sz w:val="17"/>
                <w:szCs w:val="17"/>
              </w:rPr>
              <w:t xml:space="preserve">VERIFICATION REQUIRED</w:t>
            </w:r>
          </w:p>
        </w:tc>
      </w:tr>
      <w:tr>
        <w:tc>
          <w:tcPr>
            <w:tcW w:type="dxa" w:w="620"/>
            <w:tcMar>
              <w:top w:type="dxa" w:w="90"/>
              <w:left w:type="dxa" w:w="110"/>
              <w:bottom w:type="dxa" w:w="90"/>
              <w:right w:type="dxa" w:w="110"/>
            </w:tcMar>
          </w:tcPr>
          <w:p>
            <w:r>
              <w:rPr>
                <w:rFonts w:ascii="Calibri" w:cs="Calibri" w:eastAsia="Calibri" w:hAnsi="Calibri"/>
                <w:b/>
                <w:bCs/>
                <w:color w:val="1F3A5F"/>
                <w:sz w:val="18"/>
                <w:szCs w:val="18"/>
              </w:rPr>
              <w:t xml:space="preserve">1</w:t>
            </w:r>
          </w:p>
        </w:tc>
        <w:tc>
          <w:tcPr>
            <w:tcW w:type="dxa" w:w="3560"/>
            <w:tcMar>
              <w:top w:type="dxa" w:w="90"/>
              <w:left w:type="dxa" w:w="110"/>
              <w:bottom w:type="dxa" w:w="90"/>
              <w:right w:type="dxa" w:w="110"/>
            </w:tcMar>
          </w:tcPr>
          <w:p>
            <w:pPr>
              <w:spacing w:after="0"/>
            </w:pPr>
            <w:r>
              <w:rPr>
                <w:rFonts w:ascii="Calibri" w:cs="Calibri" w:eastAsia="Calibri" w:hAnsi="Calibri"/>
                <w:sz w:val="18"/>
                <w:szCs w:val="18"/>
              </w:rPr>
              <w:t xml:space="preserve">Build the estimation frame: left join, variable construction, recomputation checks on Φ and Φ_svc.</w:t>
            </w:r>
          </w:p>
        </w:tc>
        <w:tc>
          <w:tcPr>
            <w:tcW w:type="dxa" w:w="2700"/>
            <w:tcMar>
              <w:top w:type="dxa" w:w="90"/>
              <w:left w:type="dxa" w:w="110"/>
              <w:bottom w:type="dxa" w:w="90"/>
              <w:right w:type="dxa" w:w="110"/>
            </w:tcMar>
          </w:tcPr>
          <w:p>
            <w:pPr>
              <w:spacing w:after="0"/>
            </w:pPr>
            <w:r>
              <w:rPr>
                <w:rFonts w:ascii="Calibri" w:cs="Calibri" w:eastAsia="Calibri" w:hAnsi="Calibri"/>
                <w:sz w:val="18"/>
                <w:szCs w:val="18"/>
              </w:rPr>
              <w:t xml:space="preserve">Step17_Frame.csv — the merged analysis frame, one row per Tier I economy, all constructed variables retained.</w:t>
            </w:r>
          </w:p>
        </w:tc>
        <w:tc>
          <w:tcPr>
            <w:tcW w:type="dxa" w:w="2480"/>
            <w:tcMar>
              <w:top w:type="dxa" w:w="90"/>
              <w:left w:type="dxa" w:w="110"/>
              <w:bottom w:type="dxa" w:w="90"/>
              <w:right w:type="dxa" w:w="110"/>
            </w:tcMar>
          </w:tcPr>
          <w:p>
            <w:pPr>
              <w:spacing w:after="0"/>
            </w:pPr>
            <w:r>
              <w:rPr>
                <w:rFonts w:ascii="Calibri" w:cs="Calibri" w:eastAsia="Calibri" w:hAnsi="Calibri"/>
                <w:sz w:val="18"/>
                <w:szCs w:val="18"/>
              </w:rPr>
              <w:t xml:space="preserve">Row counts at Gate A: 145 / 150 / 88. Maximum absolute discrepancy between stored and recomputed Φ.</w:t>
            </w:r>
          </w:p>
        </w:tc>
      </w:tr>
      <w:tr>
        <w:tc>
          <w:tcPr>
            <w:tcW w:type="dxa" w:w="620"/>
            <w:shd w:fill="F4F4F4" w:color="auto" w:val="clear"/>
            <w:tcMar>
              <w:top w:type="dxa" w:w="90"/>
              <w:left w:type="dxa" w:w="110"/>
              <w:bottom w:type="dxa" w:w="90"/>
              <w:right w:type="dxa" w:w="110"/>
            </w:tcMar>
          </w:tcPr>
          <w:p>
            <w:r>
              <w:rPr>
                <w:rFonts w:ascii="Calibri" w:cs="Calibri" w:eastAsia="Calibri" w:hAnsi="Calibri"/>
                <w:b/>
                <w:bCs/>
                <w:color w:val="1F3A5F"/>
                <w:sz w:val="18"/>
                <w:szCs w:val="18"/>
              </w:rPr>
              <w:t xml:space="preserve">2</w:t>
            </w:r>
          </w:p>
        </w:tc>
        <w:tc>
          <w:tcPr>
            <w:tcW w:type="dxa" w:w="356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Estimate the six-model ladder on all three outcomes, HC3.</w:t>
            </w:r>
          </w:p>
        </w:tc>
        <w:tc>
          <w:tcPr>
            <w:tcW w:type="dxa" w:w="270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Step17_Ladder.csv — one row per model × outcome × regressor.</w:t>
            </w:r>
          </w:p>
        </w:tc>
        <w:tc>
          <w:tcPr>
            <w:tcW w:type="dxa" w:w="248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State N and R² for every model. Confirm M2 reproduces the published −0.4624 on government payments.</w:t>
            </w:r>
          </w:p>
        </w:tc>
      </w:tr>
      <w:tr>
        <w:tc>
          <w:tcPr>
            <w:tcW w:type="dxa" w:w="620"/>
            <w:tcMar>
              <w:top w:type="dxa" w:w="90"/>
              <w:left w:type="dxa" w:w="110"/>
              <w:bottom w:type="dxa" w:w="90"/>
              <w:right w:type="dxa" w:w="110"/>
            </w:tcMar>
          </w:tcPr>
          <w:p>
            <w:r>
              <w:rPr>
                <w:rFonts w:ascii="Calibri" w:cs="Calibri" w:eastAsia="Calibri" w:hAnsi="Calibri"/>
                <w:b/>
                <w:bCs/>
                <w:color w:val="1F3A5F"/>
                <w:sz w:val="18"/>
                <w:szCs w:val="18"/>
              </w:rPr>
              <w:t xml:space="preserve">3</w:t>
            </w:r>
          </w:p>
        </w:tc>
        <w:tc>
          <w:tcPr>
            <w:tcW w:type="dxa" w:w="3560"/>
            <w:tcMar>
              <w:top w:type="dxa" w:w="90"/>
              <w:left w:type="dxa" w:w="110"/>
              <w:bottom w:type="dxa" w:w="90"/>
              <w:right w:type="dxa" w:w="110"/>
            </w:tcMar>
          </w:tcPr>
          <w:p>
            <w:pPr>
              <w:spacing w:after="0"/>
            </w:pPr>
            <w:r>
              <w:rPr>
                <w:rFonts w:ascii="Calibri" w:cs="Calibri" w:eastAsia="Calibri" w:hAnsi="Calibri"/>
                <w:sz w:val="18"/>
                <w:szCs w:val="18"/>
              </w:rPr>
              <w:t xml:space="preserve">Centring-invariance demonstration for M3.</w:t>
            </w:r>
          </w:p>
        </w:tc>
        <w:tc>
          <w:tcPr>
            <w:tcW w:type="dxa" w:w="2700"/>
            <w:tcMar>
              <w:top w:type="dxa" w:w="90"/>
              <w:left w:type="dxa" w:w="110"/>
              <w:bottom w:type="dxa" w:w="90"/>
              <w:right w:type="dxa" w:w="110"/>
            </w:tcMar>
          </w:tcPr>
          <w:p>
            <w:pPr>
              <w:spacing w:after="0"/>
            </w:pPr>
            <w:r>
              <w:rPr>
                <w:rFonts w:ascii="Calibri" w:cs="Calibri" w:eastAsia="Calibri" w:hAnsi="Calibri"/>
                <w:sz w:val="18"/>
                <w:szCs w:val="18"/>
              </w:rPr>
              <w:t xml:space="preserve">Two lines in Step17_Results.md, uncentred and centred, plus the M3 VIFs.</w:t>
            </w:r>
          </w:p>
        </w:tc>
        <w:tc>
          <w:tcPr>
            <w:tcW w:type="dxa" w:w="2480"/>
            <w:tcMar>
              <w:top w:type="dxa" w:w="90"/>
              <w:left w:type="dxa" w:w="110"/>
              <w:bottom w:type="dxa" w:w="90"/>
              <w:right w:type="dxa" w:w="110"/>
            </w:tcMar>
          </w:tcPr>
          <w:p>
            <w:pPr>
              <w:spacing w:after="0"/>
            </w:pPr>
            <w:r>
              <w:rPr>
                <w:rFonts w:ascii="Calibri" w:cs="Calibri" w:eastAsia="Calibri" w:hAnsi="Calibri"/>
                <w:sz w:val="18"/>
                <w:szCs w:val="18"/>
              </w:rPr>
              <w:t xml:space="preserve">The two Φ coefficients must agree to four decimal places. State whether they do.</w:t>
            </w:r>
          </w:p>
        </w:tc>
      </w:tr>
      <w:tr>
        <w:tc>
          <w:tcPr>
            <w:tcW w:type="dxa" w:w="620"/>
            <w:shd w:fill="F4F4F4" w:color="auto" w:val="clear"/>
            <w:tcMar>
              <w:top w:type="dxa" w:w="90"/>
              <w:left w:type="dxa" w:w="110"/>
              <w:bottom w:type="dxa" w:w="90"/>
              <w:right w:type="dxa" w:w="110"/>
            </w:tcMar>
          </w:tcPr>
          <w:p>
            <w:r>
              <w:rPr>
                <w:rFonts w:ascii="Calibri" w:cs="Calibri" w:eastAsia="Calibri" w:hAnsi="Calibri"/>
                <w:b/>
                <w:bCs/>
                <w:color w:val="1F3A5F"/>
                <w:sz w:val="18"/>
                <w:szCs w:val="18"/>
              </w:rPr>
              <w:t xml:space="preserve">4</w:t>
            </w:r>
          </w:p>
        </w:tc>
        <w:tc>
          <w:tcPr>
            <w:tcW w:type="dxa" w:w="356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Marginal effects of F across the T grid, delta-method standard errors, two outcomes.</w:t>
            </w:r>
          </w:p>
        </w:tc>
        <w:tc>
          <w:tcPr>
            <w:tcW w:type="dxa" w:w="270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Step17_MarginalEffects.csv.</w:t>
            </w:r>
          </w:p>
        </w:tc>
        <w:tc>
          <w:tcPr>
            <w:tcW w:type="dxa" w:w="248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Report the sample mean of T and the share of the sample below T = 0.40.</w:t>
            </w:r>
          </w:p>
        </w:tc>
      </w:tr>
      <w:tr>
        <w:tc>
          <w:tcPr>
            <w:tcW w:type="dxa" w:w="620"/>
            <w:tcMar>
              <w:top w:type="dxa" w:w="90"/>
              <w:left w:type="dxa" w:w="110"/>
              <w:bottom w:type="dxa" w:w="90"/>
              <w:right w:type="dxa" w:w="110"/>
            </w:tcMar>
          </w:tcPr>
          <w:p>
            <w:r>
              <w:rPr>
                <w:rFonts w:ascii="Calibri" w:cs="Calibri" w:eastAsia="Calibri" w:hAnsi="Calibri"/>
                <w:b/>
                <w:bCs/>
                <w:color w:val="1F3A5F"/>
                <w:sz w:val="18"/>
                <w:szCs w:val="18"/>
              </w:rPr>
              <w:t xml:space="preserve">5</w:t>
            </w:r>
          </w:p>
        </w:tc>
        <w:tc>
          <w:tcPr>
            <w:tcW w:type="dxa" w:w="3560"/>
            <w:tcMar>
              <w:top w:type="dxa" w:w="90"/>
              <w:left w:type="dxa" w:w="110"/>
              <w:bottom w:type="dxa" w:w="90"/>
              <w:right w:type="dxa" w:w="110"/>
            </w:tcMar>
          </w:tcPr>
          <w:p>
            <w:pPr>
              <w:spacing w:after="0"/>
            </w:pPr>
            <w:r>
              <w:rPr>
                <w:rFonts w:ascii="Calibri" w:cs="Calibri" w:eastAsia="Calibri" w:hAnsi="Calibri"/>
                <w:sz w:val="18"/>
                <w:szCs w:val="18"/>
              </w:rPr>
              <w:t xml:space="preserve">Fractional logit re-estimation of M3 plus average marginal effects at three T values.</w:t>
            </w:r>
          </w:p>
        </w:tc>
        <w:tc>
          <w:tcPr>
            <w:tcW w:type="dxa" w:w="2700"/>
            <w:tcMar>
              <w:top w:type="dxa" w:w="90"/>
              <w:left w:type="dxa" w:w="110"/>
              <w:bottom w:type="dxa" w:w="90"/>
              <w:right w:type="dxa" w:w="110"/>
            </w:tcMar>
          </w:tcPr>
          <w:p>
            <w:pPr>
              <w:spacing w:after="0"/>
            </w:pPr>
            <w:r>
              <w:rPr>
                <w:rFonts w:ascii="Calibri" w:cs="Calibri" w:eastAsia="Calibri" w:hAnsi="Calibri"/>
                <w:sz w:val="18"/>
                <w:szCs w:val="18"/>
              </w:rPr>
              <w:t xml:space="preserve">Section in Step17_Results.md.</w:t>
            </w:r>
          </w:p>
        </w:tc>
        <w:tc>
          <w:tcPr>
            <w:tcW w:type="dxa" w:w="2480"/>
            <w:tcMar>
              <w:top w:type="dxa" w:w="90"/>
              <w:left w:type="dxa" w:w="110"/>
              <w:bottom w:type="dxa" w:w="90"/>
              <w:right w:type="dxa" w:w="110"/>
            </w:tcMar>
          </w:tcPr>
          <w:p>
            <w:pPr>
              <w:spacing w:after="0"/>
            </w:pPr>
            <w:r>
              <w:rPr>
                <w:rFonts w:ascii="Calibri" w:cs="Calibri" w:eastAsia="Calibri" w:hAnsi="Calibri"/>
                <w:sz w:val="18"/>
                <w:szCs w:val="18"/>
              </w:rPr>
              <w:t xml:space="preserve">Report the index coefficient and the AMEs separately; do not reconcile them.</w:t>
            </w:r>
          </w:p>
        </w:tc>
      </w:tr>
      <w:tr>
        <w:tc>
          <w:tcPr>
            <w:tcW w:type="dxa" w:w="620"/>
            <w:shd w:fill="F4F4F4" w:color="auto" w:val="clear"/>
            <w:tcMar>
              <w:top w:type="dxa" w:w="90"/>
              <w:left w:type="dxa" w:w="110"/>
              <w:bottom w:type="dxa" w:w="90"/>
              <w:right w:type="dxa" w:w="110"/>
            </w:tcMar>
          </w:tcPr>
          <w:p>
            <w:r>
              <w:rPr>
                <w:rFonts w:ascii="Calibri" w:cs="Calibri" w:eastAsia="Calibri" w:hAnsi="Calibri"/>
                <w:b/>
                <w:bCs/>
                <w:color w:val="1F3A5F"/>
                <w:sz w:val="18"/>
                <w:szCs w:val="18"/>
              </w:rPr>
              <w:t xml:space="preserve">6</w:t>
            </w:r>
          </w:p>
        </w:tc>
        <w:tc>
          <w:tcPr>
            <w:tcW w:type="dxa" w:w="356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Five robustness re-estimations: influence, top-decile drop, region fixed effects, 2024 wave, Pakistan nowcast.</w:t>
            </w:r>
          </w:p>
        </w:tc>
        <w:tc>
          <w:tcPr>
            <w:tcW w:type="dxa" w:w="270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Section in Step17_Results.md, one line each.</w:t>
            </w:r>
          </w:p>
        </w:tc>
        <w:tc>
          <w:tcPr>
            <w:tcW w:type="dxa" w:w="248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Name the six highest Cook's distance economies and the 4/n threshold.</w:t>
            </w:r>
          </w:p>
        </w:tc>
      </w:tr>
      <w:tr>
        <w:tc>
          <w:tcPr>
            <w:tcW w:type="dxa" w:w="620"/>
            <w:tcMar>
              <w:top w:type="dxa" w:w="90"/>
              <w:left w:type="dxa" w:w="110"/>
              <w:bottom w:type="dxa" w:w="90"/>
              <w:right w:type="dxa" w:w="110"/>
            </w:tcMar>
          </w:tcPr>
          <w:p>
            <w:r>
              <w:rPr>
                <w:rFonts w:ascii="Calibri" w:cs="Calibri" w:eastAsia="Calibri" w:hAnsi="Calibri"/>
                <w:b/>
                <w:bCs/>
                <w:color w:val="1F3A5F"/>
                <w:sz w:val="18"/>
                <w:szCs w:val="18"/>
              </w:rPr>
              <w:t xml:space="preserve">7</w:t>
            </w:r>
          </w:p>
        </w:tc>
        <w:tc>
          <w:tcPr>
            <w:tcW w:type="dxa" w:w="3560"/>
            <w:tcMar>
              <w:top w:type="dxa" w:w="90"/>
              <w:left w:type="dxa" w:w="110"/>
              <w:bottom w:type="dxa" w:w="90"/>
              <w:right w:type="dxa" w:w="110"/>
            </w:tcMar>
          </w:tcPr>
          <w:p>
            <w:pPr>
              <w:spacing w:after="0"/>
            </w:pPr>
            <w:r>
              <w:rPr>
                <w:rFonts w:ascii="Calibri" w:cs="Calibri" w:eastAsia="Calibri" w:hAnsi="Calibri"/>
                <w:sz w:val="18"/>
                <w:szCs w:val="18"/>
              </w:rPr>
              <w:t xml:space="preserve">Findex coverage comparison across the full Tier I population.</w:t>
            </w:r>
          </w:p>
        </w:tc>
        <w:tc>
          <w:tcPr>
            <w:tcW w:type="dxa" w:w="2700"/>
            <w:tcMar>
              <w:top w:type="dxa" w:w="90"/>
              <w:left w:type="dxa" w:w="110"/>
              <w:bottom w:type="dxa" w:w="90"/>
              <w:right w:type="dxa" w:w="110"/>
            </w:tcMar>
          </w:tcPr>
          <w:p>
            <w:pPr>
              <w:spacing w:after="0"/>
            </w:pPr>
            <w:r>
              <w:rPr>
                <w:rFonts w:ascii="Calibri" w:cs="Calibri" w:eastAsia="Calibri" w:hAnsi="Calibri"/>
                <w:sz w:val="18"/>
                <w:szCs w:val="18"/>
              </w:rPr>
              <w:t xml:space="preserve">Section in Step17_Results.md with the three tests and the uncovered ISO3 list.</w:t>
            </w:r>
          </w:p>
        </w:tc>
        <w:tc>
          <w:tcPr>
            <w:tcW w:type="dxa" w:w="2480"/>
            <w:tcMar>
              <w:top w:type="dxa" w:w="90"/>
              <w:left w:type="dxa" w:w="110"/>
              <w:bottom w:type="dxa" w:w="90"/>
              <w:right w:type="dxa" w:w="110"/>
            </w:tcMar>
          </w:tcPr>
          <w:p>
            <w:pPr>
              <w:spacing w:after="0"/>
            </w:pPr>
            <w:r>
              <w:rPr>
                <w:rFonts w:ascii="Calibri" w:cs="Calibri" w:eastAsia="Calibri" w:hAnsi="Calibri"/>
                <w:sz w:val="18"/>
                <w:szCs w:val="18"/>
              </w:rPr>
              <w:t xml:space="preserve">State n in each group; the two must sum to 184 for Φ and EGDI.</w:t>
            </w:r>
          </w:p>
        </w:tc>
      </w:tr>
      <w:tr>
        <w:tc>
          <w:tcPr>
            <w:tcW w:type="dxa" w:w="620"/>
            <w:shd w:fill="F4F4F4" w:color="auto" w:val="clear"/>
            <w:tcMar>
              <w:top w:type="dxa" w:w="90"/>
              <w:left w:type="dxa" w:w="110"/>
              <w:bottom w:type="dxa" w:w="90"/>
              <w:right w:type="dxa" w:w="110"/>
            </w:tcMar>
          </w:tcPr>
          <w:p>
            <w:r>
              <w:rPr>
                <w:rFonts w:ascii="Calibri" w:cs="Calibri" w:eastAsia="Calibri" w:hAnsi="Calibri"/>
                <w:b/>
                <w:bCs/>
                <w:color w:val="1F3A5F"/>
                <w:sz w:val="18"/>
                <w:szCs w:val="18"/>
              </w:rPr>
              <w:t xml:space="preserve">8</w:t>
            </w:r>
          </w:p>
        </w:tc>
        <w:tc>
          <w:tcPr>
            <w:tcW w:type="dxa" w:w="356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Assemble the results registry and the estimation script.</w:t>
            </w:r>
          </w:p>
        </w:tc>
        <w:tc>
          <w:tcPr>
            <w:tcW w:type="dxa" w:w="270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Step17_Results.md and Step17_Estimation.py.</w:t>
            </w:r>
          </w:p>
        </w:tc>
        <w:tc>
          <w:tcPr>
            <w:tcW w:type="dxa" w:w="2480"/>
            <w:shd w:fill="F4F4F4" w:color="auto" w:val="clear"/>
            <w:tcMar>
              <w:top w:type="dxa" w:w="90"/>
              <w:left w:type="dxa" w:w="110"/>
              <w:bottom w:type="dxa" w:w="90"/>
              <w:right w:type="dxa" w:w="110"/>
            </w:tcMar>
          </w:tcPr>
          <w:p>
            <w:pPr>
              <w:spacing w:after="0"/>
            </w:pPr>
            <w:r>
              <w:rPr>
                <w:rFonts w:ascii="Calibri" w:cs="Calibri" w:eastAsia="Calibri" w:hAnsi="Calibri"/>
                <w:sz w:val="18"/>
                <w:szCs w:val="18"/>
              </w:rPr>
              <w:t xml:space="preserve">Script must reproduce every number in the registry on a clean run. State the runtime and the library versions used.</w:t>
            </w:r>
          </w:p>
        </w:tc>
      </w:tr>
    </w:tbl>
    <w:p>
      <w:pPr>
        <w:spacing w:after="200" w:line="276"/>
      </w:pPr>
      <w:r>
        <w:rPr>
          <w:rFonts w:ascii="Calibri" w:cs="Calibri" w:eastAsia="Calibri" w:hAnsi="Calibri"/>
          <w:sz w:val="20"/>
          <w:szCs w:val="20"/>
        </w:rPr>
        <w:t xml:space="preserve"/>
      </w:r>
    </w:p>
    <w:p>
      <w:pPr>
        <w:pBdr>
          <w:bottom w:val="single" w:color="1F3A5F" w:sz="6" w:space="4"/>
        </w:pBdr>
        <w:spacing w:after="140" w:before="320"/>
      </w:pPr>
      <w:r>
        <w:rPr>
          <w:rFonts w:ascii="Calibri" w:cs="Calibri" w:eastAsia="Calibri" w:hAnsi="Calibri"/>
          <w:b/>
          <w:bCs/>
          <w:color w:val="1F3A5F"/>
          <w:spacing w:val="20"/>
          <w:sz w:val="22"/>
          <w:szCs w:val="22"/>
        </w:rPr>
        <w:t xml:space="preserve">12  SEQUENCING</w:t>
      </w:r>
    </w:p>
    <w:p>
      <w:pPr>
        <w:spacing w:after="120" w:line="276"/>
      </w:pPr>
      <w:r>
        <w:rPr>
          <w:rFonts w:ascii="Calibri" w:cs="Calibri" w:eastAsia="Calibri" w:hAnsi="Calibri"/>
          <w:sz w:val="20"/>
          <w:szCs w:val="20"/>
        </w:rPr>
        <w:t xml:space="preserve">Task 1 is a hard gate. Nothing downstream is meaningful if the merge is wrong, and a contaminated sample will produce plausible-looking coefficients rather than an error. Complete Task 1, report the counts, and wait for confirmation before starting Task 2.</w:t>
      </w:r>
    </w:p>
    <w:p>
      <w:pPr>
        <w:spacing w:after="120" w:line="276"/>
      </w:pPr>
      <w:r>
        <w:rPr>
          <w:rFonts w:ascii="Calibri" w:cs="Calibri" w:eastAsia="Calibri" w:hAnsi="Calibri"/>
          <w:sz w:val="20"/>
          <w:szCs w:val="20"/>
        </w:rPr>
        <w:t xml:space="preserve">Tasks 2 and 3 must then be done in order, since Task 3 depends on the M3 fit. Tasks 4, 5, 6 and 7 are independent of one another once Task 2 is complete and may be distributed across the team or run in any order. Task 8 is last.</w:t>
      </w:r>
    </w:p>
    <w:p>
      <w:pPr>
        <w:spacing w:after="200" w:line="276"/>
      </w:pPr>
      <w:r>
        <w:rPr>
          <w:rFonts w:ascii="Calibri" w:cs="Calibri" w:eastAsia="Calibri" w:hAnsi="Calibri"/>
          <w:sz w:val="20"/>
          <w:szCs w:val="20"/>
        </w:rPr>
        <w:t xml:space="preserve">If two students are available, the cleanest split after the gate is: one takes Tasks 2, 3 and 4 (the estimation core); the other takes Tasks 5, 6 and 7 (functional form, robustness, coverage). Task 8 is assembled jointly, and neither student should see the other's output before their own is complete.</w:t>
      </w:r>
    </w:p>
    <w:p>
      <w:pPr>
        <w:pBdr>
          <w:top w:val="single" w:color="6E6E6E" w:sz="6" w:space="6"/>
        </w:pBdr>
        <w:spacing w:before="240"/>
      </w:pPr>
      <w:r>
        <w:rPr>
          <w:rFonts w:ascii="Calibri" w:cs="Calibri" w:eastAsia="Calibri" w:hAnsi="Calibri"/>
          <w:i/>
          <w:iCs/>
          <w:color w:val="6E6E6E"/>
          <w:sz w:val="18"/>
          <w:szCs w:val="18"/>
        </w:rPr>
        <w:t xml:space="preserve">Reference values for every quantity requested here are held on the supervision side and the return will be checked cell by cell. Report what you obtain, not what you expect to obtain.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80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2026-09-03T12:37:04.794Z</dcterms:created>
  <dcterms:modified xsi:type="dcterms:W3CDTF">2026-09-03T12:37:04.806Z</dcterms:modified>
</cp:coreProperties>
</file>

<file path=docProps/custom.xml><?xml version="1.0" encoding="utf-8"?>
<Properties xmlns="http://schemas.openxmlformats.org/officeDocument/2006/custom-properties" xmlns:vt="http://schemas.openxmlformats.org/officeDocument/2006/docPropsVTypes"/>
</file>