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Torrent Pharma and JB Pharma</w:t>
      </w:r>
    </w:p>
    <w:p>
      <w:pPr>
        <w:pStyle w:val="Subtitle"/>
      </w:pPr>
      <w:r>
        <w:t>Final M&amp;A investment report</w:t>
      </w:r>
    </w:p>
    <w:p>
      <w:r>
        <w:rPr>
          <w:sz w:val="18"/>
        </w:rPr>
        <w:t>Valuation date 29 June 2025  |  FY25 base  |  INR crore unless stated</w:t>
      </w:r>
    </w:p>
    <w:p>
      <w:pPr>
        <w:pStyle w:val="Heading1"/>
      </w:pPr>
      <w:r>
        <w:t>Investment recommendation</w:t>
      </w:r>
    </w:p>
    <w:p>
      <w:r>
        <w:t>Do not endorse the announced acquisition economics on the base case. The strategic fit is credible, but forecast cash flows and modelled cost savings do not compensate for the price and financing burden. Support would require a documented case for substantially greater standalone value, revenue synergies or more favourable financing.</w:t>
      </w:r>
    </w:p>
    <w:p>
      <w:r>
        <w:t>This conclusion is conditional on the model. A favourable discount-rate and terminal-return stress makes the mixed cash/share transaction modestly value-creating. That sensitivity is reported explicitly: the ₹1,600 block-price benchmark and the actual transaction economics answer different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3816"/>
      </w:tblGrid>
      <w:tr>
        <w:trPr>
          <w:cantSplit/>
          <w:tblHeader/>
        </w:trPr>
        <w:tc>
          <w:tcPr>
            <w:tcW w:type="dxa" w:w="6192"/>
            <w:vAlign w:val="center"/>
            <w:shd w:fill="20364A"/>
            <w:tcMar>
              <w:top w:w="65" w:type="dxa"/>
              <w:bottom w:w="65" w:type="dxa"/>
              <w:left w:w="95" w:type="dxa"/>
              <w:right w:w="95" w:type="dxa"/>
            </w:tcMar>
          </w:tcPr>
          <w:p>
            <w:pPr>
              <w:spacing w:after="0" w:line="240" w:lineRule="auto"/>
            </w:pPr>
            <w:r>
              <w:rPr>
                <w:b/>
                <w:color w:val="FFFFFF"/>
                <w:sz w:val="20"/>
              </w:rPr>
              <w:t>Key finding</w:t>
            </w:r>
          </w:p>
        </w:tc>
        <w:tc>
          <w:tcPr>
            <w:tcW w:type="dxa" w:w="3816"/>
            <w:vAlign w:val="center"/>
            <w:shd w:fill="20364A"/>
            <w:tcMar>
              <w:top w:w="65" w:type="dxa"/>
              <w:bottom w:w="65" w:type="dxa"/>
              <w:left w:w="95" w:type="dxa"/>
              <w:right w:w="95" w:type="dxa"/>
            </w:tcMar>
          </w:tcPr>
          <w:p>
            <w:pPr>
              <w:spacing w:after="0" w:line="240" w:lineRule="auto"/>
              <w:jc w:val="right"/>
            </w:pPr>
            <w:r>
              <w:rPr>
                <w:b/>
                <w:color w:val="FFFFFF"/>
                <w:sz w:val="20"/>
              </w:rPr>
              <w:t>Final base case</w:t>
            </w:r>
          </w:p>
        </w:tc>
      </w:tr>
      <w:tr>
        <w:trPr>
          <w:cantSplit/>
        </w:trPr>
        <w:tc>
          <w:tcPr>
            <w:tcW w:type="dxa" w:w="6192"/>
            <w:vAlign w:val="center"/>
            <w:shd w:fill="FFFFFF"/>
            <w:tcMar>
              <w:top w:w="65" w:type="dxa"/>
              <w:bottom w:w="65" w:type="dxa"/>
              <w:left w:w="95" w:type="dxa"/>
              <w:right w:w="95" w:type="dxa"/>
            </w:tcMar>
          </w:tcPr>
          <w:p>
            <w:pPr>
              <w:spacing w:after="0" w:line="240" w:lineRule="auto"/>
            </w:pPr>
            <w:r>
              <w:rPr>
                <w:sz w:val="20"/>
              </w:rPr>
              <w:t>Torrent standalone value per share</w:t>
            </w:r>
          </w:p>
        </w:tc>
        <w:tc>
          <w:tcPr>
            <w:tcW w:type="dxa" w:w="3816"/>
            <w:vAlign w:val="center"/>
            <w:shd w:fill="FFFFFF"/>
            <w:tcMar>
              <w:top w:w="65" w:type="dxa"/>
              <w:bottom w:w="65" w:type="dxa"/>
              <w:left w:w="95" w:type="dxa"/>
              <w:right w:w="95" w:type="dxa"/>
            </w:tcMar>
          </w:tcPr>
          <w:p>
            <w:pPr>
              <w:spacing w:after="0" w:line="240" w:lineRule="auto"/>
              <w:jc w:val="right"/>
            </w:pPr>
            <w:r>
              <w:rPr>
                <w:sz w:val="20"/>
              </w:rPr>
              <w:t>₹874.39</w:t>
            </w:r>
          </w:p>
        </w:tc>
      </w:tr>
      <w:tr>
        <w:trPr>
          <w:cantSplit/>
        </w:trPr>
        <w:tc>
          <w:tcPr>
            <w:tcW w:type="dxa" w:w="6192"/>
            <w:vAlign w:val="center"/>
            <w:shd w:fill="F1F4F7"/>
            <w:tcMar>
              <w:top w:w="65" w:type="dxa"/>
              <w:bottom w:w="65" w:type="dxa"/>
              <w:left w:w="95" w:type="dxa"/>
              <w:right w:w="95" w:type="dxa"/>
            </w:tcMar>
          </w:tcPr>
          <w:p>
            <w:pPr>
              <w:spacing w:after="0" w:line="240" w:lineRule="auto"/>
            </w:pPr>
            <w:r>
              <w:rPr>
                <w:sz w:val="20"/>
              </w:rPr>
              <w:t>JB standalone value per share</w:t>
            </w:r>
          </w:p>
        </w:tc>
        <w:tc>
          <w:tcPr>
            <w:tcW w:type="dxa" w:w="3816"/>
            <w:vAlign w:val="center"/>
            <w:shd w:fill="F1F4F7"/>
            <w:tcMar>
              <w:top w:w="65" w:type="dxa"/>
              <w:bottom w:w="65" w:type="dxa"/>
              <w:left w:w="95" w:type="dxa"/>
              <w:right w:w="95" w:type="dxa"/>
            </w:tcMar>
          </w:tcPr>
          <w:p>
            <w:pPr>
              <w:spacing w:after="0" w:line="240" w:lineRule="auto"/>
              <w:jc w:val="right"/>
            </w:pPr>
            <w:r>
              <w:rPr>
                <w:sz w:val="20"/>
              </w:rPr>
              <w:t>₹661.58</w:t>
            </w:r>
          </w:p>
        </w:tc>
      </w:tr>
      <w:tr>
        <w:trPr>
          <w:cantSplit/>
        </w:trPr>
        <w:tc>
          <w:tcPr>
            <w:tcW w:type="dxa" w:w="6192"/>
            <w:vAlign w:val="center"/>
            <w:shd w:fill="FFFFFF"/>
            <w:tcMar>
              <w:top w:w="65" w:type="dxa"/>
              <w:bottom w:w="65" w:type="dxa"/>
              <w:left w:w="95" w:type="dxa"/>
              <w:right w:w="95" w:type="dxa"/>
            </w:tcMar>
          </w:tcPr>
          <w:p>
            <w:pPr>
              <w:spacing w:after="0" w:line="240" w:lineRule="auto"/>
            </w:pPr>
            <w:r>
              <w:rPr>
                <w:sz w:val="20"/>
              </w:rPr>
              <w:t>JB with five additional growth years</w:t>
            </w:r>
          </w:p>
        </w:tc>
        <w:tc>
          <w:tcPr>
            <w:tcW w:type="dxa" w:w="3816"/>
            <w:vAlign w:val="center"/>
            <w:shd w:fill="FFFFFF"/>
            <w:tcMar>
              <w:top w:w="65" w:type="dxa"/>
              <w:bottom w:w="65" w:type="dxa"/>
              <w:left w:w="95" w:type="dxa"/>
              <w:right w:w="95" w:type="dxa"/>
            </w:tcMar>
          </w:tcPr>
          <w:p>
            <w:pPr>
              <w:spacing w:after="0" w:line="240" w:lineRule="auto"/>
              <w:jc w:val="right"/>
            </w:pPr>
            <w:r>
              <w:rPr>
                <w:sz w:val="20"/>
              </w:rPr>
              <w:t>₹711.47</w:t>
            </w:r>
          </w:p>
        </w:tc>
      </w:tr>
      <w:tr>
        <w:trPr>
          <w:cantSplit/>
        </w:trPr>
        <w:tc>
          <w:tcPr>
            <w:tcW w:type="dxa" w:w="6192"/>
            <w:vAlign w:val="center"/>
            <w:shd w:fill="F1F4F7"/>
            <w:tcMar>
              <w:top w:w="65" w:type="dxa"/>
              <w:bottom w:w="65" w:type="dxa"/>
              <w:left w:w="95" w:type="dxa"/>
              <w:right w:w="95" w:type="dxa"/>
            </w:tcMar>
          </w:tcPr>
          <w:p>
            <w:pPr>
              <w:spacing w:after="0" w:line="240" w:lineRule="auto"/>
            </w:pPr>
            <w:r>
              <w:rPr>
                <w:sz w:val="20"/>
              </w:rPr>
              <w:t>Announced KKR block price per JB share</w:t>
            </w:r>
          </w:p>
        </w:tc>
        <w:tc>
          <w:tcPr>
            <w:tcW w:type="dxa" w:w="3816"/>
            <w:vAlign w:val="center"/>
            <w:shd w:fill="F1F4F7"/>
            <w:tcMar>
              <w:top w:w="65" w:type="dxa"/>
              <w:bottom w:w="65" w:type="dxa"/>
              <w:left w:w="95" w:type="dxa"/>
              <w:right w:w="95" w:type="dxa"/>
            </w:tcMar>
          </w:tcPr>
          <w:p>
            <w:pPr>
              <w:spacing w:after="0" w:line="240" w:lineRule="auto"/>
              <w:jc w:val="right"/>
            </w:pPr>
            <w:r>
              <w:rPr>
                <w:sz w:val="20"/>
              </w:rPr>
              <w:t>₹1,600.00</w:t>
            </w:r>
          </w:p>
        </w:tc>
      </w:tr>
      <w:tr>
        <w:trPr>
          <w:cantSplit/>
        </w:trPr>
        <w:tc>
          <w:tcPr>
            <w:tcW w:type="dxa" w:w="6192"/>
            <w:vAlign w:val="center"/>
            <w:shd w:fill="FFFFFF"/>
            <w:tcMar>
              <w:top w:w="65" w:type="dxa"/>
              <w:bottom w:w="65" w:type="dxa"/>
              <w:left w:w="95" w:type="dxa"/>
              <w:right w:w="95" w:type="dxa"/>
            </w:tcMar>
          </w:tcPr>
          <w:p>
            <w:pPr>
              <w:spacing w:after="0" w:line="240" w:lineRule="auto"/>
            </w:pPr>
            <w:r>
              <w:rPr>
                <w:sz w:val="20"/>
              </w:rPr>
              <w:t>Net expected synergy value</w:t>
            </w:r>
          </w:p>
        </w:tc>
        <w:tc>
          <w:tcPr>
            <w:tcW w:type="dxa" w:w="3816"/>
            <w:vAlign w:val="center"/>
            <w:shd w:fill="FFFFFF"/>
            <w:tcMar>
              <w:top w:w="65" w:type="dxa"/>
              <w:bottom w:w="65" w:type="dxa"/>
              <w:left w:w="95" w:type="dxa"/>
              <w:right w:w="95" w:type="dxa"/>
            </w:tcMar>
          </w:tcPr>
          <w:p>
            <w:pPr>
              <w:spacing w:after="0" w:line="240" w:lineRule="auto"/>
              <w:jc w:val="right"/>
            </w:pPr>
            <w:r>
              <w:rPr>
                <w:sz w:val="20"/>
              </w:rPr>
              <w:t>₹564.2 crore</w:t>
            </w:r>
          </w:p>
        </w:tc>
      </w:tr>
      <w:tr>
        <w:trPr>
          <w:cantSplit/>
        </w:trPr>
        <w:tc>
          <w:tcPr>
            <w:tcW w:type="dxa" w:w="6192"/>
            <w:vAlign w:val="center"/>
            <w:shd w:fill="F1F4F7"/>
            <w:tcMar>
              <w:top w:w="65" w:type="dxa"/>
              <w:bottom w:w="65" w:type="dxa"/>
              <w:left w:w="95" w:type="dxa"/>
              <w:right w:w="95" w:type="dxa"/>
            </w:tcMar>
          </w:tcPr>
          <w:p>
            <w:pPr>
              <w:spacing w:after="0" w:line="240" w:lineRule="auto"/>
            </w:pPr>
            <w:r>
              <w:rPr>
                <w:sz w:val="20"/>
              </w:rPr>
              <w:t>Existing Torrent holders’ value change</w:t>
            </w:r>
          </w:p>
        </w:tc>
        <w:tc>
          <w:tcPr>
            <w:tcW w:type="dxa" w:w="3816"/>
            <w:vAlign w:val="center"/>
            <w:shd w:fill="F1F4F7"/>
            <w:tcMar>
              <w:top w:w="65" w:type="dxa"/>
              <w:bottom w:w="65" w:type="dxa"/>
              <w:left w:w="95" w:type="dxa"/>
              <w:right w:w="95" w:type="dxa"/>
            </w:tcMar>
          </w:tcPr>
          <w:p>
            <w:pPr>
              <w:spacing w:after="0" w:line="240" w:lineRule="auto"/>
              <w:jc w:val="right"/>
            </w:pPr>
            <w:r>
              <w:rPr>
                <w:sz w:val="20"/>
              </w:rPr>
              <w:t>-24.2% in the Partial offer case</w:t>
            </w:r>
          </w:p>
        </w:tc>
      </w:tr>
    </w:tbl>
    <w:p>
      <w:pPr>
        <w:pStyle w:val="Heading1"/>
      </w:pPr>
      <w:r>
        <w:t>Strategic case</w:t>
      </w:r>
    </w:p>
    <w:p>
      <w:r>
        <w:t>Management’s rationale centres on combining Indian branded-pharma franchises, expanding chronic-therapy exposure and building on JB’s CDMO and international operations. Our interpretation is that commercial reach, brand extensions and manufacturing procurement offer plausible opportunities. Strategic fit alone does not quantify their value. [1]</w:t>
      </w:r>
    </w:p>
    <w:p>
      <w:pPr>
        <w:pStyle w:val="Heading1"/>
      </w:pPr>
      <w:r>
        <w:t>Scope and information date</w:t>
      </w:r>
    </w:p>
    <w:p>
      <w:r>
        <w:rPr>
          <w:sz w:val="18"/>
        </w:rPr>
        <w:t>The case evaluates the proposal using FY25 performance and announced terms. Market observations pre-date announcement. Some granular accounting notes and exact deal mechanics are reconciled to later publications. No FY26 actual performance or completion outcome calibrates forecasts. This is an announcement-date case study, not a strict point-in-time backtest.</w:t>
      </w:r>
    </w:p>
    <w:p>
      <w:r>
        <w:br w:type="page"/>
      </w:r>
    </w:p>
    <w:p>
      <w:pPr>
        <w:pStyle w:val="Title"/>
      </w:pPr>
      <w:r>
        <w:t>Deal structure and operating foundation</w:t>
      </w:r>
    </w:p>
    <w:p>
      <w:pPr>
        <w:pStyle w:val="Heading1"/>
      </w:pPr>
      <w:r>
        <w:t>Cash purchase followed by a share merger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336"/>
      </w:tblGrid>
      <w:tr>
        <w:trPr>
          <w:cantSplit/>
          <w:tblHeader/>
        </w:trPr>
        <w:tc>
          <w:tcPr>
            <w:tcW w:type="dxa" w:w="3672"/>
            <w:vAlign w:val="center"/>
            <w:shd w:fill="20364A"/>
            <w:tcMar>
              <w:top w:w="65" w:type="dxa"/>
              <w:bottom w:w="65" w:type="dxa"/>
              <w:left w:w="95" w:type="dxa"/>
              <w:right w:w="95" w:type="dxa"/>
            </w:tcMar>
          </w:tcPr>
          <w:p>
            <w:pPr>
              <w:spacing w:after="0" w:line="240" w:lineRule="auto"/>
            </w:pPr>
            <w:r>
              <w:rPr>
                <w:b/>
                <w:color w:val="FFFFFF"/>
                <w:sz w:val="20"/>
              </w:rPr>
              <w:t>Announcement term</w:t>
            </w:r>
          </w:p>
        </w:tc>
        <w:tc>
          <w:tcPr>
            <w:tcW w:type="dxa" w:w="6336"/>
            <w:vAlign w:val="center"/>
            <w:shd w:fill="20364A"/>
            <w:tcMar>
              <w:top w:w="65" w:type="dxa"/>
              <w:bottom w:w="65" w:type="dxa"/>
              <w:left w:w="95" w:type="dxa"/>
              <w:right w:w="95" w:type="dxa"/>
            </w:tcMar>
          </w:tcPr>
          <w:p>
            <w:pPr>
              <w:spacing w:after="0" w:line="240" w:lineRule="auto"/>
            </w:pPr>
            <w:r>
              <w:rPr>
                <w:b/>
                <w:color w:val="FFFFFF"/>
                <w:sz w:val="20"/>
              </w:rPr>
              <w:t>Model treatment</w:t>
            </w:r>
          </w:p>
        </w:tc>
      </w:tr>
      <w:tr>
        <w:trPr>
          <w:cantSplit/>
        </w:trPr>
        <w:tc>
          <w:tcPr>
            <w:tcW w:type="dxa" w:w="3672"/>
            <w:vAlign w:val="center"/>
            <w:shd w:fill="FFFFFF"/>
            <w:tcMar>
              <w:top w:w="65" w:type="dxa"/>
              <w:bottom w:w="65" w:type="dxa"/>
              <w:left w:w="95" w:type="dxa"/>
              <w:right w:w="95" w:type="dxa"/>
            </w:tcMar>
          </w:tcPr>
          <w:p>
            <w:pPr>
              <w:spacing w:after="0" w:line="240" w:lineRule="auto"/>
            </w:pPr>
            <w:r>
              <w:rPr>
                <w:sz w:val="20"/>
              </w:rPr>
              <w:t>KKR control block</w:t>
            </w:r>
          </w:p>
        </w:tc>
        <w:tc>
          <w:tcPr>
            <w:tcW w:type="dxa" w:w="6336"/>
            <w:vAlign w:val="center"/>
            <w:shd w:fill="FFFFFF"/>
            <w:tcMar>
              <w:top w:w="65" w:type="dxa"/>
              <w:bottom w:w="65" w:type="dxa"/>
              <w:left w:w="95" w:type="dxa"/>
              <w:right w:w="95" w:type="dxa"/>
            </w:tcMar>
          </w:tcPr>
          <w:p>
            <w:pPr>
              <w:spacing w:after="0" w:line="240" w:lineRule="auto"/>
            </w:pPr>
            <w:r>
              <w:rPr>
                <w:sz w:val="20"/>
              </w:rPr>
              <w:t>46.39%; 74,481,519 shares at ₹1,600</w:t>
            </w:r>
          </w:p>
        </w:tc>
      </w:tr>
      <w:tr>
        <w:trPr>
          <w:cantSplit/>
        </w:trPr>
        <w:tc>
          <w:tcPr>
            <w:tcW w:type="dxa" w:w="3672"/>
            <w:vAlign w:val="center"/>
            <w:shd w:fill="F1F4F7"/>
            <w:tcMar>
              <w:top w:w="65" w:type="dxa"/>
              <w:bottom w:w="65" w:type="dxa"/>
              <w:left w:w="95" w:type="dxa"/>
              <w:right w:w="95" w:type="dxa"/>
            </w:tcMar>
          </w:tcPr>
          <w:p>
            <w:pPr>
              <w:spacing w:after="0" w:line="240" w:lineRule="auto"/>
            </w:pPr>
            <w:r>
              <w:rPr>
                <w:sz w:val="20"/>
              </w:rPr>
              <w:t>Initial block consideration</w:t>
            </w:r>
          </w:p>
        </w:tc>
        <w:tc>
          <w:tcPr>
            <w:tcW w:type="dxa" w:w="6336"/>
            <w:vAlign w:val="center"/>
            <w:shd w:fill="F1F4F7"/>
            <w:tcMar>
              <w:top w:w="65" w:type="dxa"/>
              <w:bottom w:w="65" w:type="dxa"/>
              <w:left w:w="95" w:type="dxa"/>
              <w:right w:w="95" w:type="dxa"/>
            </w:tcMar>
          </w:tcPr>
          <w:p>
            <w:pPr>
              <w:spacing w:after="0" w:line="240" w:lineRule="auto"/>
            </w:pPr>
            <w:r>
              <w:rPr>
                <w:sz w:val="20"/>
              </w:rPr>
              <w:t>Approximately ₹11,917 crore</w:t>
            </w:r>
          </w:p>
        </w:tc>
      </w:tr>
      <w:tr>
        <w:trPr>
          <w:cantSplit/>
        </w:trPr>
        <w:tc>
          <w:tcPr>
            <w:tcW w:type="dxa" w:w="3672"/>
            <w:vAlign w:val="center"/>
            <w:shd w:fill="FFFFFF"/>
            <w:tcMar>
              <w:top w:w="65" w:type="dxa"/>
              <w:bottom w:w="65" w:type="dxa"/>
              <w:left w:w="95" w:type="dxa"/>
              <w:right w:w="95" w:type="dxa"/>
            </w:tcMar>
          </w:tcPr>
          <w:p>
            <w:pPr>
              <w:spacing w:after="0" w:line="240" w:lineRule="auto"/>
            </w:pPr>
            <w:r>
              <w:rPr>
                <w:sz w:val="20"/>
              </w:rPr>
              <w:t>Potential employee acquisition</w:t>
            </w:r>
          </w:p>
        </w:tc>
        <w:tc>
          <w:tcPr>
            <w:tcW w:type="dxa" w:w="6336"/>
            <w:vAlign w:val="center"/>
            <w:shd w:fill="FFFFFF"/>
            <w:tcMar>
              <w:top w:w="65" w:type="dxa"/>
              <w:bottom w:w="65" w:type="dxa"/>
              <w:left w:w="95" w:type="dxa"/>
              <w:right w:w="95" w:type="dxa"/>
            </w:tcMar>
          </w:tcPr>
          <w:p>
            <w:pPr>
              <w:spacing w:after="0" w:line="240" w:lineRule="auto"/>
            </w:pPr>
            <w:r>
              <w:rPr>
                <w:sz w:val="20"/>
              </w:rPr>
              <w:t>Up to 2.80%; 4,499,782 shares in the model</w:t>
            </w:r>
          </w:p>
        </w:tc>
      </w:tr>
      <w:tr>
        <w:trPr>
          <w:cantSplit/>
        </w:trPr>
        <w:tc>
          <w:tcPr>
            <w:tcW w:type="dxa" w:w="3672"/>
            <w:vAlign w:val="center"/>
            <w:shd w:fill="F1F4F7"/>
            <w:tcMar>
              <w:top w:w="65" w:type="dxa"/>
              <w:bottom w:w="65" w:type="dxa"/>
              <w:left w:w="95" w:type="dxa"/>
              <w:right w:w="95" w:type="dxa"/>
            </w:tcMar>
          </w:tcPr>
          <w:p>
            <w:pPr>
              <w:spacing w:after="0" w:line="240" w:lineRule="auto"/>
            </w:pPr>
            <w:r>
              <w:rPr>
                <w:sz w:val="20"/>
              </w:rPr>
              <w:t>Mandatory open offer</w:t>
            </w:r>
          </w:p>
        </w:tc>
        <w:tc>
          <w:tcPr>
            <w:tcW w:type="dxa" w:w="6336"/>
            <w:vAlign w:val="center"/>
            <w:shd w:fill="F1F4F7"/>
            <w:tcMar>
              <w:top w:w="65" w:type="dxa"/>
              <w:bottom w:w="65" w:type="dxa"/>
              <w:left w:w="95" w:type="dxa"/>
              <w:right w:w="95" w:type="dxa"/>
            </w:tcMar>
          </w:tcPr>
          <w:p>
            <w:pPr>
              <w:spacing w:after="0" w:line="240" w:lineRule="auto"/>
            </w:pPr>
            <w:r>
              <w:rPr>
                <w:sz w:val="20"/>
              </w:rPr>
              <w:t>Up to 26%; 41,745,264 shares at ₹1,639.18</w:t>
            </w:r>
          </w:p>
        </w:tc>
      </w:tr>
      <w:tr>
        <w:trPr>
          <w:cantSplit/>
        </w:trPr>
        <w:tc>
          <w:tcPr>
            <w:tcW w:type="dxa" w:w="3672"/>
            <w:vAlign w:val="center"/>
            <w:shd w:fill="FFFFFF"/>
            <w:tcMar>
              <w:top w:w="65" w:type="dxa"/>
              <w:bottom w:w="65" w:type="dxa"/>
              <w:left w:w="95" w:type="dxa"/>
              <w:right w:w="95" w:type="dxa"/>
            </w:tcMar>
          </w:tcPr>
          <w:p>
            <w:pPr>
              <w:spacing w:after="0" w:line="240" w:lineRule="auto"/>
            </w:pPr>
            <w:r>
              <w:rPr>
                <w:sz w:val="20"/>
              </w:rPr>
              <w:t>Merger exchange ratio</w:t>
            </w:r>
          </w:p>
        </w:tc>
        <w:tc>
          <w:tcPr>
            <w:tcW w:type="dxa" w:w="6336"/>
            <w:vAlign w:val="center"/>
            <w:shd w:fill="FFFFFF"/>
            <w:tcMar>
              <w:top w:w="65" w:type="dxa"/>
              <w:bottom w:w="65" w:type="dxa"/>
              <w:left w:w="95" w:type="dxa"/>
              <w:right w:w="95" w:type="dxa"/>
            </w:tcMar>
          </w:tcPr>
          <w:p>
            <w:pPr>
              <w:spacing w:after="0" w:line="240" w:lineRule="auto"/>
            </w:pPr>
            <w:r>
              <w:rPr>
                <w:sz w:val="20"/>
              </w:rPr>
              <w:t>51 Torrent shares per 100 remaining JB shares</w:t>
            </w:r>
          </w:p>
        </w:tc>
      </w:tr>
      <w:tr>
        <w:trPr>
          <w:cantSplit/>
        </w:trPr>
        <w:tc>
          <w:tcPr>
            <w:tcW w:type="dxa" w:w="3672"/>
            <w:vAlign w:val="center"/>
            <w:shd w:fill="F1F4F7"/>
            <w:tcMar>
              <w:top w:w="65" w:type="dxa"/>
              <w:bottom w:w="65" w:type="dxa"/>
              <w:left w:w="95" w:type="dxa"/>
              <w:right w:w="95" w:type="dxa"/>
            </w:tcMar>
          </w:tcPr>
          <w:p>
            <w:pPr>
              <w:spacing w:after="0" w:line="240" w:lineRule="auto"/>
            </w:pPr>
            <w:r>
              <w:rPr>
                <w:sz w:val="20"/>
              </w:rPr>
              <w:t>Expanded JB shares</w:t>
            </w:r>
          </w:p>
        </w:tc>
        <w:tc>
          <w:tcPr>
            <w:tcW w:type="dxa" w:w="6336"/>
            <w:vAlign w:val="center"/>
            <w:shd w:fill="F1F4F7"/>
            <w:tcMar>
              <w:top w:w="65" w:type="dxa"/>
              <w:bottom w:w="65" w:type="dxa"/>
              <w:left w:w="95" w:type="dxa"/>
              <w:right w:w="95" w:type="dxa"/>
            </w:tcMar>
          </w:tcPr>
          <w:p>
            <w:pPr>
              <w:spacing w:after="0" w:line="240" w:lineRule="auto"/>
            </w:pPr>
            <w:r>
              <w:rPr>
                <w:sz w:val="20"/>
              </w:rPr>
              <w:t>160,558,706, including assumed ESOP dilution</w:t>
            </w:r>
          </w:p>
        </w:tc>
      </w:tr>
    </w:tbl>
    <w:p>
      <w:pPr>
        <w:spacing w:before="80"/>
      </w:pPr>
      <w:r>
        <w:rPr>
          <w:sz w:val="18"/>
        </w:rPr>
        <w:t>The ₹25,689.4 crore full-equity benchmark is ₹1,600 multiplied by expanded JB shares. Actual funding depends on cash shares acquired and Torrent shares issued to remaining holders. Partial assumes 50% of the maximum open offer is tendered; it does not mean 50% ownership of JB. [1, 2]</w:t>
      </w:r>
    </w:p>
    <w:p>
      <w:pPr>
        <w:pStyle w:val="Heading1"/>
      </w:pPr>
      <w:r>
        <w:t>Financial starting point and forecast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2736"/>
        <w:gridCol w:w="2736"/>
      </w:tblGrid>
      <w:tr>
        <w:trPr>
          <w:cantSplit/>
          <w:tblHeader/>
        </w:trPr>
        <w:tc>
          <w:tcPr>
            <w:tcW w:type="dxa" w:w="4536"/>
            <w:vAlign w:val="center"/>
            <w:shd w:fill="20364A"/>
            <w:tcMar>
              <w:top w:w="65" w:type="dxa"/>
              <w:bottom w:w="65" w:type="dxa"/>
              <w:left w:w="95" w:type="dxa"/>
              <w:right w:w="95" w:type="dxa"/>
            </w:tcMar>
          </w:tcPr>
          <w:p>
            <w:pPr>
              <w:spacing w:after="0" w:line="240" w:lineRule="auto"/>
            </w:pPr>
            <w:r>
              <w:rPr>
                <w:b/>
                <w:color w:val="FFFFFF"/>
                <w:sz w:val="20"/>
              </w:rPr>
              <w:t>Metric</w:t>
            </w:r>
          </w:p>
        </w:tc>
        <w:tc>
          <w:tcPr>
            <w:tcW w:type="dxa" w:w="2736"/>
            <w:vAlign w:val="center"/>
            <w:shd w:fill="20364A"/>
            <w:tcMar>
              <w:top w:w="65" w:type="dxa"/>
              <w:bottom w:w="65" w:type="dxa"/>
              <w:left w:w="95" w:type="dxa"/>
              <w:right w:w="95" w:type="dxa"/>
            </w:tcMar>
          </w:tcPr>
          <w:p>
            <w:pPr>
              <w:spacing w:after="0" w:line="240" w:lineRule="auto"/>
              <w:jc w:val="right"/>
            </w:pPr>
            <w:r>
              <w:rPr>
                <w:b/>
                <w:color w:val="FFFFFF"/>
                <w:sz w:val="20"/>
              </w:rPr>
              <w:t>Torrent</w:t>
            </w:r>
          </w:p>
        </w:tc>
        <w:tc>
          <w:tcPr>
            <w:tcW w:type="dxa" w:w="2736"/>
            <w:vAlign w:val="center"/>
            <w:shd w:fill="20364A"/>
            <w:tcMar>
              <w:top w:w="65" w:type="dxa"/>
              <w:bottom w:w="65" w:type="dxa"/>
              <w:left w:w="95" w:type="dxa"/>
              <w:right w:w="95" w:type="dxa"/>
            </w:tcMar>
          </w:tcPr>
          <w:p>
            <w:pPr>
              <w:spacing w:after="0" w:line="240" w:lineRule="auto"/>
              <w:jc w:val="right"/>
            </w:pPr>
            <w:r>
              <w:rPr>
                <w:b/>
                <w:color w:val="FFFFFF"/>
                <w:sz w:val="20"/>
              </w:rPr>
              <w:t>JB</w:t>
            </w:r>
          </w:p>
        </w:tc>
      </w:tr>
      <w:tr>
        <w:trPr>
          <w:cantSplit/>
        </w:trPr>
        <w:tc>
          <w:tcPr>
            <w:tcW w:type="dxa" w:w="4536"/>
            <w:vAlign w:val="center"/>
            <w:shd w:fill="FFFFFF"/>
            <w:tcMar>
              <w:top w:w="65" w:type="dxa"/>
              <w:bottom w:w="65" w:type="dxa"/>
              <w:left w:w="95" w:type="dxa"/>
              <w:right w:w="95" w:type="dxa"/>
            </w:tcMar>
          </w:tcPr>
          <w:p>
            <w:pPr>
              <w:spacing w:after="0" w:line="240" w:lineRule="auto"/>
            </w:pPr>
            <w:r>
              <w:rPr>
                <w:sz w:val="20"/>
              </w:rPr>
              <w:t>FY25 revenue</w:t>
            </w:r>
          </w:p>
        </w:tc>
        <w:tc>
          <w:tcPr>
            <w:tcW w:type="dxa" w:w="2736"/>
            <w:vAlign w:val="center"/>
            <w:shd w:fill="FFFFFF"/>
            <w:tcMar>
              <w:top w:w="65" w:type="dxa"/>
              <w:bottom w:w="65" w:type="dxa"/>
              <w:left w:w="95" w:type="dxa"/>
              <w:right w:w="95" w:type="dxa"/>
            </w:tcMar>
          </w:tcPr>
          <w:p>
            <w:pPr>
              <w:spacing w:after="0" w:line="240" w:lineRule="auto"/>
              <w:jc w:val="right"/>
            </w:pPr>
            <w:r>
              <w:rPr>
                <w:sz w:val="20"/>
              </w:rPr>
              <w:t>11,516.1</w:t>
            </w:r>
          </w:p>
        </w:tc>
        <w:tc>
          <w:tcPr>
            <w:tcW w:type="dxa" w:w="2736"/>
            <w:vAlign w:val="center"/>
            <w:shd w:fill="FFFFFF"/>
            <w:tcMar>
              <w:top w:w="65" w:type="dxa"/>
              <w:bottom w:w="65" w:type="dxa"/>
              <w:left w:w="95" w:type="dxa"/>
              <w:right w:w="95" w:type="dxa"/>
            </w:tcMar>
          </w:tcPr>
          <w:p>
            <w:pPr>
              <w:spacing w:after="0" w:line="240" w:lineRule="auto"/>
              <w:jc w:val="right"/>
            </w:pPr>
            <w:r>
              <w:rPr>
                <w:sz w:val="20"/>
              </w:rPr>
              <w:t>3,918.0</w:t>
            </w:r>
          </w:p>
        </w:tc>
      </w:tr>
      <w:tr>
        <w:trPr>
          <w:cantSplit/>
        </w:trPr>
        <w:tc>
          <w:tcPr>
            <w:tcW w:type="dxa" w:w="4536"/>
            <w:vAlign w:val="center"/>
            <w:shd w:fill="F1F4F7"/>
            <w:tcMar>
              <w:top w:w="65" w:type="dxa"/>
              <w:bottom w:w="65" w:type="dxa"/>
              <w:left w:w="95" w:type="dxa"/>
              <w:right w:w="95" w:type="dxa"/>
            </w:tcMar>
          </w:tcPr>
          <w:p>
            <w:pPr>
              <w:spacing w:after="0" w:line="240" w:lineRule="auto"/>
            </w:pPr>
            <w:r>
              <w:rPr>
                <w:sz w:val="20"/>
              </w:rPr>
              <w:t>FY25 EBITDA after ESOP cost</w:t>
            </w:r>
          </w:p>
        </w:tc>
        <w:tc>
          <w:tcPr>
            <w:tcW w:type="dxa" w:w="2736"/>
            <w:vAlign w:val="center"/>
            <w:shd w:fill="F1F4F7"/>
            <w:tcMar>
              <w:top w:w="65" w:type="dxa"/>
              <w:bottom w:w="65" w:type="dxa"/>
              <w:left w:w="95" w:type="dxa"/>
              <w:right w:w="95" w:type="dxa"/>
            </w:tcMar>
          </w:tcPr>
          <w:p>
            <w:pPr>
              <w:spacing w:after="0" w:line="240" w:lineRule="auto"/>
              <w:jc w:val="right"/>
            </w:pPr>
            <w:r>
              <w:rPr>
                <w:sz w:val="20"/>
              </w:rPr>
              <w:t>3,721.0</w:t>
            </w:r>
          </w:p>
        </w:tc>
        <w:tc>
          <w:tcPr>
            <w:tcW w:type="dxa" w:w="2736"/>
            <w:vAlign w:val="center"/>
            <w:shd w:fill="F1F4F7"/>
            <w:tcMar>
              <w:top w:w="65" w:type="dxa"/>
              <w:bottom w:w="65" w:type="dxa"/>
              <w:left w:w="95" w:type="dxa"/>
              <w:right w:w="95" w:type="dxa"/>
            </w:tcMar>
          </w:tcPr>
          <w:p>
            <w:pPr>
              <w:spacing w:after="0" w:line="240" w:lineRule="auto"/>
              <w:jc w:val="right"/>
            </w:pPr>
            <w:r>
              <w:rPr>
                <w:sz w:val="20"/>
              </w:rPr>
              <w:t>1,031.8</w:t>
            </w:r>
          </w:p>
        </w:tc>
      </w:tr>
      <w:tr>
        <w:trPr>
          <w:cantSplit/>
        </w:trPr>
        <w:tc>
          <w:tcPr>
            <w:tcW w:type="dxa" w:w="4536"/>
            <w:vAlign w:val="center"/>
            <w:shd w:fill="FFFFFF"/>
            <w:tcMar>
              <w:top w:w="65" w:type="dxa"/>
              <w:bottom w:w="65" w:type="dxa"/>
              <w:left w:w="95" w:type="dxa"/>
              <w:right w:w="95" w:type="dxa"/>
            </w:tcMar>
          </w:tcPr>
          <w:p>
            <w:pPr>
              <w:spacing w:after="0" w:line="240" w:lineRule="auto"/>
            </w:pPr>
            <w:r>
              <w:rPr>
                <w:sz w:val="20"/>
              </w:rPr>
              <w:t>FY25 EBITDA margin</w:t>
            </w:r>
          </w:p>
        </w:tc>
        <w:tc>
          <w:tcPr>
            <w:tcW w:type="dxa" w:w="2736"/>
            <w:vAlign w:val="center"/>
            <w:shd w:fill="FFFFFF"/>
            <w:tcMar>
              <w:top w:w="65" w:type="dxa"/>
              <w:bottom w:w="65" w:type="dxa"/>
              <w:left w:w="95" w:type="dxa"/>
              <w:right w:w="95" w:type="dxa"/>
            </w:tcMar>
          </w:tcPr>
          <w:p>
            <w:pPr>
              <w:spacing w:after="0" w:line="240" w:lineRule="auto"/>
              <w:jc w:val="right"/>
            </w:pPr>
            <w:r>
              <w:rPr>
                <w:sz w:val="20"/>
              </w:rPr>
              <w:t>32.3%</w:t>
            </w:r>
          </w:p>
        </w:tc>
        <w:tc>
          <w:tcPr>
            <w:tcW w:type="dxa" w:w="2736"/>
            <w:vAlign w:val="center"/>
            <w:shd w:fill="FFFFFF"/>
            <w:tcMar>
              <w:top w:w="65" w:type="dxa"/>
              <w:bottom w:w="65" w:type="dxa"/>
              <w:left w:w="95" w:type="dxa"/>
              <w:right w:w="95" w:type="dxa"/>
            </w:tcMar>
          </w:tcPr>
          <w:p>
            <w:pPr>
              <w:spacing w:after="0" w:line="240" w:lineRule="auto"/>
              <w:jc w:val="right"/>
            </w:pPr>
            <w:r>
              <w:rPr>
                <w:sz w:val="20"/>
              </w:rPr>
              <w:t>26.3%</w:t>
            </w:r>
          </w:p>
        </w:tc>
      </w:tr>
      <w:tr>
        <w:trPr>
          <w:cantSplit/>
        </w:trPr>
        <w:tc>
          <w:tcPr>
            <w:tcW w:type="dxa" w:w="4536"/>
            <w:vAlign w:val="center"/>
            <w:shd w:fill="F1F4F7"/>
            <w:tcMar>
              <w:top w:w="65" w:type="dxa"/>
              <w:bottom w:w="65" w:type="dxa"/>
              <w:left w:w="95" w:type="dxa"/>
              <w:right w:w="95" w:type="dxa"/>
            </w:tcMar>
          </w:tcPr>
          <w:p>
            <w:pPr>
              <w:spacing w:after="0" w:line="240" w:lineRule="auto"/>
            </w:pPr>
            <w:r>
              <w:rPr>
                <w:sz w:val="20"/>
              </w:rPr>
              <w:t>FY25 profit after tax</w:t>
            </w:r>
          </w:p>
        </w:tc>
        <w:tc>
          <w:tcPr>
            <w:tcW w:type="dxa" w:w="2736"/>
            <w:vAlign w:val="center"/>
            <w:shd w:fill="F1F4F7"/>
            <w:tcMar>
              <w:top w:w="65" w:type="dxa"/>
              <w:bottom w:w="65" w:type="dxa"/>
              <w:left w:w="95" w:type="dxa"/>
              <w:right w:w="95" w:type="dxa"/>
            </w:tcMar>
          </w:tcPr>
          <w:p>
            <w:pPr>
              <w:spacing w:after="0" w:line="240" w:lineRule="auto"/>
              <w:jc w:val="right"/>
            </w:pPr>
            <w:r>
              <w:rPr>
                <w:sz w:val="20"/>
              </w:rPr>
              <w:t>1,911.3</w:t>
            </w:r>
          </w:p>
        </w:tc>
        <w:tc>
          <w:tcPr>
            <w:tcW w:type="dxa" w:w="2736"/>
            <w:vAlign w:val="center"/>
            <w:shd w:fill="F1F4F7"/>
            <w:tcMar>
              <w:top w:w="65" w:type="dxa"/>
              <w:bottom w:w="65" w:type="dxa"/>
              <w:left w:w="95" w:type="dxa"/>
              <w:right w:w="95" w:type="dxa"/>
            </w:tcMar>
          </w:tcPr>
          <w:p>
            <w:pPr>
              <w:spacing w:after="0" w:line="240" w:lineRule="auto"/>
              <w:jc w:val="right"/>
            </w:pPr>
            <w:r>
              <w:rPr>
                <w:sz w:val="20"/>
              </w:rPr>
              <w:t>659.6</w:t>
            </w:r>
          </w:p>
        </w:tc>
      </w:tr>
      <w:tr>
        <w:trPr>
          <w:cantSplit/>
        </w:trPr>
        <w:tc>
          <w:tcPr>
            <w:tcW w:type="dxa" w:w="4536"/>
            <w:vAlign w:val="center"/>
            <w:shd w:fill="FFFFFF"/>
            <w:tcMar>
              <w:top w:w="65" w:type="dxa"/>
              <w:bottom w:w="65" w:type="dxa"/>
              <w:left w:w="95" w:type="dxa"/>
              <w:right w:w="95" w:type="dxa"/>
            </w:tcMar>
          </w:tcPr>
          <w:p>
            <w:pPr>
              <w:spacing w:after="0" w:line="240" w:lineRule="auto"/>
            </w:pPr>
            <w:r>
              <w:rPr>
                <w:sz w:val="20"/>
              </w:rPr>
              <w:t>FY30 base revenue</w:t>
            </w:r>
          </w:p>
        </w:tc>
        <w:tc>
          <w:tcPr>
            <w:tcW w:type="dxa" w:w="2736"/>
            <w:vAlign w:val="center"/>
            <w:shd w:fill="FFFFFF"/>
            <w:tcMar>
              <w:top w:w="65" w:type="dxa"/>
              <w:bottom w:w="65" w:type="dxa"/>
              <w:left w:w="95" w:type="dxa"/>
              <w:right w:w="95" w:type="dxa"/>
            </w:tcMar>
          </w:tcPr>
          <w:p>
            <w:pPr>
              <w:spacing w:after="0" w:line="240" w:lineRule="auto"/>
              <w:jc w:val="right"/>
            </w:pPr>
            <w:r>
              <w:rPr>
                <w:sz w:val="20"/>
              </w:rPr>
              <w:t>17,440.5</w:t>
            </w:r>
          </w:p>
        </w:tc>
        <w:tc>
          <w:tcPr>
            <w:tcW w:type="dxa" w:w="2736"/>
            <w:vAlign w:val="center"/>
            <w:shd w:fill="FFFFFF"/>
            <w:tcMar>
              <w:top w:w="65" w:type="dxa"/>
              <w:bottom w:w="65" w:type="dxa"/>
              <w:left w:w="95" w:type="dxa"/>
              <w:right w:w="95" w:type="dxa"/>
            </w:tcMar>
          </w:tcPr>
          <w:p>
            <w:pPr>
              <w:spacing w:after="0" w:line="240" w:lineRule="auto"/>
              <w:jc w:val="right"/>
            </w:pPr>
            <w:r>
              <w:rPr>
                <w:sz w:val="20"/>
              </w:rPr>
              <w:t>6,450.7</w:t>
            </w:r>
          </w:p>
        </w:tc>
      </w:tr>
      <w:tr>
        <w:trPr>
          <w:cantSplit/>
        </w:trPr>
        <w:tc>
          <w:tcPr>
            <w:tcW w:type="dxa" w:w="4536"/>
            <w:vAlign w:val="center"/>
            <w:shd w:fill="F1F4F7"/>
            <w:tcMar>
              <w:top w:w="65" w:type="dxa"/>
              <w:bottom w:w="65" w:type="dxa"/>
              <w:left w:w="95" w:type="dxa"/>
              <w:right w:w="95" w:type="dxa"/>
            </w:tcMar>
          </w:tcPr>
          <w:p>
            <w:pPr>
              <w:spacing w:after="0" w:line="240" w:lineRule="auto"/>
            </w:pPr>
            <w:r>
              <w:rPr>
                <w:sz w:val="20"/>
              </w:rPr>
              <w:t>FY30 base EBITDA margin</w:t>
            </w:r>
          </w:p>
        </w:tc>
        <w:tc>
          <w:tcPr>
            <w:tcW w:type="dxa" w:w="2736"/>
            <w:vAlign w:val="center"/>
            <w:shd w:fill="F1F4F7"/>
            <w:tcMar>
              <w:top w:w="65" w:type="dxa"/>
              <w:bottom w:w="65" w:type="dxa"/>
              <w:left w:w="95" w:type="dxa"/>
              <w:right w:w="95" w:type="dxa"/>
            </w:tcMar>
          </w:tcPr>
          <w:p>
            <w:pPr>
              <w:spacing w:after="0" w:line="240" w:lineRule="auto"/>
              <w:jc w:val="right"/>
            </w:pPr>
            <w:r>
              <w:rPr>
                <w:sz w:val="20"/>
              </w:rPr>
              <w:t>34.5%</w:t>
            </w:r>
          </w:p>
        </w:tc>
        <w:tc>
          <w:tcPr>
            <w:tcW w:type="dxa" w:w="2736"/>
            <w:vAlign w:val="center"/>
            <w:shd w:fill="F1F4F7"/>
            <w:tcMar>
              <w:top w:w="65" w:type="dxa"/>
              <w:bottom w:w="65" w:type="dxa"/>
              <w:left w:w="95" w:type="dxa"/>
              <w:right w:w="95" w:type="dxa"/>
            </w:tcMar>
          </w:tcPr>
          <w:p>
            <w:pPr>
              <w:spacing w:after="0" w:line="240" w:lineRule="auto"/>
              <w:jc w:val="right"/>
            </w:pPr>
            <w:r>
              <w:rPr>
                <w:sz w:val="20"/>
              </w:rPr>
              <w:t>28.5%</w:t>
            </w:r>
          </w:p>
        </w:tc>
      </w:tr>
    </w:tbl>
    <w:p>
      <w:pPr>
        <w:spacing w:before="80"/>
      </w:pPr>
      <w:r>
        <w:t>May 2025 results corroborate FY25 revenue and profitability. JB’s management operating EBITDA is ₹1,087 crore, or 27.7%, because it excludes about ₹54.9 crore of ESOP cost. The model retains ESOP as an economic expense, so its forecast starts from 26.3%. Torrent’s rounded EBITDA agrees with the result release. [3–6]</w:t>
      </w:r>
    </w:p>
    <w:p>
      <w:r>
        <w:rPr>
          <w:sz w:val="18"/>
        </w:rPr>
        <w:t>The base forecasts imply FY25–FY30 revenue growth of about 8.7% a year for Torrent and 10.5% for JB. These are analyst estimates. India growth fades over time; JB CDMO recovery and margin expansion depend on execution. Historical acquired-brand purchases are not treated as recurring capex.</w:t>
      </w:r>
    </w:p>
    <w:p>
      <w:r>
        <w:br w:type="page"/>
      </w:r>
    </w:p>
    <w:p>
      <w:pPr>
        <w:pStyle w:val="Title"/>
      </w:pPr>
      <w:r>
        <w:t>Assumption validation</w:t>
      </w:r>
    </w:p>
    <w:p>
      <w:pPr>
        <w:pStyle w:val="Heading1"/>
      </w:pPr>
      <w:r>
        <w:t>Dated references replace unsupported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2592"/>
        <w:gridCol w:w="2592"/>
      </w:tblGrid>
      <w:tr>
        <w:trPr>
          <w:cantSplit/>
          <w:tblHeader/>
        </w:trPr>
        <w:tc>
          <w:tcPr>
            <w:tcW w:type="dxa" w:w="4824"/>
            <w:vAlign w:val="center"/>
            <w:shd w:fill="20364A"/>
            <w:tcMar>
              <w:top w:w="65" w:type="dxa"/>
              <w:bottom w:w="65" w:type="dxa"/>
              <w:left w:w="95" w:type="dxa"/>
              <w:right w:w="95" w:type="dxa"/>
            </w:tcMar>
          </w:tcPr>
          <w:p>
            <w:pPr>
              <w:spacing w:after="0" w:line="240" w:lineRule="auto"/>
            </w:pPr>
            <w:r>
              <w:rPr>
                <w:b/>
                <w:color w:val="FFFFFF"/>
                <w:sz w:val="20"/>
              </w:rPr>
              <w:t>Discount rate input</w:t>
            </w:r>
          </w:p>
        </w:tc>
        <w:tc>
          <w:tcPr>
            <w:tcW w:type="dxa" w:w="2592"/>
            <w:vAlign w:val="center"/>
            <w:shd w:fill="20364A"/>
            <w:tcMar>
              <w:top w:w="65" w:type="dxa"/>
              <w:bottom w:w="65" w:type="dxa"/>
              <w:left w:w="95" w:type="dxa"/>
              <w:right w:w="95" w:type="dxa"/>
            </w:tcMar>
          </w:tcPr>
          <w:p>
            <w:pPr>
              <w:spacing w:after="0" w:line="240" w:lineRule="auto"/>
              <w:jc w:val="right"/>
            </w:pPr>
            <w:r>
              <w:rPr>
                <w:b/>
                <w:color w:val="FFFFFF"/>
                <w:sz w:val="20"/>
              </w:rPr>
              <w:t>Torrent</w:t>
            </w:r>
          </w:p>
        </w:tc>
        <w:tc>
          <w:tcPr>
            <w:tcW w:type="dxa" w:w="2592"/>
            <w:vAlign w:val="center"/>
            <w:shd w:fill="20364A"/>
            <w:tcMar>
              <w:top w:w="65" w:type="dxa"/>
              <w:bottom w:w="65" w:type="dxa"/>
              <w:left w:w="95" w:type="dxa"/>
              <w:right w:w="95" w:type="dxa"/>
            </w:tcMar>
          </w:tcPr>
          <w:p>
            <w:pPr>
              <w:spacing w:after="0" w:line="240" w:lineRule="auto"/>
              <w:jc w:val="right"/>
            </w:pPr>
            <w:r>
              <w:rPr>
                <w:b/>
                <w:color w:val="FFFFFF"/>
                <w:sz w:val="20"/>
              </w:rPr>
              <w:t>JB</w:t>
            </w:r>
          </w:p>
        </w:tc>
      </w:tr>
      <w:tr>
        <w:trPr>
          <w:cantSplit/>
        </w:trPr>
        <w:tc>
          <w:tcPr>
            <w:tcW w:type="dxa" w:w="4824"/>
            <w:vAlign w:val="center"/>
            <w:shd w:fill="FFFFFF"/>
            <w:tcMar>
              <w:top w:w="65" w:type="dxa"/>
              <w:bottom w:w="65" w:type="dxa"/>
              <w:left w:w="95" w:type="dxa"/>
              <w:right w:w="95" w:type="dxa"/>
            </w:tcMar>
          </w:tcPr>
          <w:p>
            <w:pPr>
              <w:spacing w:after="0" w:line="240" w:lineRule="auto"/>
            </w:pPr>
            <w:r>
              <w:rPr>
                <w:sz w:val="20"/>
              </w:rPr>
              <w:t>27 June 2025 government yield</w:t>
            </w:r>
          </w:p>
        </w:tc>
        <w:tc>
          <w:tcPr>
            <w:tcW w:type="dxa" w:w="2592"/>
            <w:vAlign w:val="center"/>
            <w:shd w:fill="FFFFFF"/>
            <w:tcMar>
              <w:top w:w="65" w:type="dxa"/>
              <w:bottom w:w="65" w:type="dxa"/>
              <w:left w:w="95" w:type="dxa"/>
              <w:right w:w="95" w:type="dxa"/>
            </w:tcMar>
          </w:tcPr>
          <w:p>
            <w:pPr>
              <w:spacing w:after="0" w:line="240" w:lineRule="auto"/>
              <w:jc w:val="right"/>
            </w:pPr>
            <w:r>
              <w:rPr>
                <w:sz w:val="20"/>
              </w:rPr>
              <w:t>6.31%</w:t>
            </w:r>
          </w:p>
        </w:tc>
        <w:tc>
          <w:tcPr>
            <w:tcW w:type="dxa" w:w="2592"/>
            <w:vAlign w:val="center"/>
            <w:shd w:fill="FFFFFF"/>
            <w:tcMar>
              <w:top w:w="65" w:type="dxa"/>
              <w:bottom w:w="65" w:type="dxa"/>
              <w:left w:w="95" w:type="dxa"/>
              <w:right w:w="95" w:type="dxa"/>
            </w:tcMar>
          </w:tcPr>
          <w:p>
            <w:pPr>
              <w:spacing w:after="0" w:line="240" w:lineRule="auto"/>
              <w:jc w:val="right"/>
            </w:pPr>
            <w:r>
              <w:rPr>
                <w:sz w:val="20"/>
              </w:rPr>
              <w:t>6.31%</w:t>
            </w:r>
          </w:p>
        </w:tc>
      </w:tr>
      <w:tr>
        <w:trPr>
          <w:cantSplit/>
        </w:trPr>
        <w:tc>
          <w:tcPr>
            <w:tcW w:type="dxa" w:w="4824"/>
            <w:vAlign w:val="center"/>
            <w:shd w:fill="F1F4F7"/>
            <w:tcMar>
              <w:top w:w="65" w:type="dxa"/>
              <w:bottom w:w="65" w:type="dxa"/>
              <w:left w:w="95" w:type="dxa"/>
              <w:right w:w="95" w:type="dxa"/>
            </w:tcMar>
          </w:tcPr>
          <w:p>
            <w:pPr>
              <w:spacing w:after="0" w:line="240" w:lineRule="auto"/>
            </w:pPr>
            <w:r>
              <w:rPr>
                <w:sz w:val="20"/>
              </w:rPr>
              <w:t>Less sovereign default spread</w:t>
            </w:r>
          </w:p>
        </w:tc>
        <w:tc>
          <w:tcPr>
            <w:tcW w:type="dxa" w:w="2592"/>
            <w:vAlign w:val="center"/>
            <w:shd w:fill="F1F4F7"/>
            <w:tcMar>
              <w:top w:w="65" w:type="dxa"/>
              <w:bottom w:w="65" w:type="dxa"/>
              <w:left w:w="95" w:type="dxa"/>
              <w:right w:w="95" w:type="dxa"/>
            </w:tcMar>
          </w:tcPr>
          <w:p>
            <w:pPr>
              <w:spacing w:after="0" w:line="240" w:lineRule="auto"/>
              <w:jc w:val="right"/>
            </w:pPr>
            <w:r>
              <w:rPr>
                <w:sz w:val="20"/>
              </w:rPr>
              <w:t>2.18%</w:t>
            </w:r>
          </w:p>
        </w:tc>
        <w:tc>
          <w:tcPr>
            <w:tcW w:type="dxa" w:w="2592"/>
            <w:vAlign w:val="center"/>
            <w:shd w:fill="F1F4F7"/>
            <w:tcMar>
              <w:top w:w="65" w:type="dxa"/>
              <w:bottom w:w="65" w:type="dxa"/>
              <w:left w:w="95" w:type="dxa"/>
              <w:right w:w="95" w:type="dxa"/>
            </w:tcMar>
          </w:tcPr>
          <w:p>
            <w:pPr>
              <w:spacing w:after="0" w:line="240" w:lineRule="auto"/>
              <w:jc w:val="right"/>
            </w:pPr>
            <w:r>
              <w:rPr>
                <w:sz w:val="20"/>
              </w:rPr>
              <w:t>2.18%</w:t>
            </w:r>
          </w:p>
        </w:tc>
      </w:tr>
      <w:tr>
        <w:trPr>
          <w:cantSplit/>
        </w:trPr>
        <w:tc>
          <w:tcPr>
            <w:tcW w:type="dxa" w:w="4824"/>
            <w:vAlign w:val="center"/>
            <w:shd w:fill="FFFFFF"/>
            <w:tcMar>
              <w:top w:w="65" w:type="dxa"/>
              <w:bottom w:w="65" w:type="dxa"/>
              <w:left w:w="95" w:type="dxa"/>
              <w:right w:w="95" w:type="dxa"/>
            </w:tcMar>
          </w:tcPr>
          <w:p>
            <w:pPr>
              <w:spacing w:after="0" w:line="240" w:lineRule="auto"/>
            </w:pPr>
            <w:r>
              <w:rPr>
                <w:sz w:val="20"/>
              </w:rPr>
              <w:t>Calculated default-free INR proxy</w:t>
            </w:r>
          </w:p>
        </w:tc>
        <w:tc>
          <w:tcPr>
            <w:tcW w:type="dxa" w:w="2592"/>
            <w:vAlign w:val="center"/>
            <w:shd w:fill="FFFFFF"/>
            <w:tcMar>
              <w:top w:w="65" w:type="dxa"/>
              <w:bottom w:w="65" w:type="dxa"/>
              <w:left w:w="95" w:type="dxa"/>
              <w:right w:w="95" w:type="dxa"/>
            </w:tcMar>
          </w:tcPr>
          <w:p>
            <w:pPr>
              <w:spacing w:after="0" w:line="240" w:lineRule="auto"/>
              <w:jc w:val="right"/>
            </w:pPr>
            <w:r>
              <w:rPr>
                <w:sz w:val="20"/>
              </w:rPr>
              <w:t>4.13%</w:t>
            </w:r>
          </w:p>
        </w:tc>
        <w:tc>
          <w:tcPr>
            <w:tcW w:type="dxa" w:w="2592"/>
            <w:vAlign w:val="center"/>
            <w:shd w:fill="FFFFFF"/>
            <w:tcMar>
              <w:top w:w="65" w:type="dxa"/>
              <w:bottom w:w="65" w:type="dxa"/>
              <w:left w:w="95" w:type="dxa"/>
              <w:right w:w="95" w:type="dxa"/>
            </w:tcMar>
          </w:tcPr>
          <w:p>
            <w:pPr>
              <w:spacing w:after="0" w:line="240" w:lineRule="auto"/>
              <w:jc w:val="right"/>
            </w:pPr>
            <w:r>
              <w:rPr>
                <w:sz w:val="20"/>
              </w:rPr>
              <w:t>4.13%</w:t>
            </w:r>
          </w:p>
        </w:tc>
      </w:tr>
      <w:tr>
        <w:trPr>
          <w:cantSplit/>
        </w:trPr>
        <w:tc>
          <w:tcPr>
            <w:tcW w:type="dxa" w:w="4824"/>
            <w:vAlign w:val="center"/>
            <w:shd w:fill="F1F4F7"/>
            <w:tcMar>
              <w:top w:w="65" w:type="dxa"/>
              <w:bottom w:w="65" w:type="dxa"/>
              <w:left w:w="95" w:type="dxa"/>
              <w:right w:w="95" w:type="dxa"/>
            </w:tcMar>
          </w:tcPr>
          <w:p>
            <w:pPr>
              <w:spacing w:after="0" w:line="240" w:lineRule="auto"/>
            </w:pPr>
            <w:r>
              <w:rPr>
                <w:sz w:val="20"/>
              </w:rPr>
              <w:t>January 2025 total India ERP</w:t>
            </w:r>
          </w:p>
        </w:tc>
        <w:tc>
          <w:tcPr>
            <w:tcW w:type="dxa" w:w="2592"/>
            <w:vAlign w:val="center"/>
            <w:shd w:fill="F1F4F7"/>
            <w:tcMar>
              <w:top w:w="65" w:type="dxa"/>
              <w:bottom w:w="65" w:type="dxa"/>
              <w:left w:w="95" w:type="dxa"/>
              <w:right w:w="95" w:type="dxa"/>
            </w:tcMar>
          </w:tcPr>
          <w:p>
            <w:pPr>
              <w:spacing w:after="0" w:line="240" w:lineRule="auto"/>
              <w:jc w:val="right"/>
            </w:pPr>
            <w:r>
              <w:rPr>
                <w:sz w:val="20"/>
              </w:rPr>
              <w:t>7.26%</w:t>
            </w:r>
          </w:p>
        </w:tc>
        <w:tc>
          <w:tcPr>
            <w:tcW w:type="dxa" w:w="2592"/>
            <w:vAlign w:val="center"/>
            <w:shd w:fill="F1F4F7"/>
            <w:tcMar>
              <w:top w:w="65" w:type="dxa"/>
              <w:bottom w:w="65" w:type="dxa"/>
              <w:left w:w="95" w:type="dxa"/>
              <w:right w:w="95" w:type="dxa"/>
            </w:tcMar>
          </w:tcPr>
          <w:p>
            <w:pPr>
              <w:spacing w:after="0" w:line="240" w:lineRule="auto"/>
              <w:jc w:val="right"/>
            </w:pPr>
            <w:r>
              <w:rPr>
                <w:sz w:val="20"/>
              </w:rPr>
              <w:t>7.26%</w:t>
            </w:r>
          </w:p>
        </w:tc>
      </w:tr>
      <w:tr>
        <w:trPr>
          <w:cantSplit/>
        </w:trPr>
        <w:tc>
          <w:tcPr>
            <w:tcW w:type="dxa" w:w="4824"/>
            <w:vAlign w:val="center"/>
            <w:shd w:fill="FFFFFF"/>
            <w:tcMar>
              <w:top w:w="65" w:type="dxa"/>
              <w:bottom w:w="65" w:type="dxa"/>
              <w:left w:w="95" w:type="dxa"/>
              <w:right w:w="95" w:type="dxa"/>
            </w:tcMar>
          </w:tcPr>
          <w:p>
            <w:pPr>
              <w:spacing w:after="0" w:line="240" w:lineRule="auto"/>
            </w:pPr>
            <w:r>
              <w:rPr>
                <w:sz w:val="20"/>
              </w:rPr>
              <w:t>Sector asset beta before leverage</w:t>
            </w:r>
          </w:p>
        </w:tc>
        <w:tc>
          <w:tcPr>
            <w:tcW w:type="dxa" w:w="2592"/>
            <w:vAlign w:val="center"/>
            <w:shd w:fill="FFFFFF"/>
            <w:tcMar>
              <w:top w:w="65" w:type="dxa"/>
              <w:bottom w:w="65" w:type="dxa"/>
              <w:left w:w="95" w:type="dxa"/>
              <w:right w:w="95" w:type="dxa"/>
            </w:tcMar>
          </w:tcPr>
          <w:p>
            <w:pPr>
              <w:spacing w:after="0" w:line="240" w:lineRule="auto"/>
              <w:jc w:val="right"/>
            </w:pPr>
            <w:r>
              <w:rPr>
                <w:sz w:val="20"/>
              </w:rPr>
              <w:t>1.020x</w:t>
            </w:r>
          </w:p>
        </w:tc>
        <w:tc>
          <w:tcPr>
            <w:tcW w:type="dxa" w:w="2592"/>
            <w:vAlign w:val="center"/>
            <w:shd w:fill="FFFFFF"/>
            <w:tcMar>
              <w:top w:w="65" w:type="dxa"/>
              <w:bottom w:w="65" w:type="dxa"/>
              <w:left w:w="95" w:type="dxa"/>
              <w:right w:w="95" w:type="dxa"/>
            </w:tcMar>
          </w:tcPr>
          <w:p>
            <w:pPr>
              <w:spacing w:after="0" w:line="240" w:lineRule="auto"/>
              <w:jc w:val="right"/>
            </w:pPr>
            <w:r>
              <w:rPr>
                <w:sz w:val="20"/>
              </w:rPr>
              <w:t>1.020x</w:t>
            </w:r>
          </w:p>
        </w:tc>
      </w:tr>
      <w:tr>
        <w:trPr>
          <w:cantSplit/>
        </w:trPr>
        <w:tc>
          <w:tcPr>
            <w:tcW w:type="dxa" w:w="4824"/>
            <w:vAlign w:val="center"/>
            <w:shd w:fill="F1F4F7"/>
            <w:tcMar>
              <w:top w:w="65" w:type="dxa"/>
              <w:bottom w:w="65" w:type="dxa"/>
              <w:left w:w="95" w:type="dxa"/>
              <w:right w:w="95" w:type="dxa"/>
            </w:tcMar>
          </w:tcPr>
          <w:p>
            <w:pPr>
              <w:spacing w:after="0" w:line="240" w:lineRule="auto"/>
            </w:pPr>
            <w:r>
              <w:rPr>
                <w:sz w:val="20"/>
              </w:rPr>
              <w:t>Relevered beta</w:t>
            </w:r>
          </w:p>
        </w:tc>
        <w:tc>
          <w:tcPr>
            <w:tcW w:type="dxa" w:w="2592"/>
            <w:vAlign w:val="center"/>
            <w:shd w:fill="F1F4F7"/>
            <w:tcMar>
              <w:top w:w="65" w:type="dxa"/>
              <w:bottom w:w="65" w:type="dxa"/>
              <w:left w:w="95" w:type="dxa"/>
              <w:right w:w="95" w:type="dxa"/>
            </w:tcMar>
          </w:tcPr>
          <w:p>
            <w:pPr>
              <w:spacing w:after="0" w:line="240" w:lineRule="auto"/>
              <w:jc w:val="right"/>
            </w:pPr>
            <w:r>
              <w:rPr>
                <w:sz w:val="20"/>
              </w:rPr>
              <w:t>1.102x</w:t>
            </w:r>
          </w:p>
        </w:tc>
        <w:tc>
          <w:tcPr>
            <w:tcW w:type="dxa" w:w="2592"/>
            <w:vAlign w:val="center"/>
            <w:shd w:fill="F1F4F7"/>
            <w:tcMar>
              <w:top w:w="65" w:type="dxa"/>
              <w:bottom w:w="65" w:type="dxa"/>
              <w:left w:w="95" w:type="dxa"/>
              <w:right w:w="95" w:type="dxa"/>
            </w:tcMar>
          </w:tcPr>
          <w:p>
            <w:pPr>
              <w:spacing w:after="0" w:line="240" w:lineRule="auto"/>
              <w:jc w:val="right"/>
            </w:pPr>
            <w:r>
              <w:rPr>
                <w:sz w:val="20"/>
              </w:rPr>
              <w:t>1.060x</w:t>
            </w:r>
          </w:p>
        </w:tc>
      </w:tr>
      <w:tr>
        <w:trPr>
          <w:cantSplit/>
        </w:trPr>
        <w:tc>
          <w:tcPr>
            <w:tcW w:type="dxa" w:w="4824"/>
            <w:vAlign w:val="center"/>
            <w:shd w:fill="FFFFFF"/>
            <w:tcMar>
              <w:top w:w="65" w:type="dxa"/>
              <w:bottom w:w="65" w:type="dxa"/>
              <w:left w:w="95" w:type="dxa"/>
              <w:right w:w="95" w:type="dxa"/>
            </w:tcMar>
          </w:tcPr>
          <w:p>
            <w:pPr>
              <w:spacing w:after="0" w:line="240" w:lineRule="auto"/>
            </w:pPr>
            <w:r>
              <w:rPr>
                <w:sz w:val="20"/>
              </w:rPr>
              <w:t>Assumed debt / total capital</w:t>
            </w:r>
          </w:p>
        </w:tc>
        <w:tc>
          <w:tcPr>
            <w:tcW w:type="dxa" w:w="2592"/>
            <w:vAlign w:val="center"/>
            <w:shd w:fill="FFFFFF"/>
            <w:tcMar>
              <w:top w:w="65" w:type="dxa"/>
              <w:bottom w:w="65" w:type="dxa"/>
              <w:left w:w="95" w:type="dxa"/>
              <w:right w:w="95" w:type="dxa"/>
            </w:tcMar>
          </w:tcPr>
          <w:p>
            <w:pPr>
              <w:spacing w:after="0" w:line="240" w:lineRule="auto"/>
              <w:jc w:val="right"/>
            </w:pPr>
            <w:r>
              <w:rPr>
                <w:sz w:val="20"/>
              </w:rPr>
              <w:t>10.0%</w:t>
            </w:r>
          </w:p>
        </w:tc>
        <w:tc>
          <w:tcPr>
            <w:tcW w:type="dxa" w:w="2592"/>
            <w:vAlign w:val="center"/>
            <w:shd w:fill="FFFFFF"/>
            <w:tcMar>
              <w:top w:w="65" w:type="dxa"/>
              <w:bottom w:w="65" w:type="dxa"/>
              <w:left w:w="95" w:type="dxa"/>
              <w:right w:w="95" w:type="dxa"/>
            </w:tcMar>
          </w:tcPr>
          <w:p>
            <w:pPr>
              <w:spacing w:after="0" w:line="240" w:lineRule="auto"/>
              <w:jc w:val="right"/>
            </w:pPr>
            <w:r>
              <w:rPr>
                <w:sz w:val="20"/>
              </w:rPr>
              <w:t>5.0%</w:t>
            </w:r>
          </w:p>
        </w:tc>
      </w:tr>
      <w:tr>
        <w:trPr>
          <w:cantSplit/>
        </w:trPr>
        <w:tc>
          <w:tcPr>
            <w:tcW w:type="dxa" w:w="4824"/>
            <w:vAlign w:val="center"/>
            <w:shd w:fill="F1F4F7"/>
            <w:tcMar>
              <w:top w:w="65" w:type="dxa"/>
              <w:bottom w:w="65" w:type="dxa"/>
              <w:left w:w="95" w:type="dxa"/>
              <w:right w:w="95" w:type="dxa"/>
            </w:tcMar>
          </w:tcPr>
          <w:p>
            <w:pPr>
              <w:spacing w:after="0" w:line="240" w:lineRule="auto"/>
            </w:pPr>
            <w:r>
              <w:rPr>
                <w:sz w:val="20"/>
              </w:rPr>
              <w:t>Debt cost / cash-tax proxy</w:t>
            </w:r>
          </w:p>
        </w:tc>
        <w:tc>
          <w:tcPr>
            <w:tcW w:type="dxa" w:w="2592"/>
            <w:vAlign w:val="center"/>
            <w:shd w:fill="F1F4F7"/>
            <w:tcMar>
              <w:top w:w="65" w:type="dxa"/>
              <w:bottom w:w="65" w:type="dxa"/>
              <w:left w:w="95" w:type="dxa"/>
              <w:right w:w="95" w:type="dxa"/>
            </w:tcMar>
          </w:tcPr>
          <w:p>
            <w:pPr>
              <w:spacing w:after="0" w:line="240" w:lineRule="auto"/>
              <w:jc w:val="right"/>
            </w:pPr>
            <w:r>
              <w:rPr>
                <w:sz w:val="20"/>
              </w:rPr>
              <w:t>8.5% / 28.0%</w:t>
            </w:r>
          </w:p>
        </w:tc>
        <w:tc>
          <w:tcPr>
            <w:tcW w:type="dxa" w:w="2592"/>
            <w:vAlign w:val="center"/>
            <w:shd w:fill="F1F4F7"/>
            <w:tcMar>
              <w:top w:w="65" w:type="dxa"/>
              <w:bottom w:w="65" w:type="dxa"/>
              <w:left w:w="95" w:type="dxa"/>
              <w:right w:w="95" w:type="dxa"/>
            </w:tcMar>
          </w:tcPr>
          <w:p>
            <w:pPr>
              <w:spacing w:after="0" w:line="240" w:lineRule="auto"/>
              <w:jc w:val="right"/>
            </w:pPr>
            <w:r>
              <w:rPr>
                <w:sz w:val="20"/>
              </w:rPr>
              <w:t>8.5% / 26.0%</w:t>
            </w:r>
          </w:p>
        </w:tc>
      </w:tr>
      <w:tr>
        <w:trPr>
          <w:cantSplit/>
        </w:trPr>
        <w:tc>
          <w:tcPr>
            <w:tcW w:type="dxa" w:w="4824"/>
            <w:vAlign w:val="center"/>
            <w:shd w:fill="FFFFFF"/>
            <w:tcMar>
              <w:top w:w="65" w:type="dxa"/>
              <w:bottom w:w="65" w:type="dxa"/>
              <w:left w:w="95" w:type="dxa"/>
              <w:right w:w="95" w:type="dxa"/>
            </w:tcMar>
          </w:tcPr>
          <w:p>
            <w:pPr>
              <w:spacing w:after="0" w:line="240" w:lineRule="auto"/>
            </w:pPr>
            <w:r>
              <w:rPr>
                <w:sz w:val="20"/>
              </w:rPr>
              <w:t>Resulting WACC</w:t>
            </w:r>
          </w:p>
        </w:tc>
        <w:tc>
          <w:tcPr>
            <w:tcW w:type="dxa" w:w="2592"/>
            <w:vAlign w:val="center"/>
            <w:shd w:fill="FFFFFF"/>
            <w:tcMar>
              <w:top w:w="65" w:type="dxa"/>
              <w:bottom w:w="65" w:type="dxa"/>
              <w:left w:w="95" w:type="dxa"/>
              <w:right w:w="95" w:type="dxa"/>
            </w:tcMar>
          </w:tcPr>
          <w:p>
            <w:pPr>
              <w:spacing w:after="0" w:line="240" w:lineRule="auto"/>
              <w:jc w:val="right"/>
            </w:pPr>
            <w:r>
              <w:rPr>
                <w:sz w:val="20"/>
              </w:rPr>
              <w:t>11.54%</w:t>
            </w:r>
          </w:p>
        </w:tc>
        <w:tc>
          <w:tcPr>
            <w:tcW w:type="dxa" w:w="2592"/>
            <w:vAlign w:val="center"/>
            <w:shd w:fill="FFFFFF"/>
            <w:tcMar>
              <w:top w:w="65" w:type="dxa"/>
              <w:bottom w:w="65" w:type="dxa"/>
              <w:left w:w="95" w:type="dxa"/>
              <w:right w:w="95" w:type="dxa"/>
            </w:tcMar>
          </w:tcPr>
          <w:p>
            <w:pPr>
              <w:spacing w:after="0" w:line="240" w:lineRule="auto"/>
              <w:jc w:val="right"/>
            </w:pPr>
            <w:r>
              <w:rPr>
                <w:sz w:val="20"/>
              </w:rPr>
              <w:t>11.56%</w:t>
            </w:r>
          </w:p>
        </w:tc>
      </w:tr>
    </w:tbl>
    <w:p>
      <w:pPr>
        <w:spacing w:before="80"/>
      </w:pPr>
      <w:r>
        <w:t>The government yield comes from the 27 June market report. The sovereign spread and total equity risk premium come from the January 2025 archive; full precision is retained. Subtracting the spread produces a default-free proxy. The total ERP already includes country risk. [7, 8]</w:t>
      </w:r>
    </w:p>
    <w:p>
      <w:r>
        <w:t>Beta now uses 735 emerging-market pharmaceutical firms in the 5 January 2025 dataset. Relevered beta = asset beta × [1 + (1 − tax) × debt/equity]. The sector’s debt/capital benchmark is 9.4%, supporting the order of magnitude of the target weights. This is a sector proxy with a lease-definition approximation, not a company-specific regression. [9]</w:t>
      </w:r>
    </w:p>
    <w:p>
      <w:pPr>
        <w:pStyle w:val="Heading1"/>
      </w:pPr>
      <w:r>
        <w:t>Retained assumptions and limits</w:t>
      </w:r>
    </w:p>
    <w:p>
      <w:r>
        <w:t>Debt cost remains 8.5%, versus a 6.72% five-year AAA market reference. The 178bp difference is a conservative estimate, not a verified company loan spread. Tax rates remain FY25-based cash-tax proxies; debt weights remain long-run assumptions. Applying India ERP to all international operations is a simplification.</w:t>
      </w:r>
    </w:p>
    <w:p>
      <w:r>
        <w:rPr>
          <w:sz w:val="18"/>
        </w:rPr>
        <w:t>Terminal growth of 4%, terminal ROIC of 15%, ₹300 crore of annual synergies and the execution haircuts remain analyst judgments. Validation supports their transparent use in scenarios, not their status as observed facts. Other working capital, recurring brand investment and restricted deposits remain diligence items.</w:t>
      </w:r>
    </w:p>
    <w:p>
      <w:r>
        <w:br w:type="page"/>
      </w:r>
    </w:p>
    <w:p>
      <w:pPr>
        <w:pStyle w:val="Title"/>
      </w:pPr>
      <w:r>
        <w:t>Valuation and reverse test</w:t>
      </w:r>
    </w:p>
    <w:p>
      <w:pPr>
        <w:pStyle w:val="Heading1"/>
      </w:pPr>
      <w:r>
        <w:t>From earnings to cash flow and value</w:t>
      </w:r>
    </w:p>
    <w:p>
      <w:r>
        <w:t>The DCF links forecast EBIT, taxes, D&amp;A, recurring capex and trade working capital. Financed leases become cash rental expense: add ROU depreciation back to EBIT, deduct lease cash as rent, then exclude ROU depreciation from the D&amp;A add-back. Lease liabilities are excluded from the debt bridge. Additional non-trade working capital is an editable zero assumption.</w:t>
      </w:r>
    </w:p>
    <w:p>
      <w:r>
        <w:t>FY26 cash flow is prorated to 275/365 and discounted to fiscal year-end. Terminal FCF equals next-year NOPAT × (1 − growth/ROIC), capitalised at WACC less growth. Cash/current investments above operating reserves are added and borrowings deducted. FY25 balances remain date proxies. [5, 6,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168"/>
        <w:gridCol w:w="3168"/>
      </w:tblGrid>
      <w:tr>
        <w:trPr>
          <w:cantSplit/>
          <w:tblHeader/>
        </w:trPr>
        <w:tc>
          <w:tcPr>
            <w:tcW w:type="dxa" w:w="3672"/>
            <w:vAlign w:val="center"/>
            <w:shd w:fill="20364A"/>
            <w:tcMar>
              <w:top w:w="65" w:type="dxa"/>
              <w:bottom w:w="65" w:type="dxa"/>
              <w:left w:w="95" w:type="dxa"/>
              <w:right w:w="95" w:type="dxa"/>
            </w:tcMar>
          </w:tcPr>
          <w:p>
            <w:pPr>
              <w:spacing w:after="0" w:line="240" w:lineRule="auto"/>
            </w:pPr>
            <w:r>
              <w:rPr>
                <w:b/>
                <w:color w:val="FFFFFF"/>
                <w:sz w:val="20"/>
              </w:rPr>
              <w:t>Operating case</w:t>
            </w:r>
          </w:p>
        </w:tc>
        <w:tc>
          <w:tcPr>
            <w:tcW w:type="dxa" w:w="3168"/>
            <w:vAlign w:val="center"/>
            <w:shd w:fill="20364A"/>
            <w:tcMar>
              <w:top w:w="65" w:type="dxa"/>
              <w:bottom w:w="65" w:type="dxa"/>
              <w:left w:w="95" w:type="dxa"/>
              <w:right w:w="95" w:type="dxa"/>
            </w:tcMar>
          </w:tcPr>
          <w:p>
            <w:pPr>
              <w:spacing w:after="0" w:line="240" w:lineRule="auto"/>
              <w:jc w:val="right"/>
            </w:pPr>
            <w:r>
              <w:rPr>
                <w:b/>
                <w:color w:val="FFFFFF"/>
                <w:sz w:val="20"/>
              </w:rPr>
              <w:t>JB five-year DCF</w:t>
            </w:r>
          </w:p>
        </w:tc>
        <w:tc>
          <w:tcPr>
            <w:tcW w:type="dxa" w:w="3168"/>
            <w:vAlign w:val="center"/>
            <w:shd w:fill="20364A"/>
            <w:tcMar>
              <w:top w:w="65" w:type="dxa"/>
              <w:bottom w:w="65" w:type="dxa"/>
              <w:left w:w="95" w:type="dxa"/>
              <w:right w:w="95" w:type="dxa"/>
            </w:tcMar>
          </w:tcPr>
          <w:p>
            <w:pPr>
              <w:spacing w:after="0" w:line="240" w:lineRule="auto"/>
              <w:jc w:val="right"/>
            </w:pPr>
            <w:r>
              <w:rPr>
                <w:b/>
                <w:color w:val="FFFFFF"/>
                <w:sz w:val="20"/>
              </w:rPr>
              <w:t>JB extended DCF</w:t>
            </w:r>
          </w:p>
        </w:tc>
      </w:tr>
      <w:tr>
        <w:trPr>
          <w:cantSplit/>
        </w:trPr>
        <w:tc>
          <w:tcPr>
            <w:tcW w:type="dxa" w:w="3672"/>
            <w:vAlign w:val="center"/>
            <w:shd w:fill="FFFFFF"/>
            <w:tcMar>
              <w:top w:w="65" w:type="dxa"/>
              <w:bottom w:w="65" w:type="dxa"/>
              <w:left w:w="95" w:type="dxa"/>
              <w:right w:w="95" w:type="dxa"/>
            </w:tcMar>
          </w:tcPr>
          <w:p>
            <w:pPr>
              <w:spacing w:after="0" w:line="240" w:lineRule="auto"/>
            </w:pPr>
            <w:r>
              <w:rPr>
                <w:sz w:val="20"/>
              </w:rPr>
              <w:t>Downside</w:t>
            </w:r>
          </w:p>
        </w:tc>
        <w:tc>
          <w:tcPr>
            <w:tcW w:type="dxa" w:w="3168"/>
            <w:vAlign w:val="center"/>
            <w:shd w:fill="FFFFFF"/>
            <w:tcMar>
              <w:top w:w="65" w:type="dxa"/>
              <w:bottom w:w="65" w:type="dxa"/>
              <w:left w:w="95" w:type="dxa"/>
              <w:right w:w="95" w:type="dxa"/>
            </w:tcMar>
          </w:tcPr>
          <w:p>
            <w:pPr>
              <w:spacing w:after="0" w:line="240" w:lineRule="auto"/>
              <w:jc w:val="right"/>
            </w:pPr>
            <w:r>
              <w:rPr>
                <w:sz w:val="20"/>
              </w:rPr>
              <w:t>₹483.40</w:t>
            </w:r>
          </w:p>
        </w:tc>
        <w:tc>
          <w:tcPr>
            <w:tcW w:type="dxa" w:w="3168"/>
            <w:vAlign w:val="center"/>
            <w:shd w:fill="FFFFFF"/>
            <w:tcMar>
              <w:top w:w="65" w:type="dxa"/>
              <w:bottom w:w="65" w:type="dxa"/>
              <w:left w:w="95" w:type="dxa"/>
              <w:right w:w="95" w:type="dxa"/>
            </w:tcMar>
          </w:tcPr>
          <w:p>
            <w:pPr>
              <w:spacing w:after="0" w:line="240" w:lineRule="auto"/>
              <w:jc w:val="right"/>
            </w:pPr>
            <w:r>
              <w:rPr>
                <w:sz w:val="20"/>
              </w:rPr>
              <w:t>₹519.39</w:t>
            </w:r>
          </w:p>
        </w:tc>
      </w:tr>
      <w:tr>
        <w:trPr>
          <w:cantSplit/>
        </w:trPr>
        <w:tc>
          <w:tcPr>
            <w:tcW w:type="dxa" w:w="3672"/>
            <w:vAlign w:val="center"/>
            <w:shd w:fill="F1F4F7"/>
            <w:tcMar>
              <w:top w:w="65" w:type="dxa"/>
              <w:bottom w:w="65" w:type="dxa"/>
              <w:left w:w="95" w:type="dxa"/>
              <w:right w:w="95" w:type="dxa"/>
            </w:tcMar>
          </w:tcPr>
          <w:p>
            <w:pPr>
              <w:spacing w:after="0" w:line="240" w:lineRule="auto"/>
            </w:pPr>
            <w:r>
              <w:rPr>
                <w:sz w:val="20"/>
              </w:rPr>
              <w:t>Base</w:t>
            </w:r>
          </w:p>
        </w:tc>
        <w:tc>
          <w:tcPr>
            <w:tcW w:type="dxa" w:w="3168"/>
            <w:vAlign w:val="center"/>
            <w:shd w:fill="F1F4F7"/>
            <w:tcMar>
              <w:top w:w="65" w:type="dxa"/>
              <w:bottom w:w="65" w:type="dxa"/>
              <w:left w:w="95" w:type="dxa"/>
              <w:right w:w="95" w:type="dxa"/>
            </w:tcMar>
          </w:tcPr>
          <w:p>
            <w:pPr>
              <w:spacing w:after="0" w:line="240" w:lineRule="auto"/>
              <w:jc w:val="right"/>
            </w:pPr>
            <w:r>
              <w:rPr>
                <w:sz w:val="20"/>
              </w:rPr>
              <w:t>₹661.58</w:t>
            </w:r>
          </w:p>
        </w:tc>
        <w:tc>
          <w:tcPr>
            <w:tcW w:type="dxa" w:w="3168"/>
            <w:vAlign w:val="center"/>
            <w:shd w:fill="F1F4F7"/>
            <w:tcMar>
              <w:top w:w="65" w:type="dxa"/>
              <w:bottom w:w="65" w:type="dxa"/>
              <w:left w:w="95" w:type="dxa"/>
              <w:right w:w="95" w:type="dxa"/>
            </w:tcMar>
          </w:tcPr>
          <w:p>
            <w:pPr>
              <w:spacing w:after="0" w:line="240" w:lineRule="auto"/>
              <w:jc w:val="right"/>
            </w:pPr>
            <w:r>
              <w:rPr>
                <w:sz w:val="20"/>
              </w:rPr>
              <w:t>₹711.47</w:t>
            </w:r>
          </w:p>
        </w:tc>
      </w:tr>
      <w:tr>
        <w:trPr>
          <w:cantSplit/>
        </w:trPr>
        <w:tc>
          <w:tcPr>
            <w:tcW w:type="dxa" w:w="3672"/>
            <w:vAlign w:val="center"/>
            <w:shd w:fill="FFFFFF"/>
            <w:tcMar>
              <w:top w:w="65" w:type="dxa"/>
              <w:bottom w:w="65" w:type="dxa"/>
              <w:left w:w="95" w:type="dxa"/>
              <w:right w:w="95" w:type="dxa"/>
            </w:tcMar>
          </w:tcPr>
          <w:p>
            <w:pPr>
              <w:spacing w:after="0" w:line="240" w:lineRule="auto"/>
            </w:pPr>
            <w:r>
              <w:rPr>
                <w:sz w:val="20"/>
              </w:rPr>
              <w:t>Upside</w:t>
            </w:r>
          </w:p>
        </w:tc>
        <w:tc>
          <w:tcPr>
            <w:tcW w:type="dxa" w:w="3168"/>
            <w:vAlign w:val="center"/>
            <w:shd w:fill="FFFFFF"/>
            <w:tcMar>
              <w:top w:w="65" w:type="dxa"/>
              <w:bottom w:w="65" w:type="dxa"/>
              <w:left w:w="95" w:type="dxa"/>
              <w:right w:w="95" w:type="dxa"/>
            </w:tcMar>
          </w:tcPr>
          <w:p>
            <w:pPr>
              <w:spacing w:after="0" w:line="240" w:lineRule="auto"/>
              <w:jc w:val="right"/>
            </w:pPr>
            <w:r>
              <w:rPr>
                <w:sz w:val="20"/>
              </w:rPr>
              <w:t>₹795.92</w:t>
            </w:r>
          </w:p>
        </w:tc>
        <w:tc>
          <w:tcPr>
            <w:tcW w:type="dxa" w:w="3168"/>
            <w:vAlign w:val="center"/>
            <w:shd w:fill="FFFFFF"/>
            <w:tcMar>
              <w:top w:w="65" w:type="dxa"/>
              <w:bottom w:w="65" w:type="dxa"/>
              <w:left w:w="95" w:type="dxa"/>
              <w:right w:w="95" w:type="dxa"/>
            </w:tcMar>
          </w:tcPr>
          <w:p>
            <w:pPr>
              <w:spacing w:after="0" w:line="240" w:lineRule="auto"/>
              <w:jc w:val="right"/>
            </w:pPr>
            <w:r>
              <w:rPr>
                <w:sz w:val="20"/>
              </w:rPr>
              <w:t>₹856.91</w:t>
            </w:r>
          </w:p>
        </w:tc>
      </w:tr>
    </w:tbl>
    <w:p>
      <w:pPr>
        <w:spacing w:before="80"/>
      </w:pPr>
      <w:r>
        <w:t>The extension keeps FY26–FY30 unchanged, then grows JB NOPAT by 10%, 8.5%, 7%, 5.5% and 4% through FY35. Each increase requires net reinvestment at a 20% incremental ROIC. A 15% terminal ROIC resumes after FY35. This is a separate horizon test, not the selected main valuation.</w:t>
      </w:r>
    </w:p>
    <w:p>
      <w:pPr>
        <w:pStyle w:val="Heading1"/>
      </w:pPr>
      <w:r>
        <w:t>Profit required to support the price</w:t>
      </w:r>
    </w:p>
    <w:p>
      <w:r>
        <w:t>Holding interim cash flows and FY30 revenue fixed, the reverse calculation needs ₹3,328.9 crore of FY30 NOPAT, 2.79 times the model. That implies a 69.7% EBIT margin against the modelled 25.0%. Its scale is implausible as a margin-only explanation. This is a diagnostic hurdle, not a complete alternative growth forecast.</w:t>
      </w:r>
    </w:p>
    <w:p>
      <w:pPr>
        <w:pStyle w:val="Heading1"/>
      </w:pPr>
      <w:r>
        <w:t>A favourable stress changes the deal result</w:t>
      </w:r>
    </w:p>
    <w:p>
      <w:r>
        <w:rPr>
          <w:sz w:val="18"/>
        </w:rPr>
        <w:t>At 9% JB WACC, 5% terminal growth and 20% terminal ROIC, the base operating forecast gives ₹1200 per share, or ₹1274 with the extension. Both remain below ₹1,600. Yet the mixed-consideration test becomes 2.8% positive using the five-year JB value and unchanged Torrent valuation. These stronger terminal economics and lower discount rate need independent justification; they are not the adopted base case.</w:t>
      </w:r>
    </w:p>
    <w:p>
      <w:r>
        <w:br w:type="page"/>
      </w:r>
    </w:p>
    <w:p>
      <w:pPr>
        <w:pStyle w:val="Title"/>
      </w:pPr>
      <w:r>
        <w:t>Financing synergies and shareholder value</w:t>
      </w:r>
    </w:p>
    <w:p>
      <w:pPr>
        <w:pStyle w:val="Heading1"/>
      </w:pPr>
      <w:r>
        <w:t>Transaction funding and earnings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528"/>
      </w:tblGrid>
      <w:tr>
        <w:trPr>
          <w:cantSplit/>
          <w:tblHeader/>
        </w:trPr>
        <w:tc>
          <w:tcPr>
            <w:tcW w:type="dxa" w:w="6480"/>
            <w:vAlign w:val="center"/>
            <w:shd w:fill="20364A"/>
            <w:tcMar>
              <w:top w:w="65" w:type="dxa"/>
              <w:bottom w:w="65" w:type="dxa"/>
              <w:left w:w="95" w:type="dxa"/>
              <w:right w:w="95" w:type="dxa"/>
            </w:tcMar>
          </w:tcPr>
          <w:p>
            <w:pPr>
              <w:spacing w:after="0" w:line="240" w:lineRule="auto"/>
            </w:pPr>
            <w:r>
              <w:rPr>
                <w:b/>
                <w:color w:val="FFFFFF"/>
                <w:sz w:val="20"/>
              </w:rPr>
              <w:t>Partial open offer scenario</w:t>
            </w:r>
          </w:p>
        </w:tc>
        <w:tc>
          <w:tcPr>
            <w:tcW w:type="dxa" w:w="3528"/>
            <w:vAlign w:val="center"/>
            <w:shd w:fill="20364A"/>
            <w:tcMar>
              <w:top w:w="65" w:type="dxa"/>
              <w:bottom w:w="65" w:type="dxa"/>
              <w:left w:w="95" w:type="dxa"/>
              <w:right w:w="95" w:type="dxa"/>
            </w:tcMar>
          </w:tcPr>
          <w:p>
            <w:pPr>
              <w:spacing w:after="0" w:line="240" w:lineRule="auto"/>
              <w:jc w:val="right"/>
            </w:pPr>
            <w:r>
              <w:rPr>
                <w:b/>
                <w:color w:val="FFFFFF"/>
                <w:sz w:val="20"/>
              </w:rPr>
              <w:t>Model output</w:t>
            </w:r>
          </w:p>
        </w:tc>
      </w:tr>
      <w:tr>
        <w:trPr>
          <w:cantSplit/>
        </w:trPr>
        <w:tc>
          <w:tcPr>
            <w:tcW w:type="dxa" w:w="6480"/>
            <w:vAlign w:val="center"/>
            <w:shd w:fill="FFFFFF"/>
            <w:tcMar>
              <w:top w:w="65" w:type="dxa"/>
              <w:bottom w:w="65" w:type="dxa"/>
              <w:left w:w="95" w:type="dxa"/>
              <w:right w:w="95" w:type="dxa"/>
            </w:tcMar>
          </w:tcPr>
          <w:p>
            <w:pPr>
              <w:spacing w:after="0" w:line="240" w:lineRule="auto"/>
            </w:pPr>
            <w:r>
              <w:rPr>
                <w:sz w:val="20"/>
              </w:rPr>
              <w:t>Cash purchase consideration</w:t>
            </w:r>
          </w:p>
        </w:tc>
        <w:tc>
          <w:tcPr>
            <w:tcW w:type="dxa" w:w="3528"/>
            <w:vAlign w:val="center"/>
            <w:shd w:fill="FFFFFF"/>
            <w:tcMar>
              <w:top w:w="65" w:type="dxa"/>
              <w:bottom w:w="65" w:type="dxa"/>
              <w:left w:w="95" w:type="dxa"/>
              <w:right w:w="95" w:type="dxa"/>
            </w:tcMar>
          </w:tcPr>
          <w:p>
            <w:pPr>
              <w:spacing w:after="0" w:line="240" w:lineRule="auto"/>
              <w:jc w:val="right"/>
            </w:pPr>
            <w:r>
              <w:rPr>
                <w:sz w:val="20"/>
              </w:rPr>
              <w:t>16,058.4</w:t>
            </w:r>
          </w:p>
        </w:tc>
      </w:tr>
      <w:tr>
        <w:trPr>
          <w:cantSplit/>
        </w:trPr>
        <w:tc>
          <w:tcPr>
            <w:tcW w:type="dxa" w:w="6480"/>
            <w:vAlign w:val="center"/>
            <w:shd w:fill="F1F4F7"/>
            <w:tcMar>
              <w:top w:w="65" w:type="dxa"/>
              <w:bottom w:w="65" w:type="dxa"/>
              <w:left w:w="95" w:type="dxa"/>
              <w:right w:w="95" w:type="dxa"/>
            </w:tcMar>
          </w:tcPr>
          <w:p>
            <w:pPr>
              <w:spacing w:after="0" w:line="240" w:lineRule="auto"/>
            </w:pPr>
            <w:r>
              <w:rPr>
                <w:sz w:val="20"/>
              </w:rPr>
              <w:t>Transaction and financing fees</w:t>
            </w:r>
          </w:p>
        </w:tc>
        <w:tc>
          <w:tcPr>
            <w:tcW w:type="dxa" w:w="3528"/>
            <w:vAlign w:val="center"/>
            <w:shd w:fill="F1F4F7"/>
            <w:tcMar>
              <w:top w:w="65" w:type="dxa"/>
              <w:bottom w:w="65" w:type="dxa"/>
              <w:left w:w="95" w:type="dxa"/>
              <w:right w:w="95" w:type="dxa"/>
            </w:tcMar>
          </w:tcPr>
          <w:p>
            <w:pPr>
              <w:spacing w:after="0" w:line="240" w:lineRule="auto"/>
              <w:jc w:val="right"/>
            </w:pPr>
            <w:r>
              <w:rPr>
                <w:sz w:val="20"/>
              </w:rPr>
              <w:t>238.3</w:t>
            </w:r>
          </w:p>
        </w:tc>
      </w:tr>
      <w:tr>
        <w:trPr>
          <w:cantSplit/>
        </w:trPr>
        <w:tc>
          <w:tcPr>
            <w:tcW w:type="dxa" w:w="6480"/>
            <w:vAlign w:val="center"/>
            <w:shd w:fill="FFFFFF"/>
            <w:tcMar>
              <w:top w:w="65" w:type="dxa"/>
              <w:bottom w:w="65" w:type="dxa"/>
              <w:left w:w="95" w:type="dxa"/>
              <w:right w:w="95" w:type="dxa"/>
            </w:tcMar>
          </w:tcPr>
          <w:p>
            <w:pPr>
              <w:spacing w:after="0" w:line="240" w:lineRule="auto"/>
            </w:pPr>
            <w:r>
              <w:rPr>
                <w:sz w:val="20"/>
              </w:rPr>
              <w:t>Torrent cash contribution</w:t>
            </w:r>
          </w:p>
        </w:tc>
        <w:tc>
          <w:tcPr>
            <w:tcW w:type="dxa" w:w="3528"/>
            <w:vAlign w:val="center"/>
            <w:shd w:fill="FFFFFF"/>
            <w:tcMar>
              <w:top w:w="65" w:type="dxa"/>
              <w:bottom w:w="65" w:type="dxa"/>
              <w:left w:w="95" w:type="dxa"/>
              <w:right w:w="95" w:type="dxa"/>
            </w:tcMar>
          </w:tcPr>
          <w:p>
            <w:pPr>
              <w:spacing w:after="0" w:line="240" w:lineRule="auto"/>
              <w:jc w:val="right"/>
            </w:pPr>
            <w:r>
              <w:rPr>
                <w:sz w:val="20"/>
              </w:rPr>
              <w:t>500.0</w:t>
            </w:r>
          </w:p>
        </w:tc>
      </w:tr>
      <w:tr>
        <w:trPr>
          <w:cantSplit/>
        </w:trPr>
        <w:tc>
          <w:tcPr>
            <w:tcW w:type="dxa" w:w="6480"/>
            <w:vAlign w:val="center"/>
            <w:shd w:fill="F1F4F7"/>
            <w:tcMar>
              <w:top w:w="65" w:type="dxa"/>
              <w:bottom w:w="65" w:type="dxa"/>
              <w:left w:w="95" w:type="dxa"/>
              <w:right w:w="95" w:type="dxa"/>
            </w:tcMar>
          </w:tcPr>
          <w:p>
            <w:pPr>
              <w:spacing w:after="0" w:line="240" w:lineRule="auto"/>
            </w:pPr>
            <w:r>
              <w:rPr>
                <w:sz w:val="20"/>
              </w:rPr>
              <w:t>New acquisition debt</w:t>
            </w:r>
          </w:p>
        </w:tc>
        <w:tc>
          <w:tcPr>
            <w:tcW w:type="dxa" w:w="3528"/>
            <w:vAlign w:val="center"/>
            <w:shd w:fill="F1F4F7"/>
            <w:tcMar>
              <w:top w:w="65" w:type="dxa"/>
              <w:bottom w:w="65" w:type="dxa"/>
              <w:left w:w="95" w:type="dxa"/>
              <w:right w:w="95" w:type="dxa"/>
            </w:tcMar>
          </w:tcPr>
          <w:p>
            <w:pPr>
              <w:spacing w:after="0" w:line="240" w:lineRule="auto"/>
              <w:jc w:val="right"/>
            </w:pPr>
            <w:r>
              <w:rPr>
                <w:sz w:val="20"/>
              </w:rPr>
              <w:t>15,796.7</w:t>
            </w:r>
          </w:p>
        </w:tc>
      </w:tr>
      <w:tr>
        <w:trPr>
          <w:cantSplit/>
        </w:trPr>
        <w:tc>
          <w:tcPr>
            <w:tcW w:type="dxa" w:w="6480"/>
            <w:vAlign w:val="center"/>
            <w:shd w:fill="FFFFFF"/>
            <w:tcMar>
              <w:top w:w="65" w:type="dxa"/>
              <w:bottom w:w="65" w:type="dxa"/>
              <w:left w:w="95" w:type="dxa"/>
              <w:right w:w="95" w:type="dxa"/>
            </w:tcMar>
          </w:tcPr>
          <w:p>
            <w:pPr>
              <w:spacing w:after="0" w:line="240" w:lineRule="auto"/>
            </w:pPr>
            <w:r>
              <w:rPr>
                <w:sz w:val="20"/>
              </w:rPr>
              <w:t>New Torrent shares issued</w:t>
            </w:r>
          </w:p>
        </w:tc>
        <w:tc>
          <w:tcPr>
            <w:tcW w:type="dxa" w:w="3528"/>
            <w:vAlign w:val="center"/>
            <w:shd w:fill="FFFFFF"/>
            <w:tcMar>
              <w:top w:w="65" w:type="dxa"/>
              <w:bottom w:w="65" w:type="dxa"/>
              <w:left w:w="95" w:type="dxa"/>
              <w:right w:w="95" w:type="dxa"/>
            </w:tcMar>
          </w:tcPr>
          <w:p>
            <w:pPr>
              <w:spacing w:after="0" w:line="240" w:lineRule="auto"/>
              <w:jc w:val="right"/>
            </w:pPr>
            <w:r>
              <w:rPr>
                <w:sz w:val="20"/>
              </w:rPr>
              <w:t>3.096 crore</w:t>
            </w:r>
          </w:p>
        </w:tc>
      </w:tr>
      <w:tr>
        <w:trPr>
          <w:cantSplit/>
        </w:trPr>
        <w:tc>
          <w:tcPr>
            <w:tcW w:type="dxa" w:w="6480"/>
            <w:vAlign w:val="center"/>
            <w:shd w:fill="F1F4F7"/>
            <w:tcMar>
              <w:top w:w="65" w:type="dxa"/>
              <w:bottom w:w="65" w:type="dxa"/>
              <w:left w:w="95" w:type="dxa"/>
              <w:right w:w="95" w:type="dxa"/>
            </w:tcMar>
          </w:tcPr>
          <w:p>
            <w:pPr>
              <w:spacing w:after="0" w:line="240" w:lineRule="auto"/>
            </w:pPr>
            <w:r>
              <w:rPr>
                <w:sz w:val="20"/>
              </w:rPr>
              <w:t>Initial net debt / combined FY25 EBITDA</w:t>
            </w:r>
          </w:p>
        </w:tc>
        <w:tc>
          <w:tcPr>
            <w:tcW w:type="dxa" w:w="3528"/>
            <w:vAlign w:val="center"/>
            <w:shd w:fill="F1F4F7"/>
            <w:tcMar>
              <w:top w:w="65" w:type="dxa"/>
              <w:bottom w:w="65" w:type="dxa"/>
              <w:left w:w="95" w:type="dxa"/>
              <w:right w:w="95" w:type="dxa"/>
            </w:tcMar>
          </w:tcPr>
          <w:p>
            <w:pPr>
              <w:spacing w:after="0" w:line="240" w:lineRule="auto"/>
              <w:jc w:val="right"/>
            </w:pPr>
            <w:r>
              <w:rPr>
                <w:sz w:val="20"/>
              </w:rPr>
              <w:t>3.83x</w:t>
            </w:r>
          </w:p>
        </w:tc>
      </w:tr>
      <w:tr>
        <w:trPr>
          <w:cantSplit/>
        </w:trPr>
        <w:tc>
          <w:tcPr>
            <w:tcW w:type="dxa" w:w="6480"/>
            <w:vAlign w:val="center"/>
            <w:shd w:fill="FFFFFF"/>
            <w:tcMar>
              <w:top w:w="65" w:type="dxa"/>
              <w:bottom w:w="65" w:type="dxa"/>
              <w:left w:w="95" w:type="dxa"/>
              <w:right w:w="95" w:type="dxa"/>
            </w:tcMar>
          </w:tcPr>
          <w:p>
            <w:pPr>
              <w:spacing w:after="0" w:line="240" w:lineRule="auto"/>
            </w:pPr>
            <w:r>
              <w:rPr>
                <w:sz w:val="20"/>
              </w:rPr>
              <w:t>FY26 illustrative EPS change</w:t>
            </w:r>
          </w:p>
        </w:tc>
        <w:tc>
          <w:tcPr>
            <w:tcW w:type="dxa" w:w="3528"/>
            <w:vAlign w:val="center"/>
            <w:shd w:fill="FFFFFF"/>
            <w:tcMar>
              <w:top w:w="65" w:type="dxa"/>
              <w:bottom w:w="65" w:type="dxa"/>
              <w:left w:w="95" w:type="dxa"/>
              <w:right w:w="95" w:type="dxa"/>
            </w:tcMar>
          </w:tcPr>
          <w:p>
            <w:pPr>
              <w:spacing w:after="0" w:line="240" w:lineRule="auto"/>
              <w:jc w:val="right"/>
            </w:pPr>
            <w:r>
              <w:rPr>
                <w:sz w:val="20"/>
              </w:rPr>
              <w:t>-40.4%</w:t>
            </w:r>
          </w:p>
        </w:tc>
      </w:tr>
      <w:tr>
        <w:trPr>
          <w:cantSplit/>
        </w:trPr>
        <w:tc>
          <w:tcPr>
            <w:tcW w:type="dxa" w:w="6480"/>
            <w:vAlign w:val="center"/>
            <w:shd w:fill="F1F4F7"/>
            <w:tcMar>
              <w:top w:w="65" w:type="dxa"/>
              <w:bottom w:w="65" w:type="dxa"/>
              <w:left w:w="95" w:type="dxa"/>
              <w:right w:w="95" w:type="dxa"/>
            </w:tcMar>
          </w:tcPr>
          <w:p>
            <w:pPr>
              <w:spacing w:after="0" w:line="240" w:lineRule="auto"/>
            </w:pPr>
            <w:r>
              <w:rPr>
                <w:sz w:val="20"/>
              </w:rPr>
              <w:t>FY30 illustrative EPS change</w:t>
            </w:r>
          </w:p>
        </w:tc>
        <w:tc>
          <w:tcPr>
            <w:tcW w:type="dxa" w:w="3528"/>
            <w:vAlign w:val="center"/>
            <w:shd w:fill="F1F4F7"/>
            <w:tcMar>
              <w:top w:w="65" w:type="dxa"/>
              <w:bottom w:w="65" w:type="dxa"/>
              <w:left w:w="95" w:type="dxa"/>
              <w:right w:w="95" w:type="dxa"/>
            </w:tcMar>
          </w:tcPr>
          <w:p>
            <w:pPr>
              <w:spacing w:after="0" w:line="240" w:lineRule="auto"/>
              <w:jc w:val="right"/>
            </w:pPr>
            <w:r>
              <w:rPr>
                <w:sz w:val="20"/>
              </w:rPr>
              <w:t>4.4%</w:t>
            </w:r>
          </w:p>
        </w:tc>
      </w:tr>
    </w:tbl>
    <w:p>
      <w:pPr>
        <w:spacing w:before="80"/>
      </w:pPr>
      <w:r>
        <w:t>The merger model assumes the full combined group for each forecast year and includes indicative purchase accounting. It is an illustrative pro forma, not a forecast of legal consolidation dates or reported FY26 EPS. The DCF uses announcement-date cash-flow timing. Debt pricing, fees and purchase accounting are assumptions, not binding financing terms.</w:t>
      </w:r>
    </w:p>
    <w:p>
      <w:pPr>
        <w:pStyle w:val="Heading1"/>
      </w:pPr>
      <w:r>
        <w:t>Synergy value versus the purchase premium</w:t>
      </w:r>
    </w:p>
    <w:p>
      <w:r>
        <w:t>₹300 crore of full annual savings is ramped at 20%, 50%, 80%, 100% and 100%. Savings receive a 75% probability weight and 26% tax charge. Integration costs of ₹150 crore and ₹100 crore are paid in full. Savings stop after FY35 and are discounted at JB WACC plus 1%. Net value is ₹564.2 crore.</w:t>
      </w:r>
    </w:p>
    <w:p>
      <w:r>
        <w:t>That covers only 3.7% of the ₹15,067.2 crore premium to the full-equity benchmark. The remaining ₹14,503.0 crore needs a standalone growth or other value explanation. The savings estimate is ours; the announcement does not substantiate this quantified amount.</w:t>
      </w:r>
    </w:p>
    <w:p>
      <w:pPr>
        <w:pStyle w:val="Heading1"/>
      </w:pPr>
      <w:r>
        <w:t>Value retained by existing Torrent shareholders</w:t>
      </w:r>
    </w:p>
    <w:p>
      <w:r>
        <w:t>The cash/share test combines both standalone equity values and synergies, subtracts purchase cash and fees, then allocates value over post-merger shares. In the base Partial case, existing holders lose ₹7,162.2 crore of intrinsic value, or 24.2%. Borrowing principal is not deducted again after subtracting cash uses.</w:t>
      </w:r>
    </w:p>
    <w:p>
      <w:r>
        <w:rPr>
          <w:sz w:val="18"/>
        </w:rPr>
        <w:t>EPS becomes accretive in FY30 in this pro forma, but that does not establish value creation. Purchase accounting, issued-share value and leverage affect the two tests differently. Incremental financing tax shields, distress costs and closing delays are not separately valued.</w:t>
      </w:r>
    </w:p>
    <w:p>
      <w:r>
        <w:br w:type="page"/>
      </w:r>
    </w:p>
    <w:p>
      <w:pPr>
        <w:pStyle w:val="Title"/>
      </w:pPr>
      <w:r>
        <w:t>Final decision and model guide</w:t>
      </w:r>
    </w:p>
    <w:p>
      <w:pPr>
        <w:pStyle w:val="Heading1"/>
      </w:pPr>
      <w:r>
        <w:t>Conditions for supporting the acquisition</w:t>
      </w:r>
    </w:p>
    <w:p>
      <w:r>
        <w:t>Withhold support at the announced economics until a higher standalone valuation or incremental cash flows can be substantiated. The strongest evidence would be brand-level growth and CDMO contracts, a costed integration plan, verified borrowing terms and a credible deleveraging schedule.</w:t>
      </w:r>
    </w:p>
    <w:p>
      <w:r>
        <w:rPr>
          <w:sz w:val="18"/>
        </w:rPr>
        <w:t>JB’s ₹689 crore management net-cash measure is broader than the model’s ₹418.4 crore cash/current-investment-minus-borrowing measure before its ₹50 crore reserve. Some non-current deposits may be restricted. Adding the entire roughly ₹270.6 crore difference would add only about ₹16.9 per share. This is a scope sensitivity, not a verified excess-cash adjustment. [4, 6]</w:t>
      </w:r>
    </w:p>
    <w:p>
      <w:pPr>
        <w:pStyle w:val="Heading1"/>
      </w:pPr>
      <w:r>
        <w:t>What changed and how to use the model</w:t>
      </w:r>
    </w:p>
    <w:p>
      <w:r>
        <w:t>Historical, operating and merger schedules are preserved. Dated market inputs and sector beta replace the original WACC estimates. A five-year growth extension and reverse profit hurdle are added. Begin with DCF summary. Assumptions!C4 selects the operating case; Deal inputs!C4 selects offer participation.</w:t>
      </w:r>
    </w:p>
    <w:p>
      <w:r>
        <w:rPr>
          <w:sz w:val="18"/>
        </w:rPr>
        <w:t>Optional WACC overrides in Valuation inputs!D22/E22 are blank in the delivered Base/Partial file. MODEL_GUIDE.md gives the favourable stress and reset steps. Report and JSON tables are fixed snapshots and do not update automatically with the workbook.</w:t>
      </w:r>
    </w:p>
    <w:p>
      <w:pPr>
        <w:pStyle w:val="Heading1"/>
      </w:pPr>
      <w:r>
        <w:t>Verification</w:t>
      </w:r>
    </w:p>
    <w:p>
      <w:r>
        <w:rPr>
          <w:sz w:val="18"/>
        </w:rPr>
        <w:t>Independent arithmetic reconciles WACC, all 50 DCF sensitivity cells, the extension, reverse hurdle and ten-year synergy cash flows. Case changes were tested; the export has no formula errors, macros or external-workbook links. Earlier financial schedules were preserved. Changed spreadsheet views and all document pages were visually reviewed. Native Excel interaction was not tested.</w:t>
      </w:r>
    </w:p>
    <w:p>
      <w:pPr>
        <w:pStyle w:val="Heading1"/>
      </w:pPr>
      <w:r>
        <w:t>Brief source list</w:t>
      </w:r>
    </w:p>
    <w:p>
      <w:pPr>
        <w:spacing w:after="80"/>
      </w:pPr>
      <w:r>
        <w:rPr>
          <w:sz w:val="18"/>
        </w:rPr>
        <w:t xml:space="preserve">[1] </w:t>
      </w:r>
      <w:hyperlink r:id="rId10">
        <w:r>
          <w:rPr>
            <w:color w:val="244E70"/>
            <w:sz w:val="18"/>
          </w:rPr>
          <w:t>Torrent and JB announcement</w:t>
        </w:r>
      </w:hyperlink>
      <w:r>
        <w:rPr>
          <w:sz w:val="18"/>
        </w:rPr>
        <w:t xml:space="preserve"> — 29 June 2025; strategy and price terms.</w:t>
      </w:r>
    </w:p>
    <w:p>
      <w:pPr>
        <w:spacing w:after="80"/>
      </w:pPr>
      <w:r>
        <w:rPr>
          <w:sz w:val="18"/>
        </w:rPr>
        <w:t xml:space="preserve">[2] </w:t>
      </w:r>
      <w:hyperlink r:id="rId11">
        <w:r>
          <w:rPr>
            <w:color w:val="244E70"/>
            <w:sz w:val="18"/>
          </w:rPr>
          <w:t>SEBI public announcement</w:t>
        </w:r>
      </w:hyperlink>
      <w:r>
        <w:rPr>
          <w:sz w:val="18"/>
        </w:rPr>
        <w:t xml:space="preserve"> — share counts and offer mechanics; later filing archive.</w:t>
      </w:r>
    </w:p>
    <w:p>
      <w:pPr>
        <w:spacing w:after="80"/>
      </w:pPr>
      <w:r>
        <w:rPr>
          <w:sz w:val="18"/>
        </w:rPr>
        <w:t xml:space="preserve">[3] </w:t>
      </w:r>
      <w:hyperlink r:id="rId12">
        <w:r>
          <w:rPr>
            <w:color w:val="244E70"/>
            <w:sz w:val="18"/>
          </w:rPr>
          <w:t>Torrent May 2025 results</w:t>
        </w:r>
      </w:hyperlink>
      <w:r>
        <w:rPr>
          <w:sz w:val="18"/>
        </w:rPr>
        <w:t xml:space="preserve"> — FY25 performance.</w:t>
      </w:r>
    </w:p>
    <w:p>
      <w:pPr>
        <w:spacing w:after="80"/>
      </w:pPr>
      <w:r>
        <w:rPr>
          <w:sz w:val="18"/>
        </w:rPr>
        <w:t xml:space="preserve">[4] </w:t>
      </w:r>
      <w:hyperlink r:id="rId13">
        <w:r>
          <w:rPr>
            <w:color w:val="244E70"/>
            <w:sz w:val="18"/>
          </w:rPr>
          <w:t>JB May 2025 results</w:t>
        </w:r>
      </w:hyperlink>
      <w:r>
        <w:rPr>
          <w:sz w:val="18"/>
        </w:rPr>
        <w:t xml:space="preserve"> — FY25 performance and reported net cash.</w:t>
      </w:r>
    </w:p>
    <w:p>
      <w:pPr>
        <w:spacing w:after="80"/>
      </w:pPr>
      <w:r>
        <w:rPr>
          <w:sz w:val="18"/>
        </w:rPr>
        <w:t xml:space="preserve">[5] </w:t>
      </w:r>
      <w:hyperlink r:id="rId14">
        <w:r>
          <w:rPr>
            <w:color w:val="244E70"/>
            <w:sz w:val="18"/>
          </w:rPr>
          <w:t>Torrent FY25 annual report</w:t>
        </w:r>
      </w:hyperlink>
      <w:r>
        <w:rPr>
          <w:sz w:val="18"/>
        </w:rPr>
        <w:t xml:space="preserve"> — detailed historical reconciliation.</w:t>
      </w:r>
    </w:p>
    <w:p>
      <w:pPr>
        <w:spacing w:after="80"/>
      </w:pPr>
      <w:r>
        <w:rPr>
          <w:sz w:val="18"/>
        </w:rPr>
        <w:t xml:space="preserve">[6] </w:t>
      </w:r>
      <w:hyperlink r:id="rId15">
        <w:r>
          <w:rPr>
            <w:color w:val="244E70"/>
            <w:sz w:val="18"/>
          </w:rPr>
          <w:t>JB FY25 annual report</w:t>
        </w:r>
      </w:hyperlink>
      <w:r>
        <w:rPr>
          <w:sz w:val="18"/>
        </w:rPr>
        <w:t xml:space="preserve"> — historical reconciliation and deposits.</w:t>
      </w:r>
    </w:p>
    <w:p>
      <w:pPr>
        <w:spacing w:after="80"/>
      </w:pPr>
      <w:r>
        <w:rPr>
          <w:sz w:val="18"/>
        </w:rPr>
        <w:t xml:space="preserve">[7] </w:t>
      </w:r>
      <w:hyperlink r:id="rId16">
        <w:r>
          <w:rPr>
            <w:color w:val="244E70"/>
            <w:sz w:val="18"/>
          </w:rPr>
          <w:t>Union MF 27 June 2025 market report</w:t>
        </w:r>
      </w:hyperlink>
      <w:r>
        <w:rPr>
          <w:sz w:val="18"/>
        </w:rPr>
        <w:t xml:space="preserve"> — bond yields, pp1–2.</w:t>
      </w:r>
    </w:p>
    <w:p>
      <w:pPr>
        <w:spacing w:after="80"/>
      </w:pPr>
      <w:r>
        <w:rPr>
          <w:sz w:val="18"/>
        </w:rPr>
        <w:t xml:space="preserve">[8] </w:t>
      </w:r>
      <w:hyperlink r:id="rId17">
        <w:r>
          <w:rPr>
            <w:color w:val="244E70"/>
            <w:sz w:val="18"/>
          </w:rPr>
          <w:t>Damodaran January 2025 country risks</w:t>
        </w:r>
      </w:hyperlink>
      <w:r>
        <w:rPr>
          <w:sz w:val="18"/>
        </w:rPr>
        <w:t xml:space="preserve"> — India row 72.</w:t>
      </w:r>
    </w:p>
    <w:p>
      <w:pPr>
        <w:spacing w:after="80"/>
      </w:pPr>
      <w:r>
        <w:rPr>
          <w:sz w:val="18"/>
        </w:rPr>
        <w:t xml:space="preserve">[9] </w:t>
      </w:r>
      <w:hyperlink r:id="rId18">
        <w:r>
          <w:rPr>
            <w:color w:val="244E70"/>
            <w:sz w:val="18"/>
          </w:rPr>
          <w:t>Damodaran January 2025 EM betas</w:t>
        </w:r>
      </w:hyperlink>
      <w:r>
        <w:rPr>
          <w:sz w:val="18"/>
        </w:rPr>
        <w:t xml:space="preserve"> — pharmaceuticals row 35.</w:t>
      </w:r>
    </w:p>
    <w:p>
      <w:pPr>
        <w:spacing w:after="80"/>
      </w:pPr>
      <w:r>
        <w:rPr>
          <w:sz w:val="18"/>
        </w:rPr>
        <w:t xml:space="preserve">[10] </w:t>
      </w:r>
      <w:hyperlink r:id="rId19">
        <w:r>
          <w:rPr>
            <w:color w:val="244E70"/>
            <w:sz w:val="18"/>
          </w:rPr>
          <w:t>Terminal value methodology</w:t>
        </w:r>
      </w:hyperlink>
      <w:r>
        <w:rPr>
          <w:sz w:val="18"/>
        </w:rPr>
        <w:t xml:space="preserve"> — growth, reinvestment and return on capital.</w:t>
      </w:r>
    </w:p>
    <w:sectPr w:rsidR="00FC693F" w:rsidRPr="0006063C" w:rsidSect="00034616">
      <w:footerReference w:type="default" r:id="rId9"/>
      <w:pgSz w:w="12240" w:h="15840"/>
      <w:pgMar w:top="864" w:right="979" w:bottom="864"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Torrent Pharma and JB Pharma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edia.kkr.com/news-details?news_id=d074105a-2376-41bd-807e-c2cf155f111d" TargetMode="External"/><Relationship Id="rId11" Type="http://schemas.openxmlformats.org/officeDocument/2006/relationships/hyperlink" Target="https://www.sebi.gov.in/sebi_data/commondocs/jul-2025/J.B.%20Chemicals%20%26%20Pharmaceuticals%20Limited_PA_p.pdf" TargetMode="External"/><Relationship Id="rId12" Type="http://schemas.openxmlformats.org/officeDocument/2006/relationships/hyperlink" Target="https://www.torrentpharma.com/assets/Torrent_Pharma_Press_release_final_Q4_24_25_4201161339.pdf" TargetMode="External"/><Relationship Id="rId13" Type="http://schemas.openxmlformats.org/officeDocument/2006/relationships/hyperlink" Target="https://jbpharma.com/download/q4-fy25-press-release/?wpdmdl=10323" TargetMode="External"/><Relationship Id="rId14" Type="http://schemas.openxmlformats.org/officeDocument/2006/relationships/hyperlink" Target="https://www.torrentpharma.com/pdf/investors/AR-2024-25_Single_page_view.pdf" TargetMode="External"/><Relationship Id="rId15" Type="http://schemas.openxmlformats.org/officeDocument/2006/relationships/hyperlink" Target="https://jbpharma.com/download/fy25-annual-report/?wpdmdl=10520" TargetMode="External"/><Relationship Id="rId16" Type="http://schemas.openxmlformats.org/officeDocument/2006/relationships/hyperlink" Target="https://www.unionmf.com/docs/default-source/sebi-advertisement/2025/union-weekly-yield-27062025.pdf?sfvrsn=c5fe7b10_1" TargetMode="External"/><Relationship Id="rId17" Type="http://schemas.openxmlformats.org/officeDocument/2006/relationships/hyperlink" Target="https://pages.stern.nyu.edu/~adamodar/pc/archives/ctryprem24.xlsx" TargetMode="External"/><Relationship Id="rId18" Type="http://schemas.openxmlformats.org/officeDocument/2006/relationships/hyperlink" Target="https://pages.stern.nyu.edu/~adamodar/pc/archives/betaemerg24.xls" TargetMode="External"/><Relationship Id="rId19" Type="http://schemas.openxmlformats.org/officeDocument/2006/relationships/hyperlink" Target="https://pages.stern.nyu.edu/adamodar/New_Home_Page/littlebook/terminalvalu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Torrent Pharma and JB Pharma M&amp;A Investment Report</dc:title>
  <dc:subject>Final recommendation, assumption validation and model walkthrough</dc:subject>
  <dc:creator/>
  <cp:keywords>Torrent Pharma, JB Pharma, M&amp;A, FY25, research pack</cp:keywords>
  <dc:description/>
  <cp:lastModifiedBy/>
  <cp:revision>1</cp:revision>
  <dcterms:created xsi:type="dcterms:W3CDTF">2013-12-23T23:15:00Z</dcterms:created>
  <dcterms:modified xsi:type="dcterms:W3CDTF">2013-12-23T23:15:00Z</dcterms:modified>
  <cp:category/>
</cp:coreProperties>
</file>