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Torrent Pharma × JB Pharma — M&amp;A Research Pack</w:t>
      </w:r>
    </w:p>
    <w:p>
      <w:r>
        <w:rPr>
          <w:sz w:val="18"/>
        </w:rPr>
        <w:t>Case date 29 June 2025  |  Financial base FY25  |  Currency INR crore unless stated</w:t>
      </w:r>
    </w:p>
    <w:p>
      <w:r>
        <w:rPr>
          <w:b/>
        </w:rPr>
        <w:t>Purpose.</w:t>
      </w:r>
      <w:r>
        <w:t xml:space="preserve"> Establish the factual foundation for a standalone valuation and merger model. The deal combines a strong Indian chronic-therapy franchise with JB’s brands and CDMO platform; the central question is whether growth and synergies justify the purchase valuation, financing cost and share dilution.</w:t>
      </w:r>
    </w:p>
    <w:p>
      <w:r>
        <w:rPr>
          <w:sz w:val="18"/>
        </w:rPr>
        <w:t>The base case uses FY25 performance and announcement terms. The 30 June briefing provides immediate announcement context; subsequent events are separately identified on page 3. Company financials are consolidated, pre-combination figures.</w:t>
      </w:r>
    </w:p>
    <w:p>
      <w:pPr>
        <w:pStyle w:val="Heading1"/>
      </w:pPr>
      <w:r>
        <w:t>1  Transaction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7"/>
        <w:gridCol w:w="6883"/>
      </w:tblGrid>
      <w:tr>
        <w:trPr>
          <w:cantSplit/>
          <w:tblHeader/>
        </w:trPr>
        <w:tc>
          <w:tcPr>
            <w:tcW w:type="dxa" w:w="3067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83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Announcement terms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Acquirer / target</w:t>
            </w:r>
          </w:p>
        </w:tc>
        <w:tc>
          <w:tcPr>
            <w:tcW w:type="dxa" w:w="688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Torrent Pharmaceuticals Ltd. / J.B. Chemicals &amp; Pharmaceuticals Ltd.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Seller</w:t>
            </w:r>
          </w:p>
        </w:tc>
        <w:tc>
          <w:tcPr>
            <w:tcW w:type="dxa" w:w="688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Tau Investment Holdings Pte. Ltd., a KKR entity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Structure</w:t>
            </w:r>
          </w:p>
        </w:tc>
        <w:tc>
          <w:tcPr>
            <w:tcW w:type="dxa" w:w="688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Cash purchase of control, mandatory open offer, then merger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JB fully diluted shares</w:t>
            </w:r>
          </w:p>
        </w:tc>
        <w:tc>
          <w:tcPr>
            <w:tcW w:type="dxa" w:w="688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Approximately 16.06 crore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KKR stake purchase</w:t>
            </w:r>
          </w:p>
        </w:tc>
        <w:tc>
          <w:tcPr>
            <w:tcW w:type="dxa" w:w="688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46.39%; 7.448 crore shares at ₹1,600 per share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Initial cash consideration</w:t>
            </w:r>
          </w:p>
        </w:tc>
        <w:tc>
          <w:tcPr>
            <w:tcW w:type="dxa" w:w="688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₹11,917 crore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Potential employee purchase</w:t>
            </w:r>
          </w:p>
        </w:tc>
        <w:tc>
          <w:tcPr>
            <w:tcW w:type="dxa" w:w="688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Up to 2.80% at ₹1,600 per share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Mandatory open offer</w:t>
            </w:r>
          </w:p>
        </w:tc>
        <w:tc>
          <w:tcPr>
            <w:tcW w:type="dxa" w:w="688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Up to 26% at ₹1,639.18 per share; maximum ₹6,842.8 crore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Headline equity valuation</w:t>
            </w:r>
          </w:p>
        </w:tc>
        <w:tc>
          <w:tcPr>
            <w:tcW w:type="dxa" w:w="688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₹25,689 crore on a fully diluted basis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Merger exchange ratio</w:t>
            </w:r>
          </w:p>
        </w:tc>
        <w:tc>
          <w:tcPr>
            <w:tcW w:type="dxa" w:w="688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51 Torrent shares for every 100 eligible JB shares</w:t>
            </w:r>
          </w:p>
        </w:tc>
      </w:tr>
    </w:tbl>
    <w:p>
      <w:pPr>
        <w:spacing w:before="80"/>
      </w:pPr>
      <w:r>
        <w:rPr>
          <w:sz w:val="18"/>
        </w:rPr>
        <w:t>Sources [1, 2, 5]. The ₹25,689 crore headline is a full-company equity valuation, not the cash funding requirement. Cash purchases and shares issued to remaining JB shareholders must be modelled separately.</w:t>
      </w:r>
    </w:p>
    <w:p>
      <w:pPr>
        <w:pStyle w:val="Heading1"/>
      </w:pPr>
      <w:r>
        <w:t>2  FY25 financial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34"/>
        <w:gridCol w:w="2808"/>
        <w:gridCol w:w="2808"/>
      </w:tblGrid>
      <w:tr>
        <w:trPr>
          <w:cantSplit/>
          <w:tblHeader/>
        </w:trPr>
        <w:tc>
          <w:tcPr>
            <w:tcW w:type="dxa" w:w="4334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08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0"/>
              </w:rPr>
              <w:t>Torrent Pharma</w:t>
            </w:r>
          </w:p>
        </w:tc>
        <w:tc>
          <w:tcPr>
            <w:tcW w:type="dxa" w:w="2808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0"/>
              </w:rPr>
              <w:t>JB Pharma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Revenue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11,516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3,918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Operating EBITDA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3,721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1,087*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Operating EBITDA margin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32.3%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27.7%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Profit after tax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1,911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660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India share of revenue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56%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58%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Balance sheet indicator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Net debt / EBITDA ≈ 0.6×</w:t>
            </w:r>
          </w:p>
        </w:tc>
        <w:tc>
          <w:tcPr>
            <w:tcW w:type="dxa" w:w="2808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Net cash ≈ 689</w:t>
            </w:r>
          </w:p>
        </w:tc>
      </w:tr>
      <w:tr>
        <w:trPr>
          <w:cantSplit/>
        </w:trPr>
        <w:tc>
          <w:tcPr>
            <w:tcW w:type="dxa" w:w="433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Other operating indicator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Free cash flow 1,973</w:t>
            </w:r>
          </w:p>
        </w:tc>
        <w:tc>
          <w:tcPr>
            <w:tcW w:type="dxa" w:w="2808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sz w:val="20"/>
              </w:rPr>
              <w:t>ROCE 32%</w:t>
            </w:r>
          </w:p>
        </w:tc>
      </w:tr>
    </w:tbl>
    <w:p>
      <w:pPr>
        <w:spacing w:before="80"/>
      </w:pPr>
      <w:r>
        <w:rPr>
          <w:sz w:val="18"/>
        </w:rPr>
        <w:t>*JB operating EBITDA excludes employee stock option cost. Metrics follow company definitions and require reconciliation before modelling. Sources [2–4].</w:t>
      </w:r>
    </w:p>
    <w:p>
      <w:r>
        <w:rPr>
          <w:b/>
        </w:rPr>
        <w:t>Illustrative combined FY25</w:t>
      </w:r>
      <w:r>
        <w:t xml:space="preserve"> revenue is ₹15,434 crore and operating EBITDA is ₹4,808 crore, a 31.2% margin. These are simple sums before synergies, financing, purchase accounting and intercompany eliminations.</w:t>
      </w:r>
    </w:p>
    <w:p>
      <w:r>
        <w:br w:type="page"/>
      </w:r>
    </w:p>
    <w:p>
      <w:pPr>
        <w:pStyle w:val="Heading1"/>
      </w:pPr>
      <w:r>
        <w:t>3  Company profiles and strategic fit</w:t>
      </w:r>
    </w:p>
    <w:p>
      <w:r>
        <w:rPr>
          <w:b/>
        </w:rPr>
        <w:t>Torrent Pharma.</w:t>
      </w:r>
      <w:r>
        <w:t xml:space="preserve"> Revenue rose from ₹8,005 crore in FY21 to ₹11,516 crore in FY25. India represented 56% of revenue, with the US, Germany and Brazil its major international businesses. Its Indian franchise had 21 brands in the market’s top 500, 14 brands above ₹100 crore and about 6,400 field-force personnel. [2, 3]</w:t>
      </w:r>
    </w:p>
    <w:p>
      <w:r>
        <w:rPr>
          <w:b/>
        </w:rPr>
        <w:t>JB Pharma.</w:t>
      </w:r>
      <w:r>
        <w:t xml:space="preserve"> Revenue rose from ₹2,043 crore in FY21 to ₹3,918 crore in FY25, approximately 18% annual growth. India revenue was ₹2,269 crore. Brands included Cilacar, Metrogyl, Sporlac and Razel; the Cilacar franchise was approximately ₹785 crore. JB had six brands in the top 300, three top-25 cardiology brands, operations in 40+ countries and a lozenges CDMO platform. [2,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3989"/>
        <w:gridCol w:w="3989"/>
      </w:tblGrid>
      <w:tr>
        <w:trPr>
          <w:cantSplit/>
          <w:tblHeader/>
        </w:trPr>
        <w:tc>
          <w:tcPr>
            <w:tcW w:type="dxa" w:w="1973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Portfolio measure</w:t>
            </w:r>
          </w:p>
        </w:tc>
        <w:tc>
          <w:tcPr>
            <w:tcW w:type="dxa" w:w="3989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Torrent Pharma</w:t>
            </w:r>
          </w:p>
        </w:tc>
        <w:tc>
          <w:tcPr>
            <w:tcW w:type="dxa" w:w="3989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JB Pharma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Revenue mix</w:t>
            </w:r>
          </w:p>
        </w:tc>
        <w:tc>
          <w:tcPr>
            <w:tcW w:type="dxa" w:w="398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India 56%; outside India 44%</w:t>
            </w:r>
          </w:p>
        </w:tc>
        <w:tc>
          <w:tcPr>
            <w:tcW w:type="dxa" w:w="3989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India 58%; international 29%; CDMO 11%; API 2%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India therapy mix</w:t>
            </w:r>
          </w:p>
        </w:tc>
        <w:tc>
          <w:tcPr>
            <w:tcW w:type="dxa" w:w="3989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Cardiac 27%; gastro 18%; CNS 15%; VMN 10%; diabetes 9%; pain 8%; dermatology 6%; other 7%</w:t>
            </w:r>
          </w:p>
        </w:tc>
        <w:tc>
          <w:tcPr>
            <w:tcW w:type="dxa" w:w="3989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Cardiac 44%; gastro 33%; ophthalmology 8%; other 15%</w:t>
            </w:r>
          </w:p>
        </w:tc>
      </w:tr>
    </w:tbl>
    <w:p>
      <w:pPr>
        <w:spacing w:before="80"/>
      </w:pPr>
      <w:r>
        <w:rPr>
          <w:sz w:val="18"/>
        </w:rPr>
        <w:t>CNS: central nervous system; VMN: vitamins, minerals and nutrients; CDMO: contract development and manufacturing; API: active pharmaceutical ingredients. Therapy shares refer to the India portfolio. [2]</w:t>
      </w:r>
    </w:p>
    <w:p>
      <w:r>
        <w:rPr>
          <w:b/>
        </w:rPr>
        <w:t>Management rationale.</w:t>
      </w:r>
      <w:r>
        <w:t xml:space="preserve"> Add leading chronic brands and ophthalmology exposure, broaden international scale, improve operating efficiency and enter CDMO as a long-term growth avenue. Management indicated a move from seventh to fifth by Indian pharmaceutical-market secondary sales and from tenth to fourth by prescriptions. [1, 2]</w:t>
      </w:r>
    </w:p>
    <w:p>
      <w:r>
        <w:t>Analytical view. Brand depth and chronic-therapy overlap offer plausible distribution and procurement benefits. CDMO adds a distinct growth platform, but its economics should be forecast separately. The announcement did not quantify a synergy target; any savings or cross-selling estimates are analyst assumptions.</w:t>
      </w:r>
    </w:p>
    <w:p>
      <w:pPr>
        <w:pStyle w:val="Heading1"/>
      </w:pPr>
      <w:r>
        <w:t>4  Valuation and return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43"/>
        <w:gridCol w:w="2707"/>
      </w:tblGrid>
      <w:tr>
        <w:trPr>
          <w:cantSplit/>
          <w:tblHeader/>
        </w:trPr>
        <w:tc>
          <w:tcPr>
            <w:tcW w:type="dxa" w:w="7243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Illustrative calculation</w:t>
            </w:r>
          </w:p>
        </w:tc>
        <w:tc>
          <w:tcPr>
            <w:tcW w:type="dxa" w:w="2707"/>
            <w:vAlign w:val="center"/>
            <w:shd w:fill="20364A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724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Headline equity value</w:t>
            </w:r>
          </w:p>
        </w:tc>
        <w:tc>
          <w:tcPr>
            <w:tcW w:type="dxa" w:w="270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₹25,689 crore</w:t>
            </w:r>
          </w:p>
        </w:tc>
      </w:tr>
      <w:tr>
        <w:trPr>
          <w:cantSplit/>
        </w:trPr>
        <w:tc>
          <w:tcPr>
            <w:tcW w:type="dxa" w:w="724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Enterprise value = equity value less net cash</w:t>
            </w:r>
          </w:p>
        </w:tc>
        <w:tc>
          <w:tcPr>
            <w:tcW w:type="dxa" w:w="270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₹25,689 − ₹689 ≈ ₹25,000 crore</w:t>
            </w:r>
          </w:p>
        </w:tc>
      </w:tr>
      <w:tr>
        <w:trPr>
          <w:cantSplit/>
        </w:trPr>
        <w:tc>
          <w:tcPr>
            <w:tcW w:type="dxa" w:w="7243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Equity value / FY25 PAT</w:t>
            </w:r>
          </w:p>
        </w:tc>
        <w:tc>
          <w:tcPr>
            <w:tcW w:type="dxa" w:w="2707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₹25,689 / ₹660 ≈ 38.9×</w:t>
            </w:r>
          </w:p>
        </w:tc>
      </w:tr>
      <w:tr>
        <w:trPr>
          <w:cantSplit/>
        </w:trPr>
        <w:tc>
          <w:tcPr>
            <w:tcW w:type="dxa" w:w="7243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EV / FY25 operating EBITDA</w:t>
            </w:r>
          </w:p>
        </w:tc>
        <w:tc>
          <w:tcPr>
            <w:tcW w:type="dxa" w:w="2707"/>
            <w:vAlign w:val="center"/>
            <w:shd w:fill="F1F4F7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>₹25,000 / ₹1,087 ≈ 23.0×</w:t>
            </w:r>
          </w:p>
        </w:tc>
      </w:tr>
    </w:tbl>
    <w:p>
      <w:pPr>
        <w:spacing w:before="80"/>
      </w:pPr>
      <w:r>
        <w:rPr>
          <w:sz w:val="18"/>
        </w:rPr>
        <w:t>Calculations use rounded figures and JB’s adjusted operating EBITDA. A full enterprise-value bridge must reconcile debt, cash, leases and other claims. The negotiated price should also be compared with the undisturbed market price and valuation-report benchmarks; a market discount alone does not establish attractive investment returns. [1, 4, 6]</w:t>
      </w:r>
    </w:p>
    <w:p>
      <w:pPr>
        <w:pStyle w:val="Heading1"/>
      </w:pPr>
      <w:r>
        <w:t>5  Financing and execution risks</w:t>
      </w:r>
    </w:p>
    <w:p>
      <w:r>
        <w:t>Contemporary reporting described a credit line of up to ₹20,000 crore from lenders including HSBC, Standard Chartered and Barclays, and a targeted borrowing cost below 8%. These were reported financing expectations, not the final debt drawn or realised interest rate. Model cash availability, open-offer acceptance, debt fees, interest and repayment separately. [5]</w:t>
      </w:r>
    </w:p>
    <w:p>
      <w:r>
        <w:t>The key downside tests are weaker brand growth, delayed synergies, field-force disruption, higher funding cost, slower deleveraging and regulatory or integration delays. At approximately 23× FY25 EBITDA, the model must show the growth and synergy required to earn an adequate return.</w:t>
      </w:r>
    </w:p>
    <w:p>
      <w:r>
        <w:br w:type="page"/>
      </w:r>
    </w:p>
    <w:p>
      <w:pPr>
        <w:pStyle w:val="Heading1"/>
      </w:pPr>
      <w:r>
        <w:t>6  Merger mechanics and later outcomes</w:t>
      </w:r>
    </w:p>
    <w:p>
      <w:r>
        <w:rPr>
          <w:b/>
        </w:rPr>
        <w:t>Share issuance.</w:t>
      </w:r>
      <w:r>
        <w:t xml:space="preserve"> Under the 51:100 ratio, new Torrent shares equal eligible outside JB shares multiplied by 0.51. Torrent’s own JB holding is cancelled on amalgamation. A higher cash-purchased stake reduces later share issuance but raises funding needs. Post-merger EPS must use the resulting diluted and time-weighted Torrent share count. [6]</w:t>
      </w:r>
    </w:p>
    <w:p>
      <w:r>
        <w:rPr>
          <w:b/>
        </w:rPr>
        <w:t>Later outcome check.</w:t>
      </w:r>
      <w:r>
        <w:t xml:space="preserve"> Torrent acquired a 48.80% holding on a fully diluted basis, including approximately 2.41% from employees. This implies about 4.19 crore new Torrent shares using the rounded 16.06 crore JB share base; the final model should reconcile issuance to the allotment filing. Torrent reported FY26 net debt / EBITDA of 2.3×, using full-year EBITDA for both companies. [7]</w:t>
      </w:r>
    </w:p>
    <w:p>
      <w:r>
        <w:t>The scheme became effective on 8 July 2026, with 21 January 2026 as the appointed date; JB was amalgamated into Torrent and dissolved without winding up. These outcomes are a separate comparison against the announcement-date model. [8]</w:t>
      </w:r>
    </w:p>
    <w:p>
      <w:pPr>
        <w:pStyle w:val="Heading1"/>
      </w:pPr>
      <w:r>
        <w:t>7  Modelling objectives and next inputs</w:t>
      </w:r>
    </w:p>
    <w:p>
      <w:r>
        <w:t>The model should answer five questions:</w:t>
      </w:r>
    </w:p>
    <w:p>
      <w:pPr>
        <w:spacing w:after="60"/>
      </w:pPr>
      <w:r>
        <w:t>1.  What was JB worth independently on 29 June 2025, using a DCF and comparable-company valuation?</w:t>
      </w:r>
    </w:p>
    <w:p>
      <w:pPr>
        <w:spacing w:after="60"/>
      </w:pPr>
      <w:r>
        <w:t>2.  Does the ₹25,689 crore headline valuation offer Torrent an adequate return?</w:t>
      </w:r>
    </w:p>
    <w:p>
      <w:pPr>
        <w:spacing w:after="60"/>
      </w:pPr>
      <w:r>
        <w:t>3.  How much cash and debt are needed under different open-offer acceptance scenarios, and how quickly does leverage fall?</w:t>
      </w:r>
    </w:p>
    <w:p>
      <w:pPr>
        <w:spacing w:after="60"/>
      </w:pPr>
      <w:r>
        <w:t>4.  What cost and revenue synergies are required, after integration costs and a realistic ramp-up?</w:t>
      </w:r>
    </w:p>
    <w:p>
      <w:pPr>
        <w:spacing w:after="60"/>
      </w:pPr>
      <w:r>
        <w:t>5.  Is post-merger EPS accretive or dilutive after financing, taxes, acquired-intangible amortisation and new share issuance?</w:t>
      </w:r>
    </w:p>
    <w:p>
      <w:r>
        <w:rPr>
          <w:b/>
        </w:rPr>
        <w:t>Next inputs.</w:t>
      </w:r>
      <w:r>
        <w:t xml:space="preserve"> Collect FY21–FY25 revenue, EBIT, D&amp;A, taxes, debt, cash, capex, working capital and diluted shares for each company. Reconcile EBITDA definitions and the fully diluted share base; then build forecasts, sources and uses, purchase-price allocation, synergies, EPS and leverage sensitivities.</w:t>
      </w:r>
    </w:p>
    <w:p>
      <w:r>
        <w:t>Estimate procurement and manufacturing savings, SG&amp;A and corporate overlap, sales-force productivity and cross-selling separately. Include integration costs, timing and a downside case; do not treat management’s strategic claims as realised savings.</w:t>
      </w:r>
    </w:p>
    <w:p>
      <w:pPr>
        <w:pStyle w:val="Heading1"/>
      </w:pPr>
      <w:r>
        <w:t>8  Brief source list</w:t>
      </w:r>
    </w:p>
    <w:p>
      <w:r>
        <w:rPr>
          <w:sz w:val="18"/>
        </w:rPr>
        <w:t>Numbered references correspond to the sections above. Annual reports provide historical reconciliation; documents and disclosures published after announcement must not introduce hindsight into base-case forecasts.</w:t>
      </w:r>
    </w:p>
    <w:p>
      <w:pPr>
        <w:spacing w:after="80"/>
      </w:pPr>
      <w:r>
        <w:rPr>
          <w:sz w:val="18"/>
        </w:rPr>
        <w:t xml:space="preserve">[1] </w:t>
      </w:r>
      <w:hyperlink r:id="rId10">
        <w:r>
          <w:rPr>
            <w:color w:val="244E70"/>
            <w:sz w:val="18"/>
          </w:rPr>
          <w:t>Transaction media release, 29 June 2025</w:t>
        </w:r>
      </w:hyperlink>
      <w:r>
        <w:rPr>
          <w:sz w:val="18"/>
        </w:rPr>
        <w:t xml:space="preserve"> — transaction terms and management rationale.</w:t>
      </w:r>
    </w:p>
    <w:p>
      <w:pPr>
        <w:spacing w:after="80"/>
      </w:pPr>
      <w:r>
        <w:rPr>
          <w:sz w:val="18"/>
        </w:rPr>
        <w:t xml:space="preserve">[2] </w:t>
      </w:r>
      <w:hyperlink r:id="rId11">
        <w:r>
          <w:rPr>
            <w:color w:val="244E70"/>
            <w:sz w:val="18"/>
          </w:rPr>
          <w:t>Acquisition investor presentation, June 2025</w:t>
        </w:r>
      </w:hyperlink>
      <w:r>
        <w:rPr>
          <w:sz w:val="18"/>
        </w:rPr>
        <w:t xml:space="preserve"> — company profiles, portfolio mix and market positioning.</w:t>
      </w:r>
    </w:p>
    <w:p>
      <w:pPr>
        <w:spacing w:after="80"/>
      </w:pPr>
      <w:r>
        <w:rPr>
          <w:sz w:val="18"/>
        </w:rPr>
        <w:t xml:space="preserve">[3] </w:t>
      </w:r>
      <w:hyperlink r:id="rId12">
        <w:r>
          <w:rPr>
            <w:color w:val="244E70"/>
            <w:sz w:val="18"/>
          </w:rPr>
          <w:t>Torrent FY25 annual report</w:t>
        </w:r>
      </w:hyperlink>
      <w:r>
        <w:rPr>
          <w:sz w:val="18"/>
        </w:rPr>
        <w:t xml:space="preserve"> — financials and transaction disclosures.</w:t>
      </w:r>
    </w:p>
    <w:p>
      <w:pPr>
        <w:spacing w:after="80"/>
      </w:pPr>
      <w:r>
        <w:rPr>
          <w:sz w:val="18"/>
        </w:rPr>
        <w:t xml:space="preserve">[4] </w:t>
      </w:r>
      <w:hyperlink r:id="rId13">
        <w:r>
          <w:rPr>
            <w:color w:val="244E70"/>
            <w:sz w:val="18"/>
          </w:rPr>
          <w:t>JB FY25 financial information</w:t>
        </w:r>
      </w:hyperlink>
      <w:r>
        <w:rPr>
          <w:sz w:val="18"/>
        </w:rPr>
        <w:t xml:space="preserve"> — FY25 annual report and Q4 FY25 presentation.</w:t>
      </w:r>
    </w:p>
    <w:p>
      <w:pPr>
        <w:spacing w:after="80"/>
      </w:pPr>
      <w:r>
        <w:rPr>
          <w:sz w:val="18"/>
        </w:rPr>
        <w:t xml:space="preserve">[5] </w:t>
      </w:r>
      <w:hyperlink r:id="rId14">
        <w:r>
          <w:rPr>
            <w:color w:val="244E70"/>
            <w:sz w:val="18"/>
          </w:rPr>
          <w:t>Business Standard, 30 June 2025</w:t>
        </w:r>
      </w:hyperlink>
      <w:r>
        <w:rPr>
          <w:sz w:val="18"/>
        </w:rPr>
        <w:t xml:space="preserve"> — reported credit line, funding cost and open-offer ceiling.</w:t>
      </w:r>
    </w:p>
    <w:p>
      <w:pPr>
        <w:spacing w:after="80"/>
      </w:pPr>
      <w:r>
        <w:rPr>
          <w:sz w:val="18"/>
        </w:rPr>
        <w:t xml:space="preserve">[6] </w:t>
      </w:r>
      <w:hyperlink r:id="rId15">
        <w:r>
          <w:rPr>
            <w:color w:val="244E70"/>
            <w:sz w:val="18"/>
          </w:rPr>
          <w:t>Torrent amalgamation documents</w:t>
        </w:r>
      </w:hyperlink>
      <w:r>
        <w:rPr>
          <w:sz w:val="18"/>
        </w:rPr>
        <w:t xml:space="preserve"> — scheme, share-exchange valuation and fairness opinion.</w:t>
      </w:r>
    </w:p>
    <w:p>
      <w:pPr>
        <w:spacing w:after="80"/>
      </w:pPr>
      <w:r>
        <w:rPr>
          <w:sz w:val="18"/>
        </w:rPr>
        <w:t xml:space="preserve">[7] </w:t>
      </w:r>
      <w:hyperlink r:id="rId16">
        <w:r>
          <w:rPr>
            <w:color w:val="244E70"/>
            <w:sz w:val="18"/>
          </w:rPr>
          <w:t>Torrent FY26 annual report</w:t>
        </w:r>
      </w:hyperlink>
      <w:r>
        <w:rPr>
          <w:sz w:val="18"/>
        </w:rPr>
        <w:t xml:space="preserve"> — subsequent acquisition and leverage disclosures.</w:t>
      </w:r>
    </w:p>
    <w:p>
      <w:pPr>
        <w:spacing w:after="80"/>
      </w:pPr>
      <w:r>
        <w:rPr>
          <w:sz w:val="18"/>
        </w:rPr>
        <w:t xml:space="preserve">[8] </w:t>
      </w:r>
      <w:hyperlink r:id="rId17">
        <w:r>
          <w:rPr>
            <w:color w:val="244E70"/>
            <w:sz w:val="18"/>
          </w:rPr>
          <w:t>Scheme effective-date filing, 8 July 2026</w:t>
        </w:r>
      </w:hyperlink>
      <w:r>
        <w:rPr>
          <w:sz w:val="18"/>
        </w:rPr>
        <w:t xml:space="preserve"> — effective date, appointed date and dissolution.</w:t>
      </w:r>
    </w:p>
    <w:sectPr w:rsidR="00FC693F" w:rsidRPr="0006063C" w:rsidSect="00034616">
      <w:footerReference w:type="default" r:id="rId9"/>
      <w:pgSz w:w="11909" w:h="16834"/>
      <w:pgMar w:top="893" w:right="979" w:bottom="864" w:left="979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Torrent Pharma × JB Pharma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jbpharma.com/download/press-release-amalgamation/" TargetMode="External"/><Relationship Id="rId11" Type="http://schemas.openxmlformats.org/officeDocument/2006/relationships/hyperlink" Target="https://jbpharma.com/download/investor-presentation-acquisition/" TargetMode="External"/><Relationship Id="rId12" Type="http://schemas.openxmlformats.org/officeDocument/2006/relationships/hyperlink" Target="https://www.torrentpharma.com/pdf/investors/AR-2024-25_Single_page_view.pdf" TargetMode="External"/><Relationship Id="rId13" Type="http://schemas.openxmlformats.org/officeDocument/2006/relationships/hyperlink" Target="https://jbpharma.com/financial-information/" TargetMode="External"/><Relationship Id="rId14" Type="http://schemas.openxmlformats.org/officeDocument/2006/relationships/hyperlink" Target="https://www.business-standard.com/amp/companies/news/torrent-secures-rs-20000-crore-credit-line-for-jb-chemicals-buyout-125063001121_1.html" TargetMode="External"/><Relationship Id="rId15" Type="http://schemas.openxmlformats.org/officeDocument/2006/relationships/hyperlink" Target="https://www.torrentpharma.com/investors/corp-governance/amalgamation/" TargetMode="External"/><Relationship Id="rId16" Type="http://schemas.openxmlformats.org/officeDocument/2006/relationships/hyperlink" Target="https://www.torrentpharma.com/pdf/investors/AR-2025-26.pdf" TargetMode="External"/><Relationship Id="rId17" Type="http://schemas.openxmlformats.org/officeDocument/2006/relationships/hyperlink" Target="https://www.torrentpharma.com/docs/02_Intimation_Of_Effective_Date_Of_Scheme_Of_Amalgamation_b3199d225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Torrent Pharma × JB Pharma — M&amp;A Research Pack</dc:title>
  <dc:subject>Announcement-date M&amp;A strategy and transaction modelling fact base</dc:subject>
  <dc:creator/>
  <cp:keywords>Torrent Pharma, JB Pharma, M&amp;A, FY25, research pack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