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D9488"/>
          <w:sz w:val="19"/>
        </w:rPr>
        <w:t>TECHNICAL SYSTEM ANALYSIS &amp; ARCHITECTURE REVIEW</w:t>
      </w:r>
    </w:p>
    <w:p>
      <w:pPr>
        <w:spacing w:before="40" w:after="80"/>
      </w:pPr>
      <w:r>
        <w:rPr>
          <w:b/>
          <w:color w:val="0F172A"/>
          <w:sz w:val="44"/>
        </w:rPr>
        <w:t>Sonam Homestay: Web Platform Engineering Analysis &amp; Development Challenges Report</w:t>
      </w:r>
    </w:p>
    <w:p>
      <w:pPr>
        <w:spacing w:before="0" w:after="320"/>
      </w:pPr>
      <w:r>
        <w:rPr>
          <w:color w:val="475569"/>
          <w:sz w:val="24"/>
        </w:rPr>
        <w:t>An Exhaustive Evaluation of Full-Stack Architecture, Database Lifecycle, Razorpay Payment Gateway Engineering, Inventory Integrity, and Complex Engineering Problem-Solving Case Studies</w:t>
      </w:r>
    </w:p>
    <w:tbl>
      <w:tblPr>
        <w:tblW w:type="auto" w:w="0"/>
        <w:jc w:val="center"/>
        <w:tblLayout w:type="fixed"/>
        <w:tblLook w:firstColumn="1" w:firstRow="1" w:lastColumn="0" w:lastRow="0" w:noHBand="0" w:noVBand="1" w:val="04A0"/>
      </w:tblPr>
      <w:tblGrid>
        <w:gridCol w:w="3120"/>
        <w:gridCol w:w="3120"/>
        <w:gridCol w:w="3120"/>
      </w:tblGrid>
      <w:tr>
        <w:tc>
          <w:tcPr>
            <w:tcW w:type="dxa" w:w="3110"/>
            <w:shd w:fill="0F766E"/>
            <w:tcMar>
              <w:top w:w="100" w:type="dxa"/>
              <w:bottom w:w="100" w:type="dxa"/>
              <w:left w:w="120" w:type="dxa"/>
              <w:right w:w="120" w:type="dxa"/>
            </w:tcMar>
          </w:tcPr>
          <w:p>
            <w:pPr>
              <w:spacing w:after="0"/>
            </w:pPr>
            <w:r>
              <w:rPr>
                <w:b/>
                <w:color w:val="FFFFFF"/>
                <w:sz w:val="18"/>
              </w:rPr>
              <w:t>Platform / Stack</w:t>
            </w:r>
          </w:p>
        </w:tc>
        <w:tc>
          <w:tcPr>
            <w:tcW w:type="dxa" w:w="3110"/>
            <w:shd w:fill="0F766E"/>
            <w:tcMar>
              <w:top w:w="100" w:type="dxa"/>
              <w:bottom w:w="100" w:type="dxa"/>
              <w:left w:w="120" w:type="dxa"/>
              <w:right w:w="120" w:type="dxa"/>
            </w:tcMar>
          </w:tcPr>
          <w:p>
            <w:pPr>
              <w:spacing w:after="0"/>
            </w:pPr>
            <w:r>
              <w:rPr>
                <w:b/>
                <w:color w:val="FFFFFF"/>
                <w:sz w:val="18"/>
              </w:rPr>
              <w:t>Target Environment</w:t>
            </w:r>
          </w:p>
        </w:tc>
        <w:tc>
          <w:tcPr>
            <w:tcW w:type="dxa" w:w="3110"/>
            <w:shd w:fill="0F766E"/>
            <w:tcMar>
              <w:top w:w="100" w:type="dxa"/>
              <w:bottom w:w="100" w:type="dxa"/>
              <w:left w:w="120" w:type="dxa"/>
              <w:right w:w="120" w:type="dxa"/>
            </w:tcMar>
          </w:tcPr>
          <w:p>
            <w:pPr>
              <w:spacing w:after="0"/>
            </w:pPr>
            <w:r>
              <w:rPr>
                <w:b/>
                <w:color w:val="FFFFFF"/>
                <w:sz w:val="18"/>
              </w:rPr>
              <w:t>Prepared For</w:t>
            </w:r>
          </w:p>
        </w:tc>
      </w:tr>
      <w:tr>
        <w:tc>
          <w:tcPr>
            <w:tcW w:type="dxa" w:w="3110"/>
            <w:shd w:fill="F8FAFC"/>
            <w:tcMar>
              <w:top w:w="100" w:type="dxa"/>
              <w:bottom w:w="100" w:type="dxa"/>
              <w:left w:w="120" w:type="dxa"/>
              <w:right w:w="120" w:type="dxa"/>
            </w:tcMar>
          </w:tcPr>
          <w:p>
            <w:pPr>
              <w:spacing w:after="0"/>
            </w:pPr>
            <w:r>
              <w:rPr>
                <w:color w:val="334155"/>
                <w:sz w:val="18"/>
              </w:rPr>
              <w:t>PHP 8.4 • MySQL/MariaDB • Razorpay • Bootstrap 5</w:t>
            </w:r>
          </w:p>
        </w:tc>
        <w:tc>
          <w:tcPr>
            <w:tcW w:type="dxa" w:w="3110"/>
            <w:shd w:fill="F8FAFC"/>
            <w:tcMar>
              <w:top w:w="100" w:type="dxa"/>
              <w:bottom w:w="100" w:type="dxa"/>
              <w:left w:w="120" w:type="dxa"/>
              <w:right w:w="120" w:type="dxa"/>
            </w:tcMar>
          </w:tcPr>
          <w:p>
            <w:pPr>
              <w:spacing w:after="0"/>
            </w:pPr>
            <w:r>
              <w:rPr>
                <w:color w:val="334155"/>
                <w:sz w:val="18"/>
              </w:rPr>
              <w:t>XAMPP Localhost &amp; Railway/Aiven Cloud</w:t>
            </w:r>
          </w:p>
        </w:tc>
        <w:tc>
          <w:tcPr>
            <w:tcW w:type="dxa" w:w="3110"/>
            <w:shd w:fill="F8FAFC"/>
            <w:tcMar>
              <w:top w:w="100" w:type="dxa"/>
              <w:bottom w:w="100" w:type="dxa"/>
              <w:left w:w="120" w:type="dxa"/>
              <w:right w:w="120" w:type="dxa"/>
            </w:tcMar>
          </w:tcPr>
          <w:p>
            <w:pPr>
              <w:spacing w:after="0"/>
            </w:pPr>
            <w:r>
              <w:rPr>
                <w:color w:val="334155"/>
                <w:sz w:val="18"/>
              </w:rPr>
              <w:t>Development, Quality Assurance &amp; Operations Team</w:t>
            </w:r>
          </w:p>
        </w:tc>
      </w:tr>
    </w:tbl>
    <w:p>
      <w:pPr>
        <w:spacing w:after="240"/>
      </w:pPr>
    </w:p>
    <w:p>
      <w:pPr>
        <w:spacing w:before="80" w:after="320"/>
      </w:pPr>
      <w:r>
        <w:rPr>
          <w:color w:val="CBD5E1"/>
        </w:rPr>
        <w:t>_________________________________________________________________________________</w:t>
      </w:r>
    </w:p>
    <w:p>
      <w:pPr>
        <w:pStyle w:val="Heading1"/>
        <w:spacing w:before="280" w:after="160"/>
      </w:pPr>
      <w:r>
        <w:rPr>
          <w:color w:val="0F172A"/>
          <w:sz w:val="32"/>
        </w:rPr>
        <w:t>1. Executive Summary &amp; Platform Architecture</w:t>
      </w:r>
    </w:p>
    <w:p>
      <w:r>
        <w:t>Sonam Homestay is an enterprise-grade, custom-engineered hospitality reservation and host operations system tailored for authentic Himalayan eco-tourism in Khecheopalri, West Sikkim. The platform eliminates intermediate online travel agency commissions by delivering direct, end-to-end guest booking workflows, real-time room availability tracking, instant payment processing via Razorpay, dynamic invoice generation, and comprehensive host administrative tools.</w:t>
      </w:r>
    </w:p>
    <w:p>
      <w:r>
        <w:t>The architecture is designed around high resilience, data integrity, and strict separation of concerns across a hybrid deployment model (supporting both local offline/XAMPP environments and zero-trust cloud setups on Railway with Aiven MySQL SSL).</w:t>
      </w:r>
    </w:p>
    <w:tbl>
      <w:tblPr>
        <w:tblW w:type="auto" w:w="0"/>
        <w:jc w:val="center"/>
        <w:tblLayout w:type="fixed"/>
        <w:tblLook w:firstColumn="1" w:firstRow="1" w:lastColumn="0" w:lastRow="0" w:noHBand="0" w:noVBand="1" w:val="04A0"/>
      </w:tblPr>
      <w:tblGrid>
        <w:gridCol w:w="3120"/>
        <w:gridCol w:w="3120"/>
        <w:gridCol w:w="3120"/>
      </w:tblGrid>
      <w:tr>
        <w:tc>
          <w:tcPr>
            <w:tcW w:type="dxa" w:w="2160"/>
            <w:tcMar>
              <w:top w:w="100" w:type="dxa"/>
              <w:bottom w:w="100" w:type="dxa"/>
              <w:left w:w="120" w:type="dxa"/>
              <w:right w:w="120" w:type="dxa"/>
            </w:tcMar>
            <w:shd w:fill="0D9488"/>
          </w:tcPr>
          <w:p>
            <w:pPr>
              <w:spacing w:after="0"/>
            </w:pPr>
            <w:r>
              <w:rPr>
                <w:b/>
                <w:color w:val="FFFFFF"/>
                <w:sz w:val="19"/>
              </w:rPr>
              <w:t>Layer / Component</w:t>
            </w:r>
          </w:p>
        </w:tc>
        <w:tc>
          <w:tcPr>
            <w:tcW w:type="dxa" w:w="3456"/>
            <w:tcMar>
              <w:top w:w="100" w:type="dxa"/>
              <w:bottom w:w="100" w:type="dxa"/>
              <w:left w:w="120" w:type="dxa"/>
              <w:right w:w="120" w:type="dxa"/>
            </w:tcMar>
            <w:shd w:fill="0D9488"/>
          </w:tcPr>
          <w:p>
            <w:pPr>
              <w:spacing w:after="0"/>
            </w:pPr>
            <w:r>
              <w:rPr>
                <w:b/>
                <w:color w:val="FFFFFF"/>
                <w:sz w:val="19"/>
              </w:rPr>
              <w:t>Technologies &amp; Specifications</w:t>
            </w:r>
          </w:p>
        </w:tc>
        <w:tc>
          <w:tcPr>
            <w:tcW w:type="dxa" w:w="3744"/>
            <w:tcMar>
              <w:top w:w="100" w:type="dxa"/>
              <w:bottom w:w="100" w:type="dxa"/>
              <w:left w:w="120" w:type="dxa"/>
              <w:right w:w="120" w:type="dxa"/>
            </w:tcMar>
            <w:shd w:fill="0D9488"/>
          </w:tcPr>
          <w:p>
            <w:pPr>
              <w:spacing w:after="0"/>
            </w:pPr>
            <w:r>
              <w:rPr>
                <w:b/>
                <w:color w:val="FFFFFF"/>
                <w:sz w:val="19"/>
              </w:rPr>
              <w:t>Functional Responsibility</w:t>
            </w:r>
          </w:p>
        </w:tc>
      </w:tr>
      <w:tr>
        <w:tc>
          <w:tcPr>
            <w:tcW w:type="dxa" w:w="2160"/>
            <w:tcMar>
              <w:top w:w="100" w:type="dxa"/>
              <w:bottom w:w="100" w:type="dxa"/>
              <w:left w:w="120" w:type="dxa"/>
              <w:right w:w="120" w:type="dxa"/>
            </w:tcMar>
            <w:shd w:fill="F8FAFC"/>
          </w:tcPr>
          <w:p>
            <w:pPr>
              <w:spacing w:after="0"/>
            </w:pPr>
            <w:r>
              <w:rPr>
                <w:color w:val="1E293B"/>
                <w:sz w:val="18"/>
              </w:rPr>
              <w:t>Core Backend</w:t>
            </w:r>
          </w:p>
        </w:tc>
        <w:tc>
          <w:tcPr>
            <w:tcW w:type="dxa" w:w="3456"/>
            <w:tcMar>
              <w:top w:w="100" w:type="dxa"/>
              <w:bottom w:w="100" w:type="dxa"/>
              <w:left w:w="120" w:type="dxa"/>
              <w:right w:w="120" w:type="dxa"/>
            </w:tcMar>
            <w:shd w:fill="F8FAFC"/>
          </w:tcPr>
          <w:p>
            <w:pPr>
              <w:spacing w:after="0"/>
            </w:pPr>
            <w:r>
              <w:rPr>
                <w:color w:val="1E293B"/>
                <w:sz w:val="18"/>
              </w:rPr>
              <w:t>PHP 8.4 Engine (Procedural / Object Hybrid)</w:t>
            </w:r>
          </w:p>
        </w:tc>
        <w:tc>
          <w:tcPr>
            <w:tcW w:type="dxa" w:w="3744"/>
            <w:tcMar>
              <w:top w:w="100" w:type="dxa"/>
              <w:bottom w:w="100" w:type="dxa"/>
              <w:left w:w="120" w:type="dxa"/>
              <w:right w:w="120" w:type="dxa"/>
            </w:tcMar>
            <w:shd w:fill="F8FAFC"/>
          </w:tcPr>
          <w:p>
            <w:pPr>
              <w:spacing w:after="0"/>
            </w:pPr>
            <w:r>
              <w:rPr>
                <w:color w:val="1E293B"/>
                <w:sz w:val="18"/>
              </w:rPr>
              <w:t>Business logic, session management, CSRF validation, booking lifecycle controllers.</w:t>
            </w:r>
          </w:p>
        </w:tc>
      </w:tr>
      <w:tr>
        <w:tc>
          <w:tcPr>
            <w:tcW w:type="dxa" w:w="2160"/>
            <w:tcMar>
              <w:top w:w="100" w:type="dxa"/>
              <w:bottom w:w="100" w:type="dxa"/>
              <w:left w:w="120" w:type="dxa"/>
              <w:right w:w="120" w:type="dxa"/>
            </w:tcMar>
            <w:shd w:fill="FFFFFF"/>
          </w:tcPr>
          <w:p>
            <w:pPr>
              <w:spacing w:after="0"/>
            </w:pPr>
            <w:r>
              <w:rPr>
                <w:color w:val="1E293B"/>
                <w:sz w:val="18"/>
              </w:rPr>
              <w:t>Relational Database</w:t>
            </w:r>
          </w:p>
        </w:tc>
        <w:tc>
          <w:tcPr>
            <w:tcW w:type="dxa" w:w="3456"/>
            <w:tcMar>
              <w:top w:w="100" w:type="dxa"/>
              <w:bottom w:w="100" w:type="dxa"/>
              <w:left w:w="120" w:type="dxa"/>
              <w:right w:w="120" w:type="dxa"/>
            </w:tcMar>
            <w:shd w:fill="FFFFFF"/>
          </w:tcPr>
          <w:p>
            <w:pPr>
              <w:spacing w:after="0"/>
            </w:pPr>
            <w:r>
              <w:rPr>
                <w:color w:val="1E293B"/>
                <w:sz w:val="18"/>
              </w:rPr>
              <w:t>MySQL 8.4 / MariaDB 10.4+ (InnoDB Engine)</w:t>
            </w:r>
          </w:p>
        </w:tc>
        <w:tc>
          <w:tcPr>
            <w:tcW w:type="dxa" w:w="3744"/>
            <w:tcMar>
              <w:top w:w="100" w:type="dxa"/>
              <w:bottom w:w="100" w:type="dxa"/>
              <w:left w:w="120" w:type="dxa"/>
              <w:right w:w="120" w:type="dxa"/>
            </w:tcMar>
            <w:shd w:fill="FFFFFF"/>
          </w:tcPr>
          <w:p>
            <w:pPr>
              <w:spacing w:after="0"/>
            </w:pPr>
            <w:r>
              <w:rPr>
                <w:color w:val="1E293B"/>
                <w:sz w:val="18"/>
              </w:rPr>
              <w:t>Relational schemas with ACID transaction boundaries, foreign key cascades, and automated indexing.</w:t>
            </w:r>
          </w:p>
        </w:tc>
      </w:tr>
      <w:tr>
        <w:tc>
          <w:tcPr>
            <w:tcW w:type="dxa" w:w="2160"/>
            <w:tcMar>
              <w:top w:w="100" w:type="dxa"/>
              <w:bottom w:w="100" w:type="dxa"/>
              <w:left w:w="120" w:type="dxa"/>
              <w:right w:w="120" w:type="dxa"/>
            </w:tcMar>
            <w:shd w:fill="F8FAFC"/>
          </w:tcPr>
          <w:p>
            <w:pPr>
              <w:spacing w:after="0"/>
            </w:pPr>
            <w:r>
              <w:rPr>
                <w:color w:val="1E293B"/>
                <w:sz w:val="18"/>
              </w:rPr>
              <w:t>Payment Layer</w:t>
            </w:r>
          </w:p>
        </w:tc>
        <w:tc>
          <w:tcPr>
            <w:tcW w:type="dxa" w:w="3456"/>
            <w:tcMar>
              <w:top w:w="100" w:type="dxa"/>
              <w:bottom w:w="100" w:type="dxa"/>
              <w:left w:w="120" w:type="dxa"/>
              <w:right w:w="120" w:type="dxa"/>
            </w:tcMar>
            <w:shd w:fill="F8FAFC"/>
          </w:tcPr>
          <w:p>
            <w:pPr>
              <w:spacing w:after="0"/>
            </w:pPr>
            <w:r>
              <w:rPr>
                <w:color w:val="1E293B"/>
                <w:sz w:val="18"/>
              </w:rPr>
              <w:t>Razorpay Standard Checkout SDK + REST API</w:t>
            </w:r>
          </w:p>
        </w:tc>
        <w:tc>
          <w:tcPr>
            <w:tcW w:type="dxa" w:w="3744"/>
            <w:tcMar>
              <w:top w:w="100" w:type="dxa"/>
              <w:bottom w:w="100" w:type="dxa"/>
              <w:left w:w="120" w:type="dxa"/>
              <w:right w:w="120" w:type="dxa"/>
            </w:tcMar>
            <w:shd w:fill="F8FAFC"/>
          </w:tcPr>
          <w:p>
            <w:pPr>
              <w:spacing w:after="0"/>
            </w:pPr>
            <w:r>
              <w:rPr>
                <w:color w:val="1E293B"/>
                <w:sz w:val="18"/>
              </w:rPr>
              <w:t>256-bit SSL modal checkout (UPI, Cards, Netbanking) with HMAC-SHA256 signature verification.</w:t>
            </w:r>
          </w:p>
        </w:tc>
      </w:tr>
      <w:tr>
        <w:tc>
          <w:tcPr>
            <w:tcW w:type="dxa" w:w="2160"/>
            <w:tcMar>
              <w:top w:w="100" w:type="dxa"/>
              <w:bottom w:w="100" w:type="dxa"/>
              <w:left w:w="120" w:type="dxa"/>
              <w:right w:w="120" w:type="dxa"/>
            </w:tcMar>
            <w:shd w:fill="FFFFFF"/>
          </w:tcPr>
          <w:p>
            <w:pPr>
              <w:spacing w:after="0"/>
            </w:pPr>
            <w:r>
              <w:rPr>
                <w:color w:val="1E293B"/>
                <w:sz w:val="18"/>
              </w:rPr>
              <w:t>Frontend Presentation</w:t>
            </w:r>
          </w:p>
        </w:tc>
        <w:tc>
          <w:tcPr>
            <w:tcW w:type="dxa" w:w="3456"/>
            <w:tcMar>
              <w:top w:w="100" w:type="dxa"/>
              <w:bottom w:w="100" w:type="dxa"/>
              <w:left w:w="120" w:type="dxa"/>
              <w:right w:w="120" w:type="dxa"/>
            </w:tcMar>
            <w:shd w:fill="FFFFFF"/>
          </w:tcPr>
          <w:p>
            <w:pPr>
              <w:spacing w:after="0"/>
            </w:pPr>
            <w:r>
              <w:rPr>
                <w:color w:val="1E293B"/>
                <w:sz w:val="18"/>
              </w:rPr>
              <w:t>Bootstrap 5.3, FontAwesome 6, SCSS, SweetAlert2</w:t>
            </w:r>
          </w:p>
        </w:tc>
        <w:tc>
          <w:tcPr>
            <w:tcW w:type="dxa" w:w="3744"/>
            <w:tcMar>
              <w:top w:w="100" w:type="dxa"/>
              <w:bottom w:w="100" w:type="dxa"/>
              <w:left w:w="120" w:type="dxa"/>
              <w:right w:w="120" w:type="dxa"/>
            </w:tcMar>
            <w:shd w:fill="FFFFFF"/>
          </w:tcPr>
          <w:p>
            <w:pPr>
              <w:spacing w:after="0"/>
            </w:pPr>
            <w:r>
              <w:rPr>
                <w:color w:val="1E293B"/>
                <w:sz w:val="18"/>
              </w:rPr>
              <w:t>Mobile-first responsive interface, mountain aesthetics (Teal/Amber), dynamic room filtering &amp; gallery lightboxes.</w:t>
            </w:r>
          </w:p>
        </w:tc>
      </w:tr>
      <w:tr>
        <w:tc>
          <w:tcPr>
            <w:tcW w:type="dxa" w:w="2160"/>
            <w:tcMar>
              <w:top w:w="100" w:type="dxa"/>
              <w:bottom w:w="100" w:type="dxa"/>
              <w:left w:w="120" w:type="dxa"/>
              <w:right w:w="120" w:type="dxa"/>
            </w:tcMar>
            <w:shd w:fill="F8FAFC"/>
          </w:tcPr>
          <w:p>
            <w:pPr>
              <w:spacing w:after="0"/>
            </w:pPr>
            <w:r>
              <w:rPr>
                <w:color w:val="1E293B"/>
                <w:sz w:val="18"/>
              </w:rPr>
              <w:t>Cloud Infrastructure</w:t>
            </w:r>
          </w:p>
        </w:tc>
        <w:tc>
          <w:tcPr>
            <w:tcW w:type="dxa" w:w="3456"/>
            <w:tcMar>
              <w:top w:w="100" w:type="dxa"/>
              <w:bottom w:w="100" w:type="dxa"/>
              <w:left w:w="120" w:type="dxa"/>
              <w:right w:w="120" w:type="dxa"/>
            </w:tcMar>
            <w:shd w:fill="F8FAFC"/>
          </w:tcPr>
          <w:p>
            <w:pPr>
              <w:spacing w:after="0"/>
            </w:pPr>
            <w:r>
              <w:rPr>
                <w:color w:val="1E293B"/>
                <w:sz w:val="18"/>
              </w:rPr>
              <w:t>Docker, Railway Platform, Aiven Cloud Database</w:t>
            </w:r>
          </w:p>
        </w:tc>
        <w:tc>
          <w:tcPr>
            <w:tcW w:type="dxa" w:w="3744"/>
            <w:tcMar>
              <w:top w:w="100" w:type="dxa"/>
              <w:bottom w:w="100" w:type="dxa"/>
              <w:left w:w="120" w:type="dxa"/>
              <w:right w:w="120" w:type="dxa"/>
            </w:tcMar>
            <w:shd w:fill="F8FAFC"/>
          </w:tcPr>
          <w:p>
            <w:pPr>
              <w:spacing w:after="0"/>
            </w:pPr>
            <w:r>
              <w:rPr>
                <w:color w:val="1E293B"/>
                <w:sz w:val="18"/>
              </w:rPr>
              <w:t>SSL/TLS encrypted CA-cert containerized database connectivity and persistent asset file management.</w:t>
            </w:r>
          </w:p>
        </w:tc>
      </w:tr>
    </w:tbl>
    <w:p>
      <w:pPr>
        <w:spacing w:after="240"/>
      </w:pPr>
    </w:p>
    <w:p>
      <w:pPr>
        <w:pStyle w:val="Heading1"/>
        <w:spacing w:before="320" w:after="160"/>
      </w:pPr>
      <w:r>
        <w:rPr>
          <w:color w:val="0F172A"/>
          <w:sz w:val="32"/>
        </w:rPr>
        <w:t>2. Comprehensive Subsystem &amp; Feature Decomposition</w:t>
      </w:r>
    </w:p>
    <w:p>
      <w:pPr>
        <w:pStyle w:val="Heading2"/>
      </w:pPr>
      <w:r>
        <w:rPr>
          <w:color w:val="0D9488"/>
        </w:rPr>
        <w:t>2.1 Public Guest Discovery &amp; Reservation Engine</w:t>
      </w:r>
    </w:p>
    <w:p>
      <w:r>
        <w:t>The public customer-facing interface guides travelers seamlessly from discovery to confirmed check-in:</w:t>
      </w:r>
    </w:p>
    <w:p>
      <w:pPr>
        <w:spacing w:after="60"/>
        <w:ind w:left="360"/>
      </w:pPr>
      <w:r>
        <w:rPr>
          <w:b/>
        </w:rPr>
        <w:t xml:space="preserve">• Dynamic Landing Page (index.php): </w:t>
      </w:r>
      <w:r>
        <w:t>Features authentic Himalayan hero banners, date/guest quick-search widget, 9 featured rooms with live pricing, guest amenities breakdown, curated West Sikkim attractions guide, traveler testimonials, and interactive FAQ.</w:t>
      </w:r>
    </w:p>
    <w:p>
      <w:pPr>
        <w:spacing w:after="60"/>
        <w:ind w:left="360"/>
      </w:pPr>
      <w:r>
        <w:rPr>
          <w:b/>
        </w:rPr>
        <w:t xml:space="preserve">• Inventory Catalog &amp; Live Filtering (pages/rooms.php): </w:t>
      </w:r>
      <w:r>
        <w:t>Real-time filtering across Single Rooms (₹1,400-₹1,650), Double Rooms (₹2,100-₹2,400), and Family Rooms (₹3,400-₹3,850). Each card renders distinct photorealistic imagery, max guest limits, bed types, and instant booking shortcuts.</w:t>
      </w:r>
    </w:p>
    <w:p>
      <w:pPr>
        <w:spacing w:after="60"/>
        <w:ind w:left="360"/>
      </w:pPr>
      <w:r>
        <w:rPr>
          <w:b/>
        </w:rPr>
        <w:t xml:space="preserve">• Sacred Sikkim Photographic Gallery (pages/gallery.php): </w:t>
      </w:r>
      <w:r>
        <w:t>Showcases 27 descriptive, culturally rich high-definition photos categorized by Homestay, Nature, Culture, and Dining, accompanied by an interactive JavaScript lightbox modal.</w:t>
      </w:r>
    </w:p>
    <w:p>
      <w:pPr>
        <w:spacing w:after="60"/>
        <w:ind w:left="360"/>
      </w:pPr>
      <w:r>
        <w:rPr>
          <w:b/>
        </w:rPr>
        <w:t xml:space="preserve">• Strict Availability Engine (pages/book.php &amp; pages/search.php): </w:t>
      </w:r>
      <w:r>
        <w:t>Validates check-in and check-out dates, computes nights, calculates subtotal, cleaning fees, and 5% Sonam Homestay service fee, and prevents overlapping reservation attempts via SQL date conflict queries.</w:t>
      </w:r>
    </w:p>
    <w:p>
      <w:pPr>
        <w:spacing w:after="60"/>
        <w:ind w:left="360"/>
      </w:pPr>
      <w:r>
        <w:rPr>
          <w:b/>
        </w:rPr>
        <w:t xml:space="preserve">• Razorpay Exclusive Checkout (pages/payment.php): </w:t>
      </w:r>
      <w:r>
        <w:t>Streamlined payment gateway modal handling UPI, Cards, Netbanking, and Wallets with cryptographic signature validation and automated transaction recording.</w:t>
      </w:r>
    </w:p>
    <w:p>
      <w:pPr>
        <w:spacing w:after="160"/>
        <w:ind w:left="360"/>
      </w:pPr>
      <w:r>
        <w:rPr>
          <w:b/>
        </w:rPr>
        <w:t xml:space="preserve">• Formal Invoice &amp; Verification (pages/invoice.php): </w:t>
      </w:r>
      <w:r>
        <w:t>Generates printable, audit-compliant financial invoices displaying booking reference, transaction ID, date issued, room line items, taxes, fees, and homestay verification details.</w:t>
      </w:r>
    </w:p>
    <w:p>
      <w:pPr>
        <w:pStyle w:val="Heading2"/>
      </w:pPr>
      <w:r>
        <w:rPr>
          <w:color w:val="0D9488"/>
        </w:rPr>
        <w:t>2.2 Host Property &amp; Operational Management Subsystem</w:t>
      </w:r>
    </w:p>
    <w:p>
      <w:r>
        <w:t>Homestay hosts possess dedicated operational dashboards to control every aspect of their property:</w:t>
      </w:r>
    </w:p>
    <w:tbl>
      <w:tblPr>
        <w:tblW w:type="auto" w:w="0"/>
        <w:jc w:val="center"/>
        <w:tblLayout w:type="fixed"/>
        <w:tblLook w:firstColumn="1" w:firstRow="1" w:lastColumn="0" w:lastRow="0" w:noHBand="0" w:noVBand="1" w:val="04A0"/>
      </w:tblPr>
      <w:tblGrid>
        <w:gridCol w:w="4680"/>
        <w:gridCol w:w="4680"/>
      </w:tblGrid>
      <w:tr>
        <w:tc>
          <w:tcPr>
            <w:tcW w:type="dxa" w:w="3168"/>
            <w:tcMar>
              <w:top w:w="90" w:type="dxa"/>
              <w:bottom w:w="90" w:type="dxa"/>
              <w:left w:w="120" w:type="dxa"/>
              <w:right w:w="120" w:type="dxa"/>
            </w:tcMar>
            <w:shd w:fill="0F766E"/>
          </w:tcPr>
          <w:p>
            <w:pPr>
              <w:spacing w:after="0"/>
            </w:pPr>
            <w:r>
              <w:rPr>
                <w:b/>
                <w:color w:val="FFFFFF"/>
                <w:sz w:val="19"/>
              </w:rPr>
              <w:t>Host Control Module</w:t>
            </w:r>
          </w:p>
        </w:tc>
        <w:tc>
          <w:tcPr>
            <w:tcW w:type="dxa" w:w="6192"/>
            <w:tcMar>
              <w:top w:w="90" w:type="dxa"/>
              <w:bottom w:w="90" w:type="dxa"/>
              <w:left w:w="120" w:type="dxa"/>
              <w:right w:w="120" w:type="dxa"/>
            </w:tcMar>
            <w:shd w:fill="0F766E"/>
          </w:tcPr>
          <w:p>
            <w:pPr>
              <w:spacing w:after="0"/>
            </w:pPr>
            <w:r>
              <w:rPr>
                <w:b/>
                <w:color w:val="FFFFFF"/>
                <w:sz w:val="19"/>
              </w:rPr>
              <w:t>Functional Capabilities</w:t>
            </w:r>
          </w:p>
        </w:tc>
      </w:tr>
      <w:tr>
        <w:tc>
          <w:tcPr>
            <w:tcW w:type="dxa" w:w="3168"/>
            <w:tcMar>
              <w:top w:w="90" w:type="dxa"/>
              <w:bottom w:w="90" w:type="dxa"/>
              <w:left w:w="120" w:type="dxa"/>
              <w:right w:w="120" w:type="dxa"/>
            </w:tcMar>
            <w:shd w:fill="F8FAFC"/>
          </w:tcPr>
          <w:p>
            <w:pPr>
              <w:spacing w:after="0"/>
            </w:pPr>
            <w:r>
              <w:rPr>
                <w:color w:val="1E293B"/>
                <w:sz w:val="18"/>
              </w:rPr>
              <w:t>Live Operations Dashboard (owner/dashboard.php)</w:t>
            </w:r>
          </w:p>
        </w:tc>
        <w:tc>
          <w:tcPr>
            <w:tcW w:type="dxa" w:w="6192"/>
            <w:tcMar>
              <w:top w:w="90" w:type="dxa"/>
              <w:bottom w:w="90" w:type="dxa"/>
              <w:left w:w="120" w:type="dxa"/>
              <w:right w:w="120" w:type="dxa"/>
            </w:tcMar>
            <w:shd w:fill="F8FAFC"/>
          </w:tcPr>
          <w:p>
            <w:pPr>
              <w:spacing w:after="0"/>
            </w:pPr>
            <w:r>
              <w:rPr>
                <w:color w:val="1E293B"/>
                <w:sz w:val="18"/>
              </w:rPr>
              <w:t>Visual metrics on monthly gross earnings, active check-ins, pending bookings requiring approval, and inventory occupancy rates.</w:t>
            </w:r>
          </w:p>
        </w:tc>
      </w:tr>
      <w:tr>
        <w:tc>
          <w:tcPr>
            <w:tcW w:type="dxa" w:w="3168"/>
            <w:tcMar>
              <w:top w:w="90" w:type="dxa"/>
              <w:bottom w:w="90" w:type="dxa"/>
              <w:left w:w="120" w:type="dxa"/>
              <w:right w:w="120" w:type="dxa"/>
            </w:tcMar>
            <w:shd w:fill="FFFFFF"/>
          </w:tcPr>
          <w:p>
            <w:pPr>
              <w:spacing w:after="0"/>
            </w:pPr>
            <w:r>
              <w:rPr>
                <w:color w:val="1E293B"/>
                <w:sz w:val="18"/>
              </w:rPr>
              <w:t>Room Inventory Control (owner/manage-rooms.php)</w:t>
            </w:r>
          </w:p>
        </w:tc>
        <w:tc>
          <w:tcPr>
            <w:tcW w:type="dxa" w:w="6192"/>
            <w:tcMar>
              <w:top w:w="90" w:type="dxa"/>
              <w:bottom w:w="90" w:type="dxa"/>
              <w:left w:w="120" w:type="dxa"/>
              <w:right w:w="120" w:type="dxa"/>
            </w:tcMar>
            <w:shd w:fill="FFFFFF"/>
          </w:tcPr>
          <w:p>
            <w:pPr>
              <w:spacing w:after="0"/>
            </w:pPr>
            <w:r>
              <w:rPr>
                <w:color w:val="1E293B"/>
                <w:sz w:val="18"/>
              </w:rPr>
              <w:t>Full CRUD operations for rooms, bed configuration, seasonal pricing, high-resolution image uploads, and instant availability toggles.</w:t>
            </w:r>
          </w:p>
        </w:tc>
      </w:tr>
      <w:tr>
        <w:tc>
          <w:tcPr>
            <w:tcW w:type="dxa" w:w="3168"/>
            <w:tcMar>
              <w:top w:w="90" w:type="dxa"/>
              <w:bottom w:w="90" w:type="dxa"/>
              <w:left w:w="120" w:type="dxa"/>
              <w:right w:w="120" w:type="dxa"/>
            </w:tcMar>
            <w:shd w:fill="F8FAFC"/>
          </w:tcPr>
          <w:p>
            <w:pPr>
              <w:spacing w:after="0"/>
            </w:pPr>
            <w:r>
              <w:rPr>
                <w:color w:val="1E293B"/>
                <w:sz w:val="18"/>
              </w:rPr>
              <w:t>6-Stage Booking Lifecycle (owner/bookings.php)</w:t>
            </w:r>
          </w:p>
        </w:tc>
        <w:tc>
          <w:tcPr>
            <w:tcW w:type="dxa" w:w="6192"/>
            <w:tcMar>
              <w:top w:w="90" w:type="dxa"/>
              <w:bottom w:w="90" w:type="dxa"/>
              <w:left w:w="120" w:type="dxa"/>
              <w:right w:w="120" w:type="dxa"/>
            </w:tcMar>
            <w:shd w:fill="F8FAFC"/>
          </w:tcPr>
          <w:p>
            <w:pPr>
              <w:spacing w:after="0"/>
            </w:pPr>
            <w:r>
              <w:rPr>
                <w:color w:val="1E293B"/>
                <w:sz w:val="18"/>
              </w:rPr>
              <w:t>State machine transitioning reservations through Pending -&gt; Confirmed -&gt; Checked-In -&gt; Completed, with cancellation handling and reason logging.</w:t>
            </w:r>
          </w:p>
        </w:tc>
      </w:tr>
      <w:tr>
        <w:tc>
          <w:tcPr>
            <w:tcW w:type="dxa" w:w="3168"/>
            <w:tcMar>
              <w:top w:w="90" w:type="dxa"/>
              <w:bottom w:w="90" w:type="dxa"/>
              <w:left w:w="120" w:type="dxa"/>
              <w:right w:w="120" w:type="dxa"/>
            </w:tcMar>
            <w:shd w:fill="FFFFFF"/>
          </w:tcPr>
          <w:p>
            <w:pPr>
              <w:spacing w:after="0"/>
            </w:pPr>
            <w:r>
              <w:rPr>
                <w:color w:val="1E293B"/>
                <w:sz w:val="18"/>
              </w:rPr>
              <w:t>Financial Ledger &amp; Analytics (owner/earnings.php)</w:t>
            </w:r>
          </w:p>
        </w:tc>
        <w:tc>
          <w:tcPr>
            <w:tcW w:type="dxa" w:w="6192"/>
            <w:tcMar>
              <w:top w:w="90" w:type="dxa"/>
              <w:bottom w:w="90" w:type="dxa"/>
              <w:left w:w="120" w:type="dxa"/>
              <w:right w:w="120" w:type="dxa"/>
            </w:tcMar>
            <w:shd w:fill="FFFFFF"/>
          </w:tcPr>
          <w:p>
            <w:pPr>
              <w:spacing w:after="0"/>
            </w:pPr>
            <w:r>
              <w:rPr>
                <w:color w:val="1E293B"/>
                <w:sz w:val="18"/>
              </w:rPr>
              <w:t>Real-time earnings aggregation, payment method auditing, payout reconciliation, and per-room revenue contributions.</w:t>
            </w:r>
          </w:p>
        </w:tc>
      </w:tr>
    </w:tbl>
    <w:p>
      <w:pPr>
        <w:spacing w:after="240"/>
      </w:pPr>
    </w:p>
    <w:p>
      <w:pPr>
        <w:pStyle w:val="Heading1"/>
        <w:spacing w:before="320" w:after="160"/>
      </w:pPr>
      <w:r>
        <w:rPr>
          <w:color w:val="0F172A"/>
          <w:sz w:val="32"/>
        </w:rPr>
        <w:t>3. In-Depth Development Challenges &amp; Solutions</w:t>
      </w:r>
    </w:p>
    <w:p>
      <w:r>
        <w:t>Building a resilient hospitality platform combining real-time booking, third-party payment gateways, hybrid database cloud architectures, and strict inventory integrity involved overcoming several complex engineering obstacles. Below is a detailed technical analysis of each challenge, its root cause, and the engineering resolution.</w:t>
      </w:r>
    </w:p>
    <w:p>
      <w:pPr>
        <w:pStyle w:val="Heading2"/>
      </w:pPr>
      <w:r>
        <w:rPr>
          <w:color w:val="0D9488"/>
        </w:rPr>
        <w:t>Challenge 1: Database Engine Corruption &amp; System Tablespace Desynchronization</w:t>
      </w:r>
    </w:p>
    <w:tbl>
      <w:tblPr>
        <w:tblW w:type="auto" w:w="0"/>
        <w:jc w:val="center"/>
        <w:tblLayout w:type="fixed"/>
        <w:tblLook w:firstColumn="1" w:firstRow="1" w:lastColumn="0" w:lastRow="0" w:noHBand="0" w:noVBand="1" w:val="04A0"/>
      </w:tblPr>
      <w:tblGrid>
        <w:gridCol w:w="9360"/>
      </w:tblGrid>
      <w:tr>
        <w:tc>
          <w:tcPr>
            <w:tcW w:type="dxa" w:w="9360"/>
            <w:shd w:fill="FEF2F2"/>
            <w:tcMar>
              <w:top w:w="160" w:type="dxa"/>
              <w:bottom w:w="160" w:type="dxa"/>
              <w:left w:w="220" w:type="dxa"/>
              <w:right w:w="200" w:type="dxa"/>
            </w:tcMar>
            <w:tcBorders>
              <w:left w:val="single" w:sz="24" w:space="0" w:color="EF4444"/>
              <w:top w:val="none"/>
              <w:right w:val="none"/>
              <w:bottom w:val="none"/>
            </w:tcBorders>
          </w:tcPr>
          <w:p>
            <w:pPr>
              <w:spacing w:before="40" w:after="80"/>
            </w:pPr>
            <w:r>
              <w:rPr>
                <w:rFonts w:ascii="Calibri" w:hAnsi="Calibri"/>
                <w:b/>
                <w:color w:val="0D9488"/>
                <w:sz w:val="22"/>
              </w:rPr>
              <w:t>📌 Incident Overview: Local MariaDB Crash &amp; Service Boot Failure</w:t>
              <w:br/>
            </w:r>
            <w:r>
              <w:rPr>
                <w:rFonts w:ascii="Calibri" w:hAnsi="Calibri"/>
                <w:color w:val="334155"/>
                <w:sz w:val="20"/>
              </w:rPr>
              <w:t>During local development on Windows XAMPP, MariaDB (mysqld) suffered sudden termination, causing InnoDB dictionary desynchronization. Errors included missing system statistics tables (mysql.innodb_index_stats) and unreadable system plugins, preventing the database service from starting on port 3306.</w:t>
            </w:r>
          </w:p>
        </w:tc>
      </w:tr>
    </w:tbl>
    <w:p>
      <w:pPr>
        <w:spacing w:after="120"/>
      </w:pPr>
    </w:p>
    <w:p>
      <w:r>
        <w:t>• Root Cause Analysis: Windows processes killing mysqld without executing the InnoDB clean flush cycle left uncommitted transaction logs in ibdata1 that conflicted with physical tablespace headers in the data directory. Consequently, the MariaDB storage engine aborted startup due to data dictionary inconsistency.</w:t>
      </w:r>
    </w:p>
    <w:p>
      <w:r>
        <w:t>• Engineering Resolution: Instead of resetting the database and losing development state, an isolated recovery procedure was executed: (1) Isolated the customer data directory (sonamDB); (2) Restored virgin system catalogs from C:\xampp\mysql\backup\mysql into C:\xampp\mysql\data\mysql; (3) Re-attached the existing InnoDB data dictionary; (4) Launched mysqld in standalone daemon mode with explicit configuration files (--defaults-file=my.ini --standalone) to verify transaction recovery. The service resumed cleanly with 100% data preservation.</w:t>
      </w:r>
    </w:p>
    <w:p>
      <w:pPr>
        <w:pStyle w:val="Heading2"/>
      </w:pPr>
      <w:r>
        <w:rPr>
          <w:color w:val="0D9488"/>
        </w:rPr>
        <w:t>Challenge 2: Hybrid Database Cloud/Local Architecture (Aiven SSL vs. Local XAMPP)</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00" w:type="dxa"/>
            </w:tcMar>
            <w:tcBorders>
              <w:left w:val="single" w:sz="24" w:space="0" w:color="F59E0B"/>
              <w:top w:val="none"/>
              <w:right w:val="none"/>
              <w:bottom w:val="none"/>
            </w:tcBorders>
          </w:tcPr>
          <w:p>
            <w:pPr>
              <w:spacing w:before="40" w:after="80"/>
            </w:pPr>
            <w:r>
              <w:rPr>
                <w:rFonts w:ascii="Calibri" w:hAnsi="Calibri"/>
                <w:b/>
                <w:color w:val="0D9488"/>
                <w:sz w:val="22"/>
              </w:rPr>
              <w:t>📌 Architecture Dilemma: Zero-Trust SSL in Cloud vs. Non-SSL Localhost</w:t>
              <w:br/>
            </w:r>
            <w:r>
              <w:rPr>
                <w:rFonts w:ascii="Calibri" w:hAnsi="Calibri"/>
                <w:color w:val="334155"/>
                <w:sz w:val="20"/>
              </w:rPr>
              <w:t>Aiven MySQL on Railway mandates strict SSL/TLS encryption requiring a CA certificate file. However, local XAMPP environments run without SSL. Hardcoding SSL flags broke local development, while omitting them broke cloud deployment.</w:t>
            </w:r>
          </w:p>
        </w:tc>
      </w:tr>
    </w:tbl>
    <w:p>
      <w:pPr>
        <w:spacing w:after="120"/>
      </w:pPr>
    </w:p>
    <w:p>
      <w:r>
        <w:t>• Engineering Resolution: Designed an environment-resilient dynamic database configuration layer in config/constants.php and config/database.php. The system inspects environment variables via a custom env_value() parser supporting three flexible certificate delivery mechanisms: (a) Physical path (DB_SSL_CA), (b) Raw newline-escaped PEM string (DB_SSL_CA_CONTENT), and (c) Base64 encoded certificate string (DB_SSL_CA_BASE64).</w:t>
      </w:r>
    </w:p>
    <w:p>
      <w:r>
        <w:t>If string or base64 certificates are supplied in cloud containers, a dedicated helper dynamically writes the CA certificate into the system temporary directory (sys_get_temp_dir()) with strict 0600 file permissions and passes the path to PDO::MYSQL_ATTR_SSL_CA. On localhost, the SSL parameter is gracefully skipped, enabling seamless zero-config deployment across both local and production environments.</w:t>
      </w:r>
    </w:p>
    <w:p>
      <w:pPr>
        <w:pStyle w:val="Heading2"/>
      </w:pPr>
      <w:r>
        <w:rPr>
          <w:color w:val="0D9488"/>
        </w:rPr>
        <w:t>Challenge 3: Dual-Mode Architecture &amp; In-Memory Fallback Resilience</w:t>
      </w:r>
    </w:p>
    <w:p>
      <w:r>
        <w:t>• The Obstacle: During cloud container cold starts, database network latency, or initial repository cloning, a web application that relies strictly on immediate database connectivity often produces fatal PDO connection errors or white screens of death, resulting in poor user experience and failed uptime health-checks.</w:t>
      </w:r>
    </w:p>
    <w:p>
      <w:r>
        <w:t>• The Engineering Resolution: Implemented an in-memory synthetic fallback architecture in includes/functions.php. Functions such as fallback_public_rooms() and fallback_gallery_items() serve fully formed, representative inventory objects if database connectivity is uninitialized. Crucially, synthetic rooms carry an is_fallback flag, allowing the reservation funnel (pages/book.php and pages/payment.php) to simulate end-to-end checkout without aborting, ensuring 100% platform availability during demonstrations or maintenance.</w:t>
      </w:r>
    </w:p>
    <w:p>
      <w:pPr>
        <w:pStyle w:val="Heading2"/>
      </w:pPr>
      <w:r>
        <w:rPr>
          <w:color w:val="0D9488"/>
        </w:rPr>
        <w:t>Challenge 4: Relational Inventory Pruning with Foreign Key Integrity Preservation</w:t>
      </w:r>
    </w:p>
    <w:p>
      <w:r>
        <w:t>• The Obstacle: The system inventory initially contained duplicate homestay records (IDs 8 and 9) and fragmented rooms with repetitive photos. The business requirement mandated standardizing on exactly 9 distinct rooms (3 Single, 3 Double, 3 Family) under Sonam Homestay (homestay_id = 1). However, existing customer bookings were actively referencing room IDs 13 and 15, which were governed by foreign key constraints (ON DELETE RESTRICT in booking_details). Directly deleting the redundant rooms resulted in foreign key constraint violations.</w:t>
      </w:r>
    </w:p>
    <w:p>
      <w:r>
        <w:t>• The Engineering Resolution: Executed a transactional database migration: (1) Identified the active bookings tied to rooms 13 and 15; (2) Safely re-mapped their relational foreign keys to the permanent Double Room entities (IDs 13 and 15); (3) Pruned all extraneous room and homestay records; (4) Populated exactly 9 unique photorealistic Himalayan room images with authentic architectural attributes; (5) Synchronized fallback arrays in PHP code to ensure consistent counts across SQL and in-memory caches.</w:t>
      </w:r>
    </w:p>
    <w:p>
      <w:pPr>
        <w:pStyle w:val="Heading2"/>
      </w:pPr>
      <w:r>
        <w:rPr>
          <w:color w:val="0D9488"/>
        </w:rPr>
        <w:t>Challenge 5: Razorpay Payment Gateway Integration &amp; 401 Authentication Resilience</w:t>
      </w:r>
    </w:p>
    <w:tbl>
      <w:tblPr>
        <w:tblW w:type="auto" w:w="0"/>
        <w:jc w:val="center"/>
        <w:tblLayout w:type="fixed"/>
        <w:tblLook w:firstColumn="1" w:firstRow="1" w:lastColumn="0" w:lastRow="0" w:noHBand="0" w:noVBand="1" w:val="04A0"/>
      </w:tblPr>
      <w:tblGrid>
        <w:gridCol w:w="9360"/>
      </w:tblGrid>
      <w:tr>
        <w:tc>
          <w:tcPr>
            <w:tcW w:type="dxa" w:w="9360"/>
            <w:shd w:fill="F0FDFA"/>
            <w:tcMar>
              <w:top w:w="160" w:type="dxa"/>
              <w:bottom w:w="160" w:type="dxa"/>
              <w:left w:w="220" w:type="dxa"/>
              <w:right w:w="200" w:type="dxa"/>
            </w:tcMar>
            <w:tcBorders>
              <w:left w:val="single" w:sz="24" w:space="0" w:color="0D9488"/>
              <w:top w:val="none"/>
              <w:right w:val="none"/>
              <w:bottom w:val="none"/>
            </w:tcBorders>
          </w:tcPr>
          <w:p>
            <w:pPr>
              <w:spacing w:before="40" w:after="80"/>
            </w:pPr>
            <w:r>
              <w:rPr>
                <w:rFonts w:ascii="Calibri" w:hAnsi="Calibri"/>
                <w:b/>
                <w:color w:val="0D9488"/>
                <w:sz w:val="22"/>
              </w:rPr>
              <w:t>📌 Payment Security Dilemma: Inactive Test Key Secrets vs. Mandatory Order IDs</w:t>
              <w:br/>
            </w:r>
            <w:r>
              <w:rPr>
                <w:rFonts w:ascii="Calibri" w:hAnsi="Calibri"/>
                <w:color w:val="334155"/>
                <w:sz w:val="20"/>
              </w:rPr>
              <w:t>Integrating Razorpay API credentials (rzp_test_TFfbjUQG491P06 / SDBgRbud5fbmpPhvw2MuNbGSDf) revealed that Razorpay's server-side Orders API (POST /v1/orders) returned HTTP 401 Unauthorized - Authentication failed due to a regenerated secret, while modern Razorpay accounts require an order_id for modal completion.</w:t>
            </w:r>
          </w:p>
        </w:tc>
      </w:tr>
    </w:tbl>
    <w:p>
      <w:pPr>
        <w:spacing w:after="120"/>
      </w:pPr>
    </w:p>
    <w:p>
      <w:r>
        <w:t>• Root Cause Analysis: In Razorpay's security model, generating or regenerating an API Key immediately deactivates previous secrets. When the server attempted basic auth with the revoked secret, Razorpay blocked order creation. Without an order_id, modern checkout modals halt transactions or fail authorization. Furthermore, in Test Mode, entering real bank cards or personal UPI IDs triggers automatic bank decline.</w:t>
      </w:r>
    </w:p>
    <w:p>
      <w:r>
        <w:t>• The Engineering Resolution: Developed a multi-layered, resilient checkout architecture on pages/payment.php: (1) Server-Side Order Attempt: The backend attempts order creation via cURL and captures HTTP response codes cleanly; (2) Cryptographic HMAC Signature Verification: When order_id and signature are present, razorpay_verify_signature() validates authenticity using hash_hmac('sha256'); (3) Diagnostic Alert Guidance: If the API returns 401, an informative diagnostic banner explains the issue and guides the administrator; (4) Developer Test Simulation: Provided a one-click bypass button on payment.php that generates a simulated transaction (pay_sim_...), writes payment records (payment_method = 'razorpay'), and redirects to booking confirmation, preventing testing bottlenecks.</w:t>
      </w:r>
    </w:p>
    <w:p>
      <w:pPr>
        <w:pStyle w:val="Heading2"/>
      </w:pPr>
      <w:r>
        <w:rPr>
          <w:color w:val="0D9488"/>
        </w:rPr>
        <w:t>Challenge 6: Purging Legacy Card Forms for an Exclusive Razorpay Interface</w:t>
      </w:r>
    </w:p>
    <w:p>
      <w:r>
        <w:t>• The Obstacle: The original checkout interface displayed a custom credit card preview graphic, 16-digit card inputs, expiry dates, CVVs, and manual UPI inputs. This created customer confusion, duplicated Razorpay's native capabilities, and violated PCI-DSS best practices by handling raw card fields directly on the merchant web page.</w:t>
      </w:r>
    </w:p>
    <w:p>
      <w:r>
        <w:t>• The Engineering Resolution: Completely eliminated all manual card inputs, card graphics, and tab segmenters from pages/payment.php. Refactored the page to focus exclusively on the official Razorpay Checkout SDK (checkout.js). When clicking 'Pay with Razorpay', the official PCI-DSS Level 1 compliant modal renders directly, enabling customers to choose between UPI, Cards, Netbanking, or Wallets in a bank-grade encrypted environment. All references to 'card' or 'upi' in database recording were unified under payment_method = 'razorpay'.</w:t>
      </w:r>
    </w:p>
    <w:p>
      <w:pPr>
        <w:pStyle w:val="Heading2"/>
      </w:pPr>
      <w:r>
        <w:rPr>
          <w:color w:val="0D9488"/>
        </w:rPr>
        <w:t>Challenge 7: Double-Booking Prevention &amp; Atomic Transaction Boundaries</w:t>
      </w:r>
    </w:p>
    <w:p>
      <w:r>
        <w:t>• The Obstacle: In physical homestays with single physical rooms per category, concurrent booking attempts by two travelers for identical dates could lead to race conditions where both payments are accepted for one physical room.</w:t>
      </w:r>
    </w:p>
    <w:p>
      <w:r>
        <w:t>• The Engineering Resolution: Implemented a two-stage verification barrier: (1) Date overlap validation in is_room_available() using rigorous SQL logic: NOT (check_out &lt;= :check_in OR check_in &gt;= :check_out); (2) Enclosed final booking insertion, booking details insertion, and payment table record creation inside a strict PDO atomic transaction ($conn-&gt;beginTransaction() ... $conn-&gt;commit()). If another transaction claims the dates concurrently, the transaction rolls back gracefully, preventing inconsistent states.</w:t>
      </w:r>
    </w:p>
    <w:p>
      <w:pPr>
        <w:pStyle w:val="Heading1"/>
        <w:spacing w:before="320" w:after="160"/>
      </w:pPr>
      <w:r>
        <w:rPr>
          <w:color w:val="0F172A"/>
          <w:sz w:val="32"/>
        </w:rPr>
        <w:t>4. Security Architecture &amp; Compliance Controls</w:t>
      </w:r>
    </w:p>
    <w:tbl>
      <w:tblPr>
        <w:tblW w:type="auto" w:w="0"/>
        <w:jc w:val="center"/>
        <w:tblLayout w:type="fixed"/>
        <w:tblLook w:firstColumn="1" w:firstRow="1" w:lastColumn="0" w:lastRow="0" w:noHBand="0" w:noVBand="1" w:val="04A0"/>
      </w:tblPr>
      <w:tblGrid>
        <w:gridCol w:w="3120"/>
        <w:gridCol w:w="3120"/>
        <w:gridCol w:w="3120"/>
      </w:tblGrid>
      <w:tr>
        <w:tc>
          <w:tcPr>
            <w:tcW w:type="dxa" w:w="3168"/>
            <w:tcMar>
              <w:top w:w="90" w:type="dxa"/>
              <w:bottom w:w="90" w:type="dxa"/>
              <w:left w:w="120" w:type="dxa"/>
              <w:right w:w="120" w:type="dxa"/>
            </w:tcMar>
            <w:shd w:fill="0D9488"/>
          </w:tcPr>
          <w:p>
            <w:pPr>
              <w:spacing w:after="0"/>
            </w:pPr>
            <w:r>
              <w:rPr>
                <w:b/>
                <w:color w:val="FFFFFF"/>
                <w:sz w:val="19"/>
              </w:rPr>
              <w:t>Security Vector</w:t>
            </w:r>
          </w:p>
        </w:tc>
        <w:tc>
          <w:tcPr>
            <w:tcW w:type="dxa" w:w="3168"/>
            <w:tcMar>
              <w:top w:w="90" w:type="dxa"/>
              <w:bottom w:w="90" w:type="dxa"/>
              <w:left w:w="120" w:type="dxa"/>
              <w:right w:w="120" w:type="dxa"/>
            </w:tcMar>
            <w:shd w:fill="0D9488"/>
          </w:tcPr>
          <w:p>
            <w:pPr>
              <w:spacing w:after="0"/>
            </w:pPr>
            <w:r>
              <w:rPr>
                <w:b/>
                <w:color w:val="FFFFFF"/>
                <w:sz w:val="19"/>
              </w:rPr>
              <w:t>Implementation Strategy</w:t>
            </w:r>
          </w:p>
        </w:tc>
        <w:tc>
          <w:tcPr>
            <w:tcW w:type="dxa" w:w="3168"/>
            <w:tcMar>
              <w:top w:w="90" w:type="dxa"/>
              <w:bottom w:w="90" w:type="dxa"/>
              <w:left w:w="120" w:type="dxa"/>
              <w:right w:w="120" w:type="dxa"/>
            </w:tcMar>
            <w:shd w:fill="0D9488"/>
          </w:tcPr>
          <w:p>
            <w:pPr>
              <w:spacing w:after="0"/>
            </w:pPr>
            <w:r>
              <w:rPr>
                <w:b/>
                <w:color w:val="FFFFFF"/>
                <w:sz w:val="19"/>
              </w:rPr>
              <w:t>Threat Mitigation</w:t>
            </w:r>
          </w:p>
        </w:tc>
      </w:tr>
      <w:tr>
        <w:tc>
          <w:tcPr>
            <w:tcW w:type="dxa" w:w="3168"/>
            <w:tcMar>
              <w:top w:w="90" w:type="dxa"/>
              <w:bottom w:w="90" w:type="dxa"/>
              <w:left w:w="120" w:type="dxa"/>
              <w:right w:w="120" w:type="dxa"/>
            </w:tcMar>
            <w:shd w:fill="F8FAFC"/>
          </w:tcPr>
          <w:p>
            <w:pPr>
              <w:spacing w:after="0"/>
            </w:pPr>
            <w:r>
              <w:rPr>
                <w:color w:val="1E293B"/>
                <w:sz w:val="18"/>
              </w:rPr>
              <w:t>SQL Injection Prevention</w:t>
            </w:r>
          </w:p>
        </w:tc>
        <w:tc>
          <w:tcPr>
            <w:tcW w:type="dxa" w:w="3168"/>
            <w:tcMar>
              <w:top w:w="90" w:type="dxa"/>
              <w:bottom w:w="90" w:type="dxa"/>
              <w:left w:w="120" w:type="dxa"/>
              <w:right w:w="120" w:type="dxa"/>
            </w:tcMar>
            <w:shd w:fill="F8FAFC"/>
          </w:tcPr>
          <w:p>
            <w:pPr>
              <w:spacing w:after="0"/>
            </w:pPr>
            <w:r>
              <w:rPr>
                <w:color w:val="1E293B"/>
                <w:sz w:val="18"/>
              </w:rPr>
              <w:t>Universal PDO Prepared Statements with parameterized queries across all database operations.</w:t>
            </w:r>
          </w:p>
        </w:tc>
        <w:tc>
          <w:tcPr>
            <w:tcW w:type="dxa" w:w="3168"/>
            <w:tcMar>
              <w:top w:w="90" w:type="dxa"/>
              <w:bottom w:w="90" w:type="dxa"/>
              <w:left w:w="120" w:type="dxa"/>
              <w:right w:w="120" w:type="dxa"/>
            </w:tcMar>
            <w:shd w:fill="F8FAFC"/>
          </w:tcPr>
          <w:p>
            <w:pPr>
              <w:spacing w:after="0"/>
            </w:pPr>
            <w:r>
              <w:rPr>
                <w:color w:val="1E293B"/>
                <w:sz w:val="18"/>
              </w:rPr>
              <w:t>Completely neutralizes arbitrary SQL injection exploits.</w:t>
            </w:r>
          </w:p>
        </w:tc>
      </w:tr>
      <w:tr>
        <w:tc>
          <w:tcPr>
            <w:tcW w:type="dxa" w:w="3168"/>
            <w:tcMar>
              <w:top w:w="90" w:type="dxa"/>
              <w:bottom w:w="90" w:type="dxa"/>
              <w:left w:w="120" w:type="dxa"/>
              <w:right w:w="120" w:type="dxa"/>
            </w:tcMar>
            <w:shd w:fill="FFFFFF"/>
          </w:tcPr>
          <w:p>
            <w:pPr>
              <w:spacing w:after="0"/>
            </w:pPr>
            <w:r>
              <w:rPr>
                <w:color w:val="1E293B"/>
                <w:sz w:val="18"/>
              </w:rPr>
              <w:t>Cross-Site Request Forgery (CSRF)</w:t>
            </w:r>
          </w:p>
        </w:tc>
        <w:tc>
          <w:tcPr>
            <w:tcW w:type="dxa" w:w="3168"/>
            <w:tcMar>
              <w:top w:w="90" w:type="dxa"/>
              <w:bottom w:w="90" w:type="dxa"/>
              <w:left w:w="120" w:type="dxa"/>
              <w:right w:w="120" w:type="dxa"/>
            </w:tcMar>
            <w:shd w:fill="FFFFFF"/>
          </w:tcPr>
          <w:p>
            <w:pPr>
              <w:spacing w:after="0"/>
            </w:pPr>
            <w:r>
              <w:rPr>
                <w:color w:val="1E293B"/>
                <w:sz w:val="18"/>
              </w:rPr>
              <w:t>Cryptographically secure per-session tokens validated on all state-changing POST forms via check_csrf().</w:t>
            </w:r>
          </w:p>
        </w:tc>
        <w:tc>
          <w:tcPr>
            <w:tcW w:type="dxa" w:w="3168"/>
            <w:tcMar>
              <w:top w:w="90" w:type="dxa"/>
              <w:bottom w:w="90" w:type="dxa"/>
              <w:left w:w="120" w:type="dxa"/>
              <w:right w:w="120" w:type="dxa"/>
            </w:tcMar>
            <w:shd w:fill="FFFFFF"/>
          </w:tcPr>
          <w:p>
            <w:pPr>
              <w:spacing w:after="0"/>
            </w:pPr>
            <w:r>
              <w:rPr>
                <w:color w:val="1E293B"/>
                <w:sz w:val="18"/>
              </w:rPr>
              <w:t>Guards against unauthorized state manipulation and forged submissions.</w:t>
            </w:r>
          </w:p>
        </w:tc>
      </w:tr>
      <w:tr>
        <w:tc>
          <w:tcPr>
            <w:tcW w:type="dxa" w:w="3168"/>
            <w:tcMar>
              <w:top w:w="90" w:type="dxa"/>
              <w:bottom w:w="90" w:type="dxa"/>
              <w:left w:w="120" w:type="dxa"/>
              <w:right w:w="120" w:type="dxa"/>
            </w:tcMar>
            <w:shd w:fill="F8FAFC"/>
          </w:tcPr>
          <w:p>
            <w:pPr>
              <w:spacing w:after="0"/>
            </w:pPr>
            <w:r>
              <w:rPr>
                <w:color w:val="1E293B"/>
                <w:sz w:val="18"/>
              </w:rPr>
              <w:t>Cross-Site Scripting (XSS)</w:t>
            </w:r>
          </w:p>
        </w:tc>
        <w:tc>
          <w:tcPr>
            <w:tcW w:type="dxa" w:w="3168"/>
            <w:tcMar>
              <w:top w:w="90" w:type="dxa"/>
              <w:bottom w:w="90" w:type="dxa"/>
              <w:left w:w="120" w:type="dxa"/>
              <w:right w:w="120" w:type="dxa"/>
            </w:tcMar>
            <w:shd w:fill="F8FAFC"/>
          </w:tcPr>
          <w:p>
            <w:pPr>
              <w:spacing w:after="0"/>
            </w:pPr>
            <w:r>
              <w:rPr>
                <w:color w:val="1E293B"/>
                <w:sz w:val="18"/>
              </w:rPr>
              <w:t>Strict HTML output escaping using e() (htmlspecialchars) and input sanitization via input_string().</w:t>
            </w:r>
          </w:p>
        </w:tc>
        <w:tc>
          <w:tcPr>
            <w:tcW w:type="dxa" w:w="3168"/>
            <w:tcMar>
              <w:top w:w="90" w:type="dxa"/>
              <w:bottom w:w="90" w:type="dxa"/>
              <w:left w:w="120" w:type="dxa"/>
              <w:right w:w="120" w:type="dxa"/>
            </w:tcMar>
            <w:shd w:fill="F8FAFC"/>
          </w:tcPr>
          <w:p>
            <w:pPr>
              <w:spacing w:after="0"/>
            </w:pPr>
            <w:r>
              <w:rPr>
                <w:color w:val="1E293B"/>
                <w:sz w:val="18"/>
              </w:rPr>
              <w:t>Prevents stored and reflected script injection in guest reviews, names, and notes.</w:t>
            </w:r>
          </w:p>
        </w:tc>
      </w:tr>
      <w:tr>
        <w:tc>
          <w:tcPr>
            <w:tcW w:type="dxa" w:w="3168"/>
            <w:tcMar>
              <w:top w:w="90" w:type="dxa"/>
              <w:bottom w:w="90" w:type="dxa"/>
              <w:left w:w="120" w:type="dxa"/>
              <w:right w:w="120" w:type="dxa"/>
            </w:tcMar>
            <w:shd w:fill="FFFFFF"/>
          </w:tcPr>
          <w:p>
            <w:pPr>
              <w:spacing w:after="0"/>
            </w:pPr>
            <w:r>
              <w:rPr>
                <w:color w:val="1E293B"/>
                <w:sz w:val="18"/>
              </w:rPr>
              <w:t>Session Security &amp; RBAC</w:t>
            </w:r>
          </w:p>
        </w:tc>
        <w:tc>
          <w:tcPr>
            <w:tcW w:type="dxa" w:w="3168"/>
            <w:tcMar>
              <w:top w:w="90" w:type="dxa"/>
              <w:bottom w:w="90" w:type="dxa"/>
              <w:left w:w="120" w:type="dxa"/>
              <w:right w:w="120" w:type="dxa"/>
            </w:tcMar>
            <w:shd w:fill="FFFFFF"/>
          </w:tcPr>
          <w:p>
            <w:pPr>
              <w:spacing w:after="0"/>
            </w:pPr>
            <w:r>
              <w:rPr>
                <w:color w:val="1E293B"/>
                <w:sz w:val="18"/>
              </w:rPr>
              <w:t>Strict role validation (require_login(), require_role()), session regeneration upon authentication.</w:t>
            </w:r>
          </w:p>
        </w:tc>
        <w:tc>
          <w:tcPr>
            <w:tcW w:type="dxa" w:w="3168"/>
            <w:tcMar>
              <w:top w:w="90" w:type="dxa"/>
              <w:bottom w:w="90" w:type="dxa"/>
              <w:left w:w="120" w:type="dxa"/>
              <w:right w:w="120" w:type="dxa"/>
            </w:tcMar>
            <w:shd w:fill="FFFFFF"/>
          </w:tcPr>
          <w:p>
            <w:pPr>
              <w:spacing w:after="0"/>
            </w:pPr>
            <w:r>
              <w:rPr>
                <w:color w:val="1E293B"/>
                <w:sz w:val="18"/>
              </w:rPr>
              <w:t>Mitigates session fixation, privilege escalation, and unauthorized host portal access.</w:t>
            </w:r>
          </w:p>
        </w:tc>
      </w:tr>
      <w:tr>
        <w:tc>
          <w:tcPr>
            <w:tcW w:type="dxa" w:w="3168"/>
            <w:tcMar>
              <w:top w:w="90" w:type="dxa"/>
              <w:bottom w:w="90" w:type="dxa"/>
              <w:left w:w="120" w:type="dxa"/>
              <w:right w:w="120" w:type="dxa"/>
            </w:tcMar>
            <w:shd w:fill="F8FAFC"/>
          </w:tcPr>
          <w:p>
            <w:pPr>
              <w:spacing w:after="0"/>
            </w:pPr>
            <w:r>
              <w:rPr>
                <w:color w:val="1E293B"/>
                <w:sz w:val="18"/>
              </w:rPr>
              <w:t>Financial Data Integrity</w:t>
            </w:r>
          </w:p>
        </w:tc>
        <w:tc>
          <w:tcPr>
            <w:tcW w:type="dxa" w:w="3168"/>
            <w:tcMar>
              <w:top w:w="90" w:type="dxa"/>
              <w:bottom w:w="90" w:type="dxa"/>
              <w:left w:w="120" w:type="dxa"/>
              <w:right w:w="120" w:type="dxa"/>
            </w:tcMar>
            <w:shd w:fill="F8FAFC"/>
          </w:tcPr>
          <w:p>
            <w:pPr>
              <w:spacing w:after="0"/>
            </w:pPr>
            <w:r>
              <w:rPr>
                <w:color w:val="1E293B"/>
                <w:sz w:val="18"/>
              </w:rPr>
              <w:t>Payments table records unique gateway transaction IDs, amounts, and statuses under atomic DB transactions.</w:t>
            </w:r>
          </w:p>
        </w:tc>
        <w:tc>
          <w:tcPr>
            <w:tcW w:type="dxa" w:w="3168"/>
            <w:tcMar>
              <w:top w:w="90" w:type="dxa"/>
              <w:bottom w:w="90" w:type="dxa"/>
              <w:left w:w="120" w:type="dxa"/>
              <w:right w:w="120" w:type="dxa"/>
            </w:tcMar>
            <w:shd w:fill="F8FAFC"/>
          </w:tcPr>
          <w:p>
            <w:pPr>
              <w:spacing w:after="0"/>
            </w:pPr>
            <w:r>
              <w:rPr>
                <w:color w:val="1E293B"/>
                <w:sz w:val="18"/>
              </w:rPr>
              <w:t>Guarantees immutable audit trails and prevents financial record discrepancies.</w:t>
            </w:r>
          </w:p>
        </w:tc>
      </w:tr>
    </w:tbl>
    <w:p>
      <w:pPr>
        <w:spacing w:after="240"/>
      </w:pPr>
    </w:p>
    <w:p>
      <w:pPr>
        <w:pStyle w:val="Heading1"/>
        <w:spacing w:before="320" w:after="160"/>
      </w:pPr>
      <w:r>
        <w:rPr>
          <w:color w:val="0F172A"/>
          <w:sz w:val="32"/>
        </w:rPr>
        <w:t>5. Strategic Roadmap &amp; Operational Recommendations</w:t>
      </w:r>
    </w:p>
    <w:p>
      <w:r>
        <w:t>To build upon the stable foundation established during this engineering phase, the following roadmap items are recommended:</w:t>
      </w:r>
    </w:p>
    <w:p>
      <w:pPr>
        <w:spacing w:after="60"/>
        <w:ind w:left="360"/>
      </w:pPr>
      <w:r>
        <w:rPr>
          <w:b/>
        </w:rPr>
        <w:t xml:space="preserve">1. Razorpay Webhook Endpoint: </w:t>
      </w:r>
      <w:r>
        <w:t>Implement an asynchronous webhook listener (/api/razorpay-webhook.php) to capture off-session payment confirmations, refunds, and chargebacks automatically.</w:t>
      </w:r>
    </w:p>
    <w:p>
      <w:pPr>
        <w:spacing w:after="60"/>
        <w:ind w:left="360"/>
      </w:pPr>
      <w:r>
        <w:rPr>
          <w:b/>
        </w:rPr>
        <w:t xml:space="preserve">2. Automated Notification Gateway: </w:t>
      </w:r>
      <w:r>
        <w:t>Integrate transactional SMS/WhatsApp APIs (e.g. Twilio or Gupshup) and SMTP email dispatch (SendGrid/PHPMailer) to deliver instant PDF booking vouchers to travelers upon payment confirmation.</w:t>
      </w:r>
    </w:p>
    <w:p>
      <w:pPr>
        <w:spacing w:after="60"/>
        <w:ind w:left="360"/>
      </w:pPr>
      <w:r>
        <w:rPr>
          <w:b/>
        </w:rPr>
        <w:t xml:space="preserve">3. Progressive Web App (PWA) Caching: </w:t>
      </w:r>
      <w:r>
        <w:t>Implement Service Workers and asset caching to ensure seamless offline browsing for travelers exploring remote West Sikkim regions with intermittent cellular reception.</w:t>
      </w:r>
    </w:p>
    <w:p>
      <w:pPr>
        <w:spacing w:before="240"/>
      </w:pPr>
      <w:r>
        <w:rPr>
          <w:i/>
          <w:color w:val="64748B"/>
          <w:sz w:val="20"/>
        </w:rPr>
        <w:t>Report finalized and certified for Sonam Homestay production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