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74903008" w14:textId="7F7A41C5" w:rsidR="00115E6E" w:rsidRDefault="00401618" w:rsidP="00115E6E">
      <w:pPr>
        <w:pStyle w:val="papertitle"/>
        <w:spacing w:before="5pt" w:beforeAutospacing="1" w:after="5pt" w:afterAutospacing="1"/>
      </w:pPr>
      <w:r>
        <w:t xml:space="preserve">TCAD-Based </w:t>
      </w:r>
      <w:r w:rsidR="7B006547">
        <w:t>Design and Analysis of a Graphene Field-Effect Transistor Biosensor for Malaria Antigen Detection</w:t>
      </w:r>
    </w:p>
    <w:p w14:paraId="5A8F8656" w14:textId="77777777" w:rsidR="00115E6E" w:rsidRDefault="00115E6E" w:rsidP="00115E6E">
      <w:pPr>
        <w:pStyle w:val="papertitle"/>
        <w:spacing w:beforeAutospacing="1" w:afterAutospacing="1"/>
        <w:rPr>
          <w:sz w:val="18"/>
          <w:szCs w:val="18"/>
        </w:rPr>
        <w:sectPr w:rsidR="00115E6E" w:rsidSect="00115E6E">
          <w:headerReference w:type="default" r:id="rId8"/>
          <w:footerReference w:type="default" r:id="rId9"/>
          <w:type w:val="continuous"/>
          <w:pgSz w:w="595.30pt" w:h="841.90pt" w:code="9"/>
          <w:pgMar w:top="22.50pt" w:right="44.65pt" w:bottom="72pt" w:left="44.65pt" w:header="36pt" w:footer="36pt" w:gutter="0pt"/>
          <w:cols w:space="36pt"/>
          <w:docGrid w:linePitch="360"/>
        </w:sectPr>
      </w:pPr>
    </w:p>
    <w:p w14:paraId="3FC66113" w14:textId="77777777" w:rsidR="008D681D" w:rsidRPr="00E95415" w:rsidRDefault="008D681D" w:rsidP="008D681D">
      <w:pPr>
        <w:pStyle w:val="papertitle"/>
        <w:spacing w:before="5pt" w:beforeAutospacing="1" w:after="5pt" w:afterAutospacing="1"/>
        <w:rPr>
          <w:sz w:val="20"/>
          <w:szCs w:val="18"/>
        </w:rPr>
      </w:pPr>
      <w:r w:rsidRPr="00E95415">
        <w:rPr>
          <w:sz w:val="20"/>
          <w:szCs w:val="18"/>
        </w:rPr>
        <w:t xml:space="preserve">Archit Agrawal </w:t>
      </w:r>
      <w:r w:rsidRPr="00E95415">
        <w:rPr>
          <w:sz w:val="20"/>
          <w:szCs w:val="18"/>
          <w:vertAlign w:val="superscript"/>
        </w:rPr>
        <w:t>1</w:t>
      </w:r>
      <w:r w:rsidRPr="00E95415">
        <w:rPr>
          <w:sz w:val="20"/>
          <w:szCs w:val="18"/>
        </w:rPr>
        <w:t xml:space="preserve">, Shradha Bhatnagar </w:t>
      </w:r>
      <w:r w:rsidRPr="00E95415">
        <w:rPr>
          <w:sz w:val="20"/>
          <w:szCs w:val="18"/>
          <w:vertAlign w:val="superscript"/>
        </w:rPr>
        <w:t>2</w:t>
      </w:r>
      <w:r>
        <w:rPr>
          <w:sz w:val="20"/>
          <w:szCs w:val="18"/>
        </w:rPr>
        <w:t>,</w:t>
      </w:r>
      <w:r w:rsidRPr="00E95415">
        <w:rPr>
          <w:sz w:val="20"/>
          <w:szCs w:val="18"/>
        </w:rPr>
        <w:t xml:space="preserve"> </w:t>
      </w:r>
      <w:r>
        <w:rPr>
          <w:sz w:val="20"/>
          <w:szCs w:val="18"/>
        </w:rPr>
        <w:t>Satyendra Kumar Maurya</w:t>
      </w:r>
      <w:r w:rsidRPr="00E95415">
        <w:rPr>
          <w:sz w:val="20"/>
          <w:szCs w:val="18"/>
          <w:vertAlign w:val="superscript"/>
        </w:rPr>
        <w:t>1*</w:t>
      </w:r>
      <w:r>
        <w:rPr>
          <w:sz w:val="20"/>
          <w:szCs w:val="18"/>
        </w:rPr>
        <w:t xml:space="preserve">, </w:t>
      </w:r>
      <w:r w:rsidRPr="00E95415">
        <w:rPr>
          <w:sz w:val="20"/>
          <w:szCs w:val="18"/>
        </w:rPr>
        <w:t xml:space="preserve">Vishal Saxena </w:t>
      </w:r>
      <w:r w:rsidRPr="00E95415">
        <w:rPr>
          <w:sz w:val="20"/>
          <w:szCs w:val="18"/>
          <w:vertAlign w:val="superscript"/>
        </w:rPr>
        <w:t>2</w:t>
      </w:r>
      <w:r>
        <w:rPr>
          <w:sz w:val="20"/>
          <w:szCs w:val="18"/>
        </w:rPr>
        <w:t xml:space="preserve"> </w:t>
      </w:r>
      <w:r w:rsidRPr="00E95415">
        <w:rPr>
          <w:sz w:val="20"/>
          <w:szCs w:val="18"/>
        </w:rPr>
        <w:t xml:space="preserve">Dheerendra Singh </w:t>
      </w:r>
    </w:p>
    <w:p w14:paraId="3886EC4C" w14:textId="77777777" w:rsidR="008D681D" w:rsidRPr="00E95415" w:rsidRDefault="008D681D" w:rsidP="008D681D">
      <w:pPr>
        <w:pStyle w:val="papertitle"/>
        <w:spacing w:before="5pt" w:beforeAutospacing="1" w:after="5pt" w:afterAutospacing="1"/>
        <w:jc w:val="start"/>
        <w:rPr>
          <w:sz w:val="20"/>
          <w:szCs w:val="18"/>
        </w:rPr>
      </w:pPr>
      <w:r w:rsidRPr="00E95415">
        <w:rPr>
          <w:sz w:val="20"/>
          <w:szCs w:val="18"/>
          <w:vertAlign w:val="superscript"/>
        </w:rPr>
        <w:t xml:space="preserve">1 </w:t>
      </w:r>
      <w:r w:rsidRPr="00E95415">
        <w:rPr>
          <w:sz w:val="20"/>
          <w:szCs w:val="18"/>
        </w:rPr>
        <w:t xml:space="preserve">Department of Electrical and Electronics Engineering, Birla Institute of Technology and Science,  Vidya Vihar, Pilani, Rajasthan 333031, India, Email: </w:t>
      </w:r>
      <w:hyperlink r:id="rId10" w:history="1">
        <w:r w:rsidRPr="00E95415">
          <w:rPr>
            <w:rStyle w:val="Hyperlink"/>
            <w:sz w:val="20"/>
            <w:szCs w:val="18"/>
          </w:rPr>
          <w:t>f20191048@pilani.bits-pilani.ac.in</w:t>
        </w:r>
      </w:hyperlink>
    </w:p>
    <w:p w14:paraId="2B23E3A5" w14:textId="77777777" w:rsidR="008D681D" w:rsidRPr="00E95415" w:rsidRDefault="008D681D" w:rsidP="008D681D">
      <w:pPr>
        <w:pStyle w:val="papertitle"/>
        <w:spacing w:before="5pt" w:beforeAutospacing="1" w:after="5pt" w:afterAutospacing="1"/>
        <w:jc w:val="start"/>
        <w:rPr>
          <w:sz w:val="20"/>
          <w:szCs w:val="18"/>
        </w:rPr>
      </w:pPr>
      <w:r w:rsidRPr="00E95415">
        <w:rPr>
          <w:sz w:val="20"/>
          <w:szCs w:val="18"/>
          <w:vertAlign w:val="superscript"/>
        </w:rPr>
        <w:t>2</w:t>
      </w:r>
      <w:r w:rsidRPr="00E95415">
        <w:rPr>
          <w:sz w:val="20"/>
          <w:szCs w:val="18"/>
        </w:rPr>
        <w:t xml:space="preserve"> Department of Biological Sciences, Birla Institute of Technology and Science,  Vidya Vihar, Pilani, Rajasthan 333031, India</w:t>
      </w:r>
    </w:p>
    <w:p w14:paraId="0A88E65D" w14:textId="60389FE0" w:rsidR="00ED73F6" w:rsidRPr="005B520E" w:rsidRDefault="008D681D" w:rsidP="008D681D">
      <w:pPr>
        <w:pStyle w:val="papertitle"/>
        <w:spacing w:before="5pt" w:beforeAutospacing="1" w:after="5pt" w:afterAutospacing="1"/>
        <w:jc w:val="start"/>
        <w:sectPr w:rsidR="00ED73F6" w:rsidRPr="005B520E" w:rsidSect="008D681D">
          <w:headerReference w:type="default" r:id="rId11"/>
          <w:footerReference w:type="default" r:id="rId12"/>
          <w:type w:val="continuous"/>
          <w:pgSz w:w="595.30pt" w:h="841.90pt" w:code="9"/>
          <w:pgMar w:top="22.50pt" w:right="44.65pt" w:bottom="72pt" w:left="44.65pt" w:header="36pt" w:footer="36pt" w:gutter="0pt"/>
          <w:cols w:space="36pt"/>
          <w:docGrid w:linePitch="360"/>
        </w:sectPr>
      </w:pPr>
      <w:r>
        <w:rPr>
          <w:sz w:val="18"/>
          <w:szCs w:val="18"/>
        </w:rPr>
        <w:t>* Corresponding Autho</w:t>
      </w:r>
      <w:r>
        <w:rPr>
          <w:sz w:val="18"/>
          <w:szCs w:val="18"/>
        </w:rPr>
        <w:t>r</w:t>
      </w:r>
    </w:p>
    <w:p w14:paraId="6F10ABCE" w14:textId="3D1A73AB" w:rsidR="007D3ADD" w:rsidRDefault="78DFFEDA" w:rsidP="00C651E6">
      <w:pPr>
        <w:pStyle w:val="Abstract"/>
      </w:pPr>
      <w:r w:rsidRPr="78DFFEDA">
        <w:rPr>
          <w:i/>
          <w:iCs/>
        </w:rPr>
        <w:t>Abstract</w:t>
      </w:r>
      <w:r>
        <w:t>—</w:t>
      </w:r>
      <w:r w:rsidR="42ECFCA2">
        <w:t xml:space="preserve"> </w:t>
      </w:r>
      <w:r w:rsidR="009D7CD3" w:rsidRPr="009D7CD3">
        <w:t>Malaria remains a major global health concern, with over 260 million infections and nearly 600,000 fatalities reported in 2024. Motivated by the demand for rapid and low-cost diagnostic technologies, this work introduces a systematic TCAD-based framework for antibody-functionalized graphene field-effect transistor (BioGFET) biosensors targeting malaria antigens. The framework, implemented in Synopsys Sentaurus, leverages its advanced semiconductor-physics solvers and material customization capabilities to model the coupled electrostatic and transport phenomena in liquid-gated BioGFETs. Antibodies and antigen–antibody complexes are represented as charged nano</w:t>
      </w:r>
      <w:r w:rsidR="009D7CD3">
        <w:t xml:space="preserve"> </w:t>
      </w:r>
      <w:r w:rsidR="009D7CD3" w:rsidRPr="009D7CD3">
        <w:t>cuboids influencing the channel electrostatics. The simulated device exhibits a linear Dirac point shift (R² = 0.9987), yielding a sensitivity of 13.52 mV/ng·mL⁻¹ and a limit of detection of 14.71 pM. This TCAD-based methodology provides a predictive, physics-driven platform for concept validation prior to device prototyping and experimental characterization, thereby accelerating innovation in portable point-of-care BioGFET diagnostics.</w:t>
      </w:r>
    </w:p>
    <w:p w14:paraId="23D62D13" w14:textId="5ABC8789" w:rsidR="78DFFEDA" w:rsidRDefault="78DFFEDA" w:rsidP="00C651E6">
      <w:pPr>
        <w:pStyle w:val="Abstract"/>
      </w:pPr>
      <w:r>
        <w:t>Keywords—</w:t>
      </w:r>
      <w:r w:rsidR="73EC40A0">
        <w:t xml:space="preserve"> Graphene, GFET, BioGFET, antibodies, TCAD simulation, Sentaurus, biosensor, antibody-antigen</w:t>
      </w:r>
      <w:r w:rsidR="007D3ADD">
        <w:t xml:space="preserve"> (Ab-Ag)</w:t>
      </w:r>
      <w:r w:rsidR="73EC40A0">
        <w:t>, malaria detection</w:t>
      </w:r>
    </w:p>
    <w:p w14:paraId="1A521F3C" w14:textId="4824B8A4" w:rsidR="009303D9" w:rsidRPr="00D632BE" w:rsidRDefault="78DFFEDA" w:rsidP="006B6B66">
      <w:pPr>
        <w:pStyle w:val="Heading1"/>
      </w:pPr>
      <w:r>
        <w:t xml:space="preserve">Introduction </w:t>
      </w:r>
    </w:p>
    <w:p w14:paraId="0D08BB3B" w14:textId="30369314" w:rsidR="009D7CD3" w:rsidRDefault="009D7CD3" w:rsidP="009D7CD3">
      <w:pPr>
        <w:pStyle w:val="BodyText"/>
      </w:pPr>
      <w:r>
        <w:t>Malaria remains a major global health challenge despite sustained eradication efforts over the past decades. According to the World Health Organization’s 2024 report, an estimated 263 million malaria cases were recorded across 83 endemic countries in 2023, resulting in approximately 597,000 deaths—94% of which occurred in sub-Saharan Africa and 76% among children under five. The recent resurgence of cases, driven by climate change, conflict, and healthcare disruptions, underscores the persistent vulnerability of populations in resource-limited regions [1].</w:t>
      </w:r>
    </w:p>
    <w:p w14:paraId="5A768E23" w14:textId="38B53936" w:rsidR="009D7CD3" w:rsidRDefault="009D7CD3" w:rsidP="009D7CD3">
      <w:pPr>
        <w:pStyle w:val="BodyText"/>
      </w:pPr>
      <w:r>
        <w:t xml:space="preserve">Reliable and rapid diagnosis remains central to malaria control, yet current diagnostic technologies exhibit significant limitations. Microscopy, though considered the gold standard, requires skilled personnel and fails to reliably detect infections with fewer than 50–100 parasites/μL, leading to frequent underreporting [2]. Rapid diagnostic tests (RDTs) based on immunochromatographic assays have gained widespread use due to their portability, low cost, and minimal training requirements. These assays target parasite-specific proteins such as histidine-rich protein 2 (HRP2), aldolase (Aldo), </w:t>
      </w:r>
      <w:r>
        <w:t>glutamate dehydrogenase (GluDH), and lactate dehydrogenase (LDH). However, they suffer from false positives, poor sensitivity at low parasitemia, antigen persistence, and lack of species specificity—issues that collectively reduce diagnostic accuracy and complicate clinical management. Molecular methods such as PCR, qPCR, and LAMP offer superior sensitivity and specificity but are constrained by their high cost, complex workflows, and dependence on centralized laboratory infrastructure, making them unsuitable for point-of-care deployment in endemic regions.</w:t>
      </w:r>
    </w:p>
    <w:p w14:paraId="249CDC4E" w14:textId="1B60A962" w:rsidR="009D7CD3" w:rsidRDefault="009D7CD3" w:rsidP="009D7CD3">
      <w:pPr>
        <w:pStyle w:val="BodyText"/>
      </w:pPr>
      <w:r>
        <w:t>Graphene field-effect transistor (GFET) biosensors have emerged as a promising alternative for rapid and label-free malaria detection. The two-dimensional nature of graphene ensures that even minute charge perturbations from biomolecular binding events can modulate the channel electrostatics, producing measurable Dirac voltage shifts. Although several experimental GFET biosensors have demonstrated high sensitivity and selectivity, most rely on empirical optimization after fabrication, limiting predictive insights during the design phase.</w:t>
      </w:r>
    </w:p>
    <w:p w14:paraId="47200443" w14:textId="60D616AE" w:rsidR="009D7CD3" w:rsidRDefault="009D7CD3" w:rsidP="009D7CD3">
      <w:pPr>
        <w:pStyle w:val="BodyText"/>
      </w:pPr>
      <w:r>
        <w:t>This study presents a systematic TCAD-based framework for antibody-functionalized BioGFETs targeting malaria antigens, implemented in Synopsys Sentaurus. The use of Sentaurus enables accurate multi</w:t>
      </w:r>
      <w:r>
        <w:t>-</w:t>
      </w:r>
      <w:r>
        <w:t>physics modeling of coupled electrostatic and transport phenomena while supporting material customization to represent graphene and bio</w:t>
      </w:r>
      <w:r>
        <w:t>-</w:t>
      </w:r>
      <w:r>
        <w:t>functional interfaces. This simulation-driven approach captures antibody–antigen charge interactions, ionic screening, and channel modulation—effects that are challenging to probe experimentally due to variability and cost.</w:t>
      </w:r>
    </w:p>
    <w:p w14:paraId="20B72929" w14:textId="313DF040" w:rsidR="5DFF652B" w:rsidRDefault="009D7CD3" w:rsidP="009D7CD3">
      <w:pPr>
        <w:pStyle w:val="BodyText"/>
      </w:pPr>
      <w:r>
        <w:t>The primary objectives of this work are to (</w:t>
      </w:r>
      <w:proofErr w:type="spellStart"/>
      <w:r>
        <w:t>i</w:t>
      </w:r>
      <w:proofErr w:type="spellEnd"/>
      <w:r>
        <w:t>) develop a validated TCAD workflow for BioGFET simulation incorporating antibody and antigen charge representation, (ii) evaluate device response in terms of Dirac voltage shift, sensitivity, linearity, and detection limit, and (iii) provide design guidelines for optimizing receptor density, electrolyte strength, and device geometry. To the best of our knowledge, this represents the first TCAD-based study of antibody-functionalized GFETs for malaria antigen detection, providing a predictive and pre-fabrication platform to accelerate biosensor innovation.</w:t>
      </w:r>
    </w:p>
    <w:p w14:paraId="594AD258" w14:textId="2BFCB58E" w:rsidR="24866E63" w:rsidRDefault="24866E63" w:rsidP="78DFFEDA">
      <w:pPr>
        <w:pStyle w:val="Heading1"/>
      </w:pPr>
      <w:r>
        <w:lastRenderedPageBreak/>
        <w:t>Simulation Methodology</w:t>
      </w:r>
    </w:p>
    <w:p w14:paraId="24F7B9E2" w14:textId="4EA2EAB1" w:rsidR="00835018" w:rsidRDefault="00C45E4D" w:rsidP="00835018">
      <w:pPr>
        <w:pStyle w:val="BodyText"/>
        <w:rPr>
          <w:lang w:val="en-US"/>
        </w:rPr>
      </w:pPr>
      <w:r w:rsidRPr="00C45E4D">
        <w:rPr>
          <w:lang w:val="en-US"/>
        </w:rPr>
        <w:t>The simulation study was carried out using Synopsys Sentaurus TCAD, which supports parameterized modeling, drift–diffusion transport simulations, and quantum-corrected electrostatics with adaptive high-density meshing suitable for resolving sub-10-nm charge features. The subsequent section describes the complete workflow and modeling strategy adopted for the BioGFET structure, including the representation of antibody–antigen complexes, electrolyte environment, and the extraction of Dirac voltage shifts.</w:t>
      </w:r>
    </w:p>
    <w:p w14:paraId="145EC6A4" w14:textId="3F17EA89" w:rsidR="00027195" w:rsidRDefault="0087002B" w:rsidP="009D7CD3">
      <w:pPr>
        <w:pStyle w:val="BodyText"/>
        <w:ind w:start="14.40pt" w:firstLine="0pt"/>
      </w:pPr>
      <w:r>
        <w:rPr>
          <w:noProof/>
        </w:rPr>
        <w:drawing>
          <wp:inline distT="0" distB="0" distL="0" distR="0" wp14:anchorId="138D596C" wp14:editId="6D5FE0D9">
            <wp:extent cx="2728912" cy="1833245"/>
            <wp:effectExtent l="0" t="0" r="14605" b="14605"/>
            <wp:docPr id="8" name="Group 8"/>
            <wp:cNvGraphicFramePr/>
            <a:graphic xmlns:a="http://purl.oclc.org/ooxml/drawingml/main">
              <a:graphicData uri="http://schemas.microsoft.com/office/word/2010/wordprocessingGroup">
                <wp:wgp>
                  <wp:cNvGrpSpPr/>
                  <wp:grpSpPr>
                    <a:xfrm>
                      <a:off x="0" y="0"/>
                      <a:ext cx="2728912" cy="1833245"/>
                      <a:chOff x="0" y="0"/>
                      <a:chExt cx="2728912" cy="1833245"/>
                    </a:xfrm>
                  </wp:grpSpPr>
                  <wp:wsp>
                    <wp:cNvPr id="1" name="Rectangle: Rounded Corners 1"/>
                    <wp:cNvSpPr/>
                    <wp:spPr>
                      <a:xfrm>
                        <a:off x="4762" y="0"/>
                        <a:ext cx="2724150" cy="290513"/>
                      </a:xfrm>
                      <a:prstGeom prst="roundRect">
                        <a:avLst/>
                      </a:prstGeom>
                      <a:solidFill>
                        <a:schemeClr val="bg1"/>
                      </a:solidFill>
                      <a:ln>
                        <a:solidFill>
                          <a:schemeClr val="tx1"/>
                        </a:solidFill>
                      </a:ln>
                    </wp:spPr>
                    <wp:style>
                      <a:lnRef idx="2">
                        <a:schemeClr val="accent6"/>
                      </a:lnRef>
                      <a:fillRef idx="1">
                        <a:schemeClr val="lt1"/>
                      </a:fillRef>
                      <a:effectRef idx="0">
                        <a:schemeClr val="accent6"/>
                      </a:effectRef>
                      <a:fontRef idx="minor">
                        <a:schemeClr val="dk1"/>
                      </a:fontRef>
                    </wp:style>
                    <wp:txbx>
                      <wne:txbxContent>
                        <w:p w14:paraId="7355AF58" w14:textId="77777777" w:rsidR="0087002B" w:rsidRPr="00FA6C8C" w:rsidRDefault="0087002B" w:rsidP="0087002B">
                          <w:pPr>
                            <w:rPr>
                              <w:sz w:val="16"/>
                              <w:szCs w:val="16"/>
                            </w:rPr>
                          </w:pPr>
                          <w:r w:rsidRPr="00FA6C8C">
                            <w:rPr>
                              <w:sz w:val="16"/>
                              <w:szCs w:val="16"/>
                            </w:rPr>
                            <w:t>Device structure (graphene FET with functionalized surface)</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2" name="Rectangle: Rounded Corners 2"/>
                    <wp:cNvSpPr/>
                    <wp:spPr>
                      <a:xfrm>
                        <a:off x="0" y="504825"/>
                        <a:ext cx="2724150" cy="290195"/>
                      </a:xfrm>
                      <a:prstGeom prst="roundRect">
                        <a:avLst/>
                      </a:prstGeom>
                      <a:solidFill>
                        <a:schemeClr val="bg1"/>
                      </a:solidFill>
                      <a:ln>
                        <a:solidFill>
                          <a:schemeClr val="tx1"/>
                        </a:solidFill>
                      </a:ln>
                    </wp:spPr>
                    <wp:style>
                      <a:lnRef idx="2">
                        <a:schemeClr val="accent6"/>
                      </a:lnRef>
                      <a:fillRef idx="1">
                        <a:schemeClr val="lt1"/>
                      </a:fillRef>
                      <a:effectRef idx="0">
                        <a:schemeClr val="accent6"/>
                      </a:effectRef>
                      <a:fontRef idx="minor">
                        <a:schemeClr val="dk1"/>
                      </a:fontRef>
                    </wp:style>
                    <wp:txbx>
                      <wne:txbxContent>
                        <w:p w14:paraId="34284F16" w14:textId="77777777" w:rsidR="0087002B" w:rsidRPr="00FA6C8C" w:rsidRDefault="0087002B" w:rsidP="0087002B">
                          <w:pPr>
                            <w:rPr>
                              <w:sz w:val="16"/>
                              <w:szCs w:val="16"/>
                            </w:rPr>
                          </w:pPr>
                          <w:r w:rsidRPr="00FA6C8C">
                            <w:rPr>
                              <w:sz w:val="16"/>
                              <w:szCs w:val="16"/>
                            </w:rPr>
                            <w:t>TCAD setup (Sentaurus simulation framework)</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3" name="Rectangle: Rounded Corners 3"/>
                    <wp:cNvSpPr/>
                    <wp:spPr>
                      <a:xfrm>
                        <a:off x="4762" y="1019175"/>
                        <a:ext cx="2724150" cy="290195"/>
                      </a:xfrm>
                      <a:prstGeom prst="roundRect">
                        <a:avLst/>
                      </a:prstGeom>
                      <a:solidFill>
                        <a:schemeClr val="bg1"/>
                      </a:solidFill>
                      <a:ln>
                        <a:solidFill>
                          <a:schemeClr val="tx1"/>
                        </a:solidFill>
                      </a:ln>
                    </wp:spPr>
                    <wp:style>
                      <a:lnRef idx="2">
                        <a:schemeClr val="accent6"/>
                      </a:lnRef>
                      <a:fillRef idx="1">
                        <a:schemeClr val="lt1"/>
                      </a:fillRef>
                      <a:effectRef idx="0">
                        <a:schemeClr val="accent6"/>
                      </a:effectRef>
                      <a:fontRef idx="minor">
                        <a:schemeClr val="dk1"/>
                      </a:fontRef>
                    </wp:style>
                    <wp:txbx>
                      <wne:txbxContent>
                        <w:p w14:paraId="79EEF2AA" w14:textId="77777777" w:rsidR="0087002B" w:rsidRPr="00FA6C8C" w:rsidRDefault="0087002B" w:rsidP="0087002B">
                          <w:pPr>
                            <w:rPr>
                              <w:sz w:val="16"/>
                              <w:szCs w:val="16"/>
                            </w:rPr>
                          </w:pPr>
                          <w:r w:rsidRPr="00FA6C8C">
                            <w:rPr>
                              <w:sz w:val="16"/>
                              <w:szCs w:val="16"/>
                            </w:rPr>
                            <w:t>Charge model (antibody/antigen cuboids and electrolyte representation)</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4" name="Arrow: Down 4"/>
                    <wp:cNvSpPr/>
                    <wp:spPr>
                      <a:xfrm>
                        <a:off x="1271587" y="290513"/>
                        <a:ext cx="190500" cy="213995"/>
                      </a:xfrm>
                      <a:prstGeom prst="downArrow">
                        <a:avLst/>
                      </a:prstGeom>
                      <a:solidFill>
                        <a:schemeClr val="tx1">
                          <a:lumMod val="50%"/>
                          <a:lumOff val="50%"/>
                        </a:schemeClr>
                      </a:solidFill>
                      <a:ln>
                        <a:noFill/>
                      </a:ln>
                    </wp:spPr>
                    <wp:style>
                      <a:lnRef idx="2">
                        <a:schemeClr val="accent1">
                          <a:shade val="15%"/>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5" name="Arrow: Down 5"/>
                    <wp:cNvSpPr/>
                    <wp:spPr>
                      <a:xfrm>
                        <a:off x="1266825" y="804863"/>
                        <a:ext cx="190500" cy="213995"/>
                      </a:xfrm>
                      <a:prstGeom prst="downArrow">
                        <a:avLst/>
                      </a:prstGeom>
                      <a:solidFill>
                        <a:schemeClr val="tx1">
                          <a:lumMod val="50%"/>
                          <a:lumOff val="50%"/>
                        </a:schemeClr>
                      </a:solidFill>
                      <a:ln>
                        <a:noFill/>
                      </a:ln>
                    </wp:spPr>
                    <wp:style>
                      <a:lnRef idx="2">
                        <a:schemeClr val="accent1">
                          <a:shade val="15%"/>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6" name="Arrow: Down 6"/>
                    <wp:cNvSpPr/>
                    <wp:spPr>
                      <a:xfrm>
                        <a:off x="1266825" y="1323975"/>
                        <a:ext cx="190500" cy="213995"/>
                      </a:xfrm>
                      <a:prstGeom prst="downArrow">
                        <a:avLst/>
                      </a:prstGeom>
                      <a:solidFill>
                        <a:schemeClr val="tx1">
                          <a:lumMod val="50%"/>
                          <a:lumOff val="50%"/>
                        </a:schemeClr>
                      </a:solidFill>
                      <a:ln>
                        <a:noFill/>
                      </a:ln>
                    </wp:spPr>
                    <wp:style>
                      <a:lnRef idx="2">
                        <a:schemeClr val="accent1">
                          <a:shade val="15%"/>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7" name="Rectangle: Rounded Corners 7"/>
                    <wp:cNvSpPr/>
                    <wp:spPr>
                      <a:xfrm>
                        <a:off x="0" y="1543050"/>
                        <a:ext cx="2724150" cy="290195"/>
                      </a:xfrm>
                      <a:prstGeom prst="roundRect">
                        <a:avLst/>
                      </a:prstGeom>
                      <a:solidFill>
                        <a:schemeClr val="bg1"/>
                      </a:solidFill>
                      <a:ln>
                        <a:solidFill>
                          <a:schemeClr val="tx1"/>
                        </a:solidFill>
                      </a:ln>
                    </wp:spPr>
                    <wp:style>
                      <a:lnRef idx="2">
                        <a:schemeClr val="accent6"/>
                      </a:lnRef>
                      <a:fillRef idx="1">
                        <a:schemeClr val="lt1"/>
                      </a:fillRef>
                      <a:effectRef idx="0">
                        <a:schemeClr val="accent6"/>
                      </a:effectRef>
                      <a:fontRef idx="minor">
                        <a:schemeClr val="dk1"/>
                      </a:fontRef>
                    </wp:style>
                    <wp:txbx>
                      <wne:txbxContent>
                        <w:p w14:paraId="5F092153" w14:textId="77777777" w:rsidR="0087002B" w:rsidRPr="00FA6C8C" w:rsidRDefault="0087002B" w:rsidP="0087002B">
                          <w:pPr>
                            <w:rPr>
                              <w:sz w:val="16"/>
                              <w:szCs w:val="16"/>
                            </w:rPr>
                          </w:pPr>
                          <w:r w:rsidRPr="00FA6C8C">
                            <w:rPr>
                              <w:sz w:val="16"/>
                              <w:szCs w:val="16"/>
                            </w:rPr>
                            <w:t>Output characteristics (transfer curve with Dirac shift)</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gp>
              </a:graphicData>
            </a:graphic>
          </wp:inline>
        </w:drawing>
      </w:r>
    </w:p>
    <w:p w14:paraId="03AEEB06" w14:textId="1E4BDFA1" w:rsidR="0087002B" w:rsidRPr="0087002B" w:rsidRDefault="0087002B" w:rsidP="0087002B">
      <w:pPr>
        <w:pStyle w:val="BodyText"/>
        <w:numPr>
          <w:ilvl w:val="0"/>
          <w:numId w:val="6"/>
        </w:numPr>
        <w:ind w:firstLine="0pt"/>
        <w:jc w:val="center"/>
      </w:pPr>
      <w:r w:rsidRPr="0087002B">
        <w:rPr>
          <w:sz w:val="16"/>
          <w:szCs w:val="16"/>
          <w:lang w:val="en-US"/>
        </w:rPr>
        <w:t>Workflow overview of the proposed TCAD-based BioGFET simulation framework</w:t>
      </w:r>
    </w:p>
    <w:p w14:paraId="7C7402F2" w14:textId="5D66E1F8" w:rsidR="550A8A5E" w:rsidRDefault="550A8A5E" w:rsidP="78DFFEDA">
      <w:pPr>
        <w:pStyle w:val="Heading2"/>
      </w:pPr>
      <w:r>
        <w:t>Device Structure &amp; Electrical Modeling</w:t>
      </w:r>
    </w:p>
    <w:p w14:paraId="2D264CEF" w14:textId="31954BF4" w:rsidR="00115E6E" w:rsidRDefault="04A5159B" w:rsidP="00115E6E">
      <w:pPr>
        <w:pStyle w:val="BodyText"/>
        <w:rPr>
          <w:lang w:val="en-US"/>
        </w:rPr>
      </w:pPr>
      <w:r w:rsidRPr="67B870C1">
        <w:rPr>
          <w:lang w:val="en-US"/>
        </w:rPr>
        <w:t xml:space="preserve">Fig. </w:t>
      </w:r>
      <w:r w:rsidR="00C40FD6">
        <w:rPr>
          <w:lang w:val="en-US"/>
        </w:rPr>
        <w:t>2</w:t>
      </w:r>
      <w:r w:rsidRPr="67B870C1">
        <w:rPr>
          <w:lang w:val="en-US"/>
        </w:rPr>
        <w:t xml:space="preserve"> shows the modelled 3D device</w:t>
      </w:r>
      <w:r w:rsidR="5B8FF3D6" w:rsidRPr="67B870C1">
        <w:rPr>
          <w:lang w:val="en-US"/>
        </w:rPr>
        <w:t>. A 3 µm long, 5 µm wide polysilicon channel model representing graphene, adjusted to replicate key physical properties as seen in Table 2 for ambipolar conduction behavior, with an underlying 300 nm SiO₂ layer and gold source and drain electrodes (1 µm × 5 µm, 50 nm thick) atop the channel ends. The reason for choosing 3 µm is that a 3 µm channel lies in a middle regime offering saturation‑like behavior, good transconductance, and manageable series resistance all while being reliably implementable via photolithography [7].</w:t>
      </w:r>
    </w:p>
    <w:p w14:paraId="7B5617CF" w14:textId="5DEE30AD" w:rsidR="00835018" w:rsidRPr="00835018" w:rsidRDefault="00835018" w:rsidP="00835018">
      <w:pPr>
        <w:pStyle w:val="BodyText"/>
        <w:ind w:firstLine="0pt"/>
        <w:rPr>
          <w:lang w:val="en-US"/>
        </w:rPr>
      </w:pPr>
      <w:r>
        <w:rPr>
          <w:lang w:val="en-US"/>
        </w:rPr>
        <w:tab/>
      </w:r>
      <w:r w:rsidRPr="00A45318">
        <w:rPr>
          <w:lang w:val="en-US"/>
        </w:rPr>
        <w:t xml:space="preserve">While polysilicon was parameterized to mimic graphene’s high carrier mobility and ambipolar conduction, it </w:t>
      </w:r>
      <w:r w:rsidRPr="00A45318">
        <w:rPr>
          <w:lang w:val="en-US"/>
        </w:rPr>
        <w:t xml:space="preserve">is </w:t>
      </w:r>
      <w:r>
        <w:t>acknowledged</w:t>
      </w:r>
      <w:r w:rsidRPr="00E448C2">
        <w:rPr>
          <w:lang w:val="en-US"/>
        </w:rPr>
        <w:t xml:space="preserve"> that this surrogate does not fully capture graphene’s unique zero bandgap, quantum capacitance, and surface chemistry. To validate our approximation,</w:t>
      </w:r>
      <w:r w:rsidRPr="00BD12ED">
        <w:t xml:space="preserve"> </w:t>
      </w:r>
      <w:r w:rsidRPr="00E448C2">
        <w:rPr>
          <w:lang w:val="en-US"/>
        </w:rPr>
        <w:t>the simulated pristine BioGFET transfer characteristics curve was compared against reported experimental GFET transfer characteristics curves from CVD-grown devices [19]. Nevertheless, effects such as charge puddling, edge states, and quantum capacitance remain unaccounted for, which may introduce deviations when extrapolating to experimental conditions.</w:t>
      </w:r>
    </w:p>
    <w:p w14:paraId="0D3A22E5" w14:textId="77777777" w:rsidR="00A72617" w:rsidRDefault="00A72617" w:rsidP="00C45E4D">
      <w:pPr>
        <w:pStyle w:val="BodyText"/>
        <w:spacing w:after="0pt"/>
        <w:ind w:firstLine="0pt"/>
        <w:rPr>
          <w:lang w:val="en-US"/>
        </w:rPr>
      </w:pPr>
      <w:r>
        <w:rPr>
          <w:noProof/>
        </w:rPr>
        <w:drawing>
          <wp:inline distT="0" distB="0" distL="0" distR="0" wp14:anchorId="224C6F64" wp14:editId="695A0307">
            <wp:extent cx="3095625" cy="1266825"/>
            <wp:effectExtent l="0" t="0" r="0" b="0"/>
            <wp:docPr id="1592039713"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76831093" name=""/>
                    <pic:cNvPicPr/>
                  </pic:nvPicPr>
                  <pic:blipFill>
                    <a:blip r:embed="rId13">
                      <a:extLst>
                        <a:ext uri="{28A0092B-C50C-407E-A947-70E740481C1C}">
                          <a14:useLocalDpi xmlns:a14="http://schemas.microsoft.com/office/drawing/2010/main"/>
                        </a:ext>
                      </a:extLst>
                    </a:blip>
                    <a:stretch>
                      <a:fillRect/>
                    </a:stretch>
                  </pic:blipFill>
                  <pic:spPr>
                    <a:xfrm>
                      <a:off x="0" y="0"/>
                      <a:ext cx="3095625" cy="1266825"/>
                    </a:xfrm>
                    <a:prstGeom prst="rect">
                      <a:avLst/>
                    </a:prstGeom>
                  </pic:spPr>
                </pic:pic>
              </a:graphicData>
            </a:graphic>
          </wp:inline>
        </w:drawing>
      </w:r>
    </w:p>
    <w:p w14:paraId="73CD9FAC" w14:textId="1E3B1F68" w:rsidR="00835018" w:rsidRDefault="0087002B" w:rsidP="00835018">
      <w:pPr>
        <w:pStyle w:val="BodyText"/>
        <w:numPr>
          <w:ilvl w:val="0"/>
          <w:numId w:val="6"/>
        </w:numPr>
        <w:spacing w:before="12pt" w:after="0pt"/>
        <w:jc w:val="center"/>
        <w:rPr>
          <w:sz w:val="16"/>
          <w:szCs w:val="16"/>
          <w:lang w:val="en-US"/>
        </w:rPr>
      </w:pPr>
      <w:r w:rsidRPr="7C82B073">
        <w:rPr>
          <w:sz w:val="16"/>
          <w:szCs w:val="16"/>
          <w:lang w:val="en-US"/>
        </w:rPr>
        <w:t>3D representation of the modelled BioGFET</w:t>
      </w:r>
    </w:p>
    <w:p w14:paraId="2B8FC57E" w14:textId="77777777" w:rsidR="00835018" w:rsidRPr="00835018" w:rsidRDefault="00835018" w:rsidP="00835018">
      <w:pPr>
        <w:pStyle w:val="BodyText"/>
        <w:spacing w:before="12pt" w:after="0pt"/>
        <w:ind w:firstLine="0pt"/>
        <w:rPr>
          <w:sz w:val="16"/>
          <w:szCs w:val="16"/>
          <w:lang w:val="en-US"/>
        </w:rPr>
      </w:pPr>
    </w:p>
    <w:p w14:paraId="78EFFD51" w14:textId="7B7DB0C4" w:rsidR="2B0A0981" w:rsidRDefault="67BADAE9" w:rsidP="00835018">
      <w:pPr>
        <w:pStyle w:val="tablehead"/>
      </w:pPr>
      <w:r w:rsidRPr="5A5BA817">
        <w:t>Dimensions of the modeled Bio-GFET</w:t>
      </w:r>
    </w:p>
    <w:tbl>
      <w:tblPr>
        <w:tblStyle w:val="TableGrid"/>
        <w:tblW w:w="0pt" w:type="dxa"/>
        <w:tblBorders>
          <w:top w:val="single" w:sz="8" w:space="0" w:color="000000" w:themeColor="text1"/>
          <w:start w:val="single" w:sz="8" w:space="0" w:color="000000" w:themeColor="text1"/>
          <w:bottom w:val="single" w:sz="8" w:space="0" w:color="000000" w:themeColor="text1"/>
          <w:end w:val="single" w:sz="8" w:space="0" w:color="000000" w:themeColor="text1"/>
          <w:insideH w:val="single" w:sz="8" w:space="0" w:color="000000" w:themeColor="text1"/>
          <w:insideV w:val="single" w:sz="8" w:space="0" w:color="000000" w:themeColor="text1"/>
        </w:tblBorders>
        <w:tblLayout w:type="fixed"/>
        <w:tblLook w:firstRow="0" w:lastRow="0" w:firstColumn="0" w:lastColumn="0" w:noHBand="0" w:noVBand="0"/>
      </w:tblPr>
      <w:tblGrid>
        <w:gridCol w:w="2839"/>
        <w:gridCol w:w="1986"/>
      </w:tblGrid>
      <w:tr w:rsidR="67B870C1" w14:paraId="370DC355" w14:textId="77777777" w:rsidTr="00DC267A">
        <w:trPr>
          <w:trHeight w:val="317"/>
        </w:trPr>
        <w:tc>
          <w:tcPr>
            <w:tcW w:w="141.95pt" w:type="dxa"/>
            <w:vAlign w:val="center"/>
          </w:tcPr>
          <w:p w14:paraId="577F3514" w14:textId="5C934E89" w:rsidR="67B870C1" w:rsidRDefault="67B870C1" w:rsidP="00DC267A">
            <w:pPr>
              <w:widowControl w:val="0"/>
              <w:ind w:start="0.80pt"/>
              <w:rPr>
                <w:rFonts w:eastAsia="Times New Roman"/>
                <w:color w:val="000000" w:themeColor="text1"/>
                <w:sz w:val="16"/>
                <w:szCs w:val="16"/>
              </w:rPr>
            </w:pPr>
            <w:r w:rsidRPr="67B870C1">
              <w:rPr>
                <w:rFonts w:eastAsia="Times New Roman"/>
                <w:b/>
                <w:bCs/>
                <w:color w:val="000000" w:themeColor="text1"/>
                <w:sz w:val="16"/>
                <w:szCs w:val="16"/>
                <w:lang w:val="en"/>
              </w:rPr>
              <w:t>Parameter</w:t>
            </w:r>
          </w:p>
        </w:tc>
        <w:tc>
          <w:tcPr>
            <w:tcW w:w="99.30pt" w:type="dxa"/>
            <w:vAlign w:val="center"/>
          </w:tcPr>
          <w:p w14:paraId="5D40B09C" w14:textId="2DE582AA" w:rsidR="67B870C1" w:rsidRDefault="67B870C1" w:rsidP="00DC267A">
            <w:pPr>
              <w:widowControl w:val="0"/>
              <w:ind w:start="0.80pt"/>
              <w:rPr>
                <w:rFonts w:eastAsia="Times New Roman"/>
                <w:color w:val="000000" w:themeColor="text1"/>
                <w:sz w:val="16"/>
                <w:szCs w:val="16"/>
              </w:rPr>
            </w:pPr>
            <w:r w:rsidRPr="67B870C1">
              <w:rPr>
                <w:rFonts w:eastAsia="Times New Roman"/>
                <w:b/>
                <w:bCs/>
                <w:color w:val="000000" w:themeColor="text1"/>
                <w:sz w:val="16"/>
                <w:szCs w:val="16"/>
                <w:lang w:val="en"/>
              </w:rPr>
              <w:t>Value</w:t>
            </w:r>
          </w:p>
        </w:tc>
      </w:tr>
      <w:tr w:rsidR="67B870C1" w14:paraId="02213EEE" w14:textId="77777777" w:rsidTr="00DC267A">
        <w:trPr>
          <w:trHeight w:val="317"/>
        </w:trPr>
        <w:tc>
          <w:tcPr>
            <w:tcW w:w="141.95pt" w:type="dxa"/>
            <w:vAlign w:val="center"/>
          </w:tcPr>
          <w:p w14:paraId="5271DA0E" w14:textId="5056F83C" w:rsidR="67B870C1" w:rsidRDefault="0907233C" w:rsidP="00DC267A">
            <w:pPr>
              <w:widowControl w:val="0"/>
              <w:ind w:start="0.80pt"/>
              <w:rPr>
                <w:rFonts w:eastAsia="Times New Roman"/>
                <w:color w:val="000000" w:themeColor="text1"/>
                <w:sz w:val="16"/>
                <w:szCs w:val="16"/>
              </w:rPr>
            </w:pPr>
            <w:r w:rsidRPr="7C82B073">
              <w:rPr>
                <w:rFonts w:eastAsia="Times New Roman"/>
                <w:color w:val="000000" w:themeColor="text1"/>
                <w:sz w:val="16"/>
                <w:szCs w:val="16"/>
                <w:lang w:val="en"/>
              </w:rPr>
              <w:t>SiO</w:t>
            </w:r>
            <w:r w:rsidRPr="7C82B073">
              <w:rPr>
                <w:rFonts w:eastAsia="Times New Roman"/>
                <w:color w:val="000000" w:themeColor="text1"/>
                <w:sz w:val="16"/>
                <w:szCs w:val="16"/>
                <w:vertAlign w:val="subscript"/>
                <w:lang w:val="en"/>
              </w:rPr>
              <w:t>2</w:t>
            </w:r>
            <w:r w:rsidRPr="7C82B073">
              <w:rPr>
                <w:rFonts w:eastAsia="Times New Roman"/>
                <w:color w:val="000000" w:themeColor="text1"/>
                <w:sz w:val="16"/>
                <w:szCs w:val="16"/>
                <w:lang w:val="en"/>
              </w:rPr>
              <w:t xml:space="preserve"> Length</w:t>
            </w:r>
            <w:r w:rsidR="648B5F1A" w:rsidRPr="7C82B073">
              <w:rPr>
                <w:rFonts w:eastAsia="Times New Roman"/>
                <w:color w:val="000000" w:themeColor="text1"/>
                <w:sz w:val="16"/>
                <w:szCs w:val="16"/>
                <w:lang w:val="en"/>
              </w:rPr>
              <w:t>/Width</w:t>
            </w:r>
          </w:p>
        </w:tc>
        <w:tc>
          <w:tcPr>
            <w:tcW w:w="99.30pt" w:type="dxa"/>
            <w:vAlign w:val="center"/>
          </w:tcPr>
          <w:p w14:paraId="0C72BF62" w14:textId="4618DF48" w:rsidR="67B870C1" w:rsidRDefault="0907233C" w:rsidP="00DC267A">
            <w:pPr>
              <w:widowControl w:val="0"/>
              <w:ind w:start="0.80pt"/>
              <w:rPr>
                <w:rFonts w:eastAsia="Times New Roman"/>
                <w:color w:val="000000" w:themeColor="text1"/>
                <w:sz w:val="16"/>
                <w:szCs w:val="16"/>
              </w:rPr>
            </w:pPr>
            <w:r w:rsidRPr="7C82B073">
              <w:rPr>
                <w:rFonts w:eastAsia="Times New Roman"/>
                <w:color w:val="000000" w:themeColor="text1"/>
                <w:sz w:val="16"/>
                <w:szCs w:val="16"/>
              </w:rPr>
              <w:t>5 μm</w:t>
            </w:r>
            <w:r w:rsidR="455DA7C1" w:rsidRPr="7C82B073">
              <w:rPr>
                <w:rFonts w:eastAsia="Times New Roman"/>
                <w:color w:val="000000" w:themeColor="text1"/>
                <w:sz w:val="16"/>
                <w:szCs w:val="16"/>
              </w:rPr>
              <w:t>/5 μm</w:t>
            </w:r>
          </w:p>
        </w:tc>
      </w:tr>
      <w:tr w:rsidR="67B870C1" w14:paraId="00C2A07B" w14:textId="77777777" w:rsidTr="00DC267A">
        <w:trPr>
          <w:trHeight w:val="317"/>
        </w:trPr>
        <w:tc>
          <w:tcPr>
            <w:tcW w:w="141.95pt" w:type="dxa"/>
            <w:vAlign w:val="center"/>
          </w:tcPr>
          <w:p w14:paraId="5D942B23" w14:textId="11D35F6C"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lang w:val="en"/>
              </w:rPr>
              <w:t>Channel Length (L)</w:t>
            </w:r>
          </w:p>
        </w:tc>
        <w:tc>
          <w:tcPr>
            <w:tcW w:w="99.30pt" w:type="dxa"/>
            <w:vAlign w:val="center"/>
          </w:tcPr>
          <w:p w14:paraId="78C3857F" w14:textId="6B45DF69"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rPr>
              <w:t>3 μm</w:t>
            </w:r>
          </w:p>
        </w:tc>
      </w:tr>
      <w:tr w:rsidR="67B870C1" w14:paraId="0A0B586B" w14:textId="77777777" w:rsidTr="00DC267A">
        <w:trPr>
          <w:trHeight w:val="317"/>
        </w:trPr>
        <w:tc>
          <w:tcPr>
            <w:tcW w:w="141.95pt" w:type="dxa"/>
            <w:vAlign w:val="center"/>
          </w:tcPr>
          <w:p w14:paraId="4F68EB94" w14:textId="54B58D98"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lang w:val="en"/>
              </w:rPr>
              <w:t>Channel Width (W)</w:t>
            </w:r>
          </w:p>
        </w:tc>
        <w:tc>
          <w:tcPr>
            <w:tcW w:w="99.30pt" w:type="dxa"/>
            <w:vAlign w:val="center"/>
          </w:tcPr>
          <w:p w14:paraId="40C62F52" w14:textId="41081413"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rPr>
              <w:t>5 μm</w:t>
            </w:r>
          </w:p>
        </w:tc>
      </w:tr>
      <w:tr w:rsidR="67B870C1" w14:paraId="0EDD8C09" w14:textId="77777777" w:rsidTr="00DC267A">
        <w:trPr>
          <w:trHeight w:val="317"/>
        </w:trPr>
        <w:tc>
          <w:tcPr>
            <w:tcW w:w="141.95pt" w:type="dxa"/>
            <w:vAlign w:val="center"/>
          </w:tcPr>
          <w:p w14:paraId="6E934145" w14:textId="21B4593F"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lang w:val="en"/>
              </w:rPr>
              <w:t>SiO</w:t>
            </w:r>
            <w:r w:rsidRPr="67B870C1">
              <w:rPr>
                <w:rFonts w:eastAsia="Times New Roman"/>
                <w:color w:val="000000" w:themeColor="text1"/>
                <w:sz w:val="16"/>
                <w:szCs w:val="16"/>
                <w:vertAlign w:val="subscript"/>
                <w:lang w:val="en"/>
              </w:rPr>
              <w:t>2</w:t>
            </w:r>
            <w:r w:rsidRPr="67B870C1">
              <w:rPr>
                <w:rFonts w:eastAsia="Times New Roman"/>
                <w:color w:val="000000" w:themeColor="text1"/>
                <w:sz w:val="16"/>
                <w:szCs w:val="16"/>
                <w:lang w:val="en"/>
              </w:rPr>
              <w:t xml:space="preserve"> thickness</w:t>
            </w:r>
          </w:p>
        </w:tc>
        <w:tc>
          <w:tcPr>
            <w:tcW w:w="99.30pt" w:type="dxa"/>
            <w:vAlign w:val="center"/>
          </w:tcPr>
          <w:p w14:paraId="3472E36D" w14:textId="5E6FC7A1"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lang w:val="en"/>
              </w:rPr>
              <w:t>300 nm</w:t>
            </w:r>
          </w:p>
        </w:tc>
      </w:tr>
      <w:tr w:rsidR="67B870C1" w14:paraId="60BF99C9" w14:textId="77777777" w:rsidTr="00DC267A">
        <w:trPr>
          <w:trHeight w:val="317"/>
        </w:trPr>
        <w:tc>
          <w:tcPr>
            <w:tcW w:w="141.95pt" w:type="dxa"/>
            <w:vAlign w:val="center"/>
          </w:tcPr>
          <w:p w14:paraId="3FF1094A" w14:textId="227B59EB"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lang w:val="en"/>
              </w:rPr>
              <w:t>Polysilicon (Graphene) thickness</w:t>
            </w:r>
          </w:p>
        </w:tc>
        <w:tc>
          <w:tcPr>
            <w:tcW w:w="99.30pt" w:type="dxa"/>
            <w:vAlign w:val="center"/>
          </w:tcPr>
          <w:p w14:paraId="652A0558" w14:textId="38FE4895"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lang w:val="en"/>
              </w:rPr>
              <w:t>5 nm</w:t>
            </w:r>
          </w:p>
        </w:tc>
      </w:tr>
      <w:tr w:rsidR="67B870C1" w14:paraId="60A1D51D" w14:textId="77777777" w:rsidTr="00DC267A">
        <w:trPr>
          <w:trHeight w:val="317"/>
        </w:trPr>
        <w:tc>
          <w:tcPr>
            <w:tcW w:w="141.95pt" w:type="dxa"/>
            <w:vAlign w:val="center"/>
          </w:tcPr>
          <w:p w14:paraId="303CB3CB" w14:textId="460388A5"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lang w:val="en"/>
              </w:rPr>
              <w:t>Metal contact Length</w:t>
            </w:r>
          </w:p>
        </w:tc>
        <w:tc>
          <w:tcPr>
            <w:tcW w:w="99.30pt" w:type="dxa"/>
            <w:vAlign w:val="center"/>
          </w:tcPr>
          <w:p w14:paraId="399EB6F7" w14:textId="4130A5FE"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rPr>
              <w:t>1 μm</w:t>
            </w:r>
          </w:p>
        </w:tc>
      </w:tr>
      <w:tr w:rsidR="67B870C1" w14:paraId="6097FEC1" w14:textId="77777777" w:rsidTr="00DC267A">
        <w:trPr>
          <w:trHeight w:val="317"/>
        </w:trPr>
        <w:tc>
          <w:tcPr>
            <w:tcW w:w="141.95pt" w:type="dxa"/>
            <w:vAlign w:val="center"/>
          </w:tcPr>
          <w:p w14:paraId="15004368" w14:textId="6A9198BC"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lang w:val="en"/>
              </w:rPr>
              <w:t>Metal contact Width</w:t>
            </w:r>
          </w:p>
        </w:tc>
        <w:tc>
          <w:tcPr>
            <w:tcW w:w="99.30pt" w:type="dxa"/>
            <w:vAlign w:val="center"/>
          </w:tcPr>
          <w:p w14:paraId="252F70F3" w14:textId="5E64D0E1"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rPr>
              <w:t>5 μm</w:t>
            </w:r>
          </w:p>
        </w:tc>
      </w:tr>
      <w:tr w:rsidR="67B870C1" w14:paraId="0CE3A61A" w14:textId="77777777" w:rsidTr="00DC267A">
        <w:trPr>
          <w:trHeight w:val="317"/>
        </w:trPr>
        <w:tc>
          <w:tcPr>
            <w:tcW w:w="141.95pt" w:type="dxa"/>
            <w:vAlign w:val="center"/>
          </w:tcPr>
          <w:p w14:paraId="1176E778" w14:textId="39724EE5"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lang w:val="en"/>
              </w:rPr>
              <w:t>Au thickness</w:t>
            </w:r>
          </w:p>
        </w:tc>
        <w:tc>
          <w:tcPr>
            <w:tcW w:w="99.30pt" w:type="dxa"/>
            <w:vAlign w:val="center"/>
          </w:tcPr>
          <w:p w14:paraId="185EA232" w14:textId="7E007670"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lang w:val="en"/>
              </w:rPr>
              <w:t>50 nm</w:t>
            </w:r>
          </w:p>
        </w:tc>
      </w:tr>
      <w:tr w:rsidR="67B870C1" w14:paraId="296A3D8A" w14:textId="77777777" w:rsidTr="00DC267A">
        <w:trPr>
          <w:trHeight w:val="317"/>
        </w:trPr>
        <w:tc>
          <w:tcPr>
            <w:tcW w:w="141.95pt" w:type="dxa"/>
            <w:vAlign w:val="center"/>
          </w:tcPr>
          <w:p w14:paraId="2FEC2123" w14:textId="3D21683C"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lang w:val="en"/>
              </w:rPr>
              <w:t>Electrolyte thickness</w:t>
            </w:r>
          </w:p>
        </w:tc>
        <w:tc>
          <w:tcPr>
            <w:tcW w:w="99.30pt" w:type="dxa"/>
            <w:vAlign w:val="center"/>
          </w:tcPr>
          <w:p w14:paraId="32A1BE91" w14:textId="70763755"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lang w:val="en"/>
              </w:rPr>
              <w:t>100 nm</w:t>
            </w:r>
          </w:p>
        </w:tc>
      </w:tr>
      <w:tr w:rsidR="67B870C1" w14:paraId="245F6704" w14:textId="77777777" w:rsidTr="00DC267A">
        <w:trPr>
          <w:trHeight w:val="317"/>
        </w:trPr>
        <w:tc>
          <w:tcPr>
            <w:tcW w:w="141.95pt" w:type="dxa"/>
            <w:vAlign w:val="center"/>
          </w:tcPr>
          <w:p w14:paraId="2D3A56D1" w14:textId="68FBAF65"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lang w:val="en"/>
              </w:rPr>
              <w:t>Al</w:t>
            </w:r>
            <w:r w:rsidRPr="67B870C1">
              <w:rPr>
                <w:rFonts w:eastAsia="Times New Roman"/>
                <w:color w:val="000000" w:themeColor="text1"/>
                <w:sz w:val="16"/>
                <w:szCs w:val="16"/>
                <w:vertAlign w:val="subscript"/>
                <w:lang w:val="en"/>
              </w:rPr>
              <w:t>2</w:t>
            </w:r>
            <w:r w:rsidRPr="67B870C1">
              <w:rPr>
                <w:rFonts w:eastAsia="Times New Roman"/>
                <w:color w:val="000000" w:themeColor="text1"/>
                <w:sz w:val="16"/>
                <w:szCs w:val="16"/>
                <w:lang w:val="en"/>
              </w:rPr>
              <w:t>O</w:t>
            </w:r>
            <w:r w:rsidRPr="67B870C1">
              <w:rPr>
                <w:rFonts w:eastAsia="Times New Roman"/>
                <w:color w:val="000000" w:themeColor="text1"/>
                <w:sz w:val="16"/>
                <w:szCs w:val="16"/>
                <w:vertAlign w:val="subscript"/>
                <w:lang w:val="en"/>
              </w:rPr>
              <w:t>3</w:t>
            </w:r>
            <w:r w:rsidRPr="67B870C1">
              <w:rPr>
                <w:rFonts w:eastAsia="Times New Roman"/>
                <w:color w:val="000000" w:themeColor="text1"/>
                <w:sz w:val="16"/>
                <w:szCs w:val="16"/>
                <w:lang w:val="en"/>
              </w:rPr>
              <w:t xml:space="preserve"> thickness</w:t>
            </w:r>
          </w:p>
        </w:tc>
        <w:tc>
          <w:tcPr>
            <w:tcW w:w="99.30pt" w:type="dxa"/>
            <w:vAlign w:val="center"/>
          </w:tcPr>
          <w:p w14:paraId="6EF7AAF6" w14:textId="0712322E" w:rsidR="67B870C1" w:rsidRDefault="67B870C1" w:rsidP="00DC267A">
            <w:pPr>
              <w:widowControl w:val="0"/>
              <w:ind w:start="0.80pt"/>
              <w:rPr>
                <w:rFonts w:eastAsia="Times New Roman"/>
                <w:color w:val="000000" w:themeColor="text1"/>
                <w:sz w:val="16"/>
                <w:szCs w:val="16"/>
              </w:rPr>
            </w:pPr>
            <w:r w:rsidRPr="67B870C1">
              <w:rPr>
                <w:rFonts w:eastAsia="Times New Roman"/>
                <w:color w:val="000000" w:themeColor="text1"/>
                <w:sz w:val="16"/>
                <w:szCs w:val="16"/>
                <w:lang w:val="en"/>
              </w:rPr>
              <w:t>100 nm</w:t>
            </w:r>
          </w:p>
        </w:tc>
      </w:tr>
    </w:tbl>
    <w:p w14:paraId="2DAE5159" w14:textId="149BEFC2" w:rsidR="38458FD7" w:rsidRDefault="3A66BD58" w:rsidP="00C40FD6">
      <w:pPr>
        <w:pStyle w:val="tablehead"/>
      </w:pPr>
      <w:r w:rsidRPr="5A5BA817">
        <w:t>Material parameters of Graphene used to model GFET [11][12][13]</w:t>
      </w:r>
    </w:p>
    <w:tbl>
      <w:tblPr>
        <w:tblStyle w:val="TableGrid"/>
        <w:tblW w:w="0pt" w:type="dxa"/>
        <w:tblLayout w:type="fixed"/>
        <w:tblLook w:firstRow="0" w:lastRow="0" w:firstColumn="0" w:lastColumn="0" w:noHBand="0" w:noVBand="0"/>
      </w:tblPr>
      <w:tblGrid>
        <w:gridCol w:w="1350"/>
        <w:gridCol w:w="1440"/>
        <w:gridCol w:w="2025"/>
      </w:tblGrid>
      <w:tr w:rsidR="67B870C1" w14:paraId="79156107" w14:textId="77777777" w:rsidTr="00DC267A">
        <w:trPr>
          <w:trHeight w:val="300"/>
        </w:trPr>
        <w:tc>
          <w:tcPr>
            <w:tcW w:w="67.50pt" w:type="dxa"/>
            <w:vAlign w:val="center"/>
          </w:tcPr>
          <w:p w14:paraId="4523168F" w14:textId="7492FA53" w:rsidR="67B870C1" w:rsidRDefault="67B870C1" w:rsidP="00DC267A">
            <w:pPr>
              <w:widowControl w:val="0"/>
              <w:rPr>
                <w:rFonts w:eastAsia="Times New Roman"/>
                <w:color w:val="000000" w:themeColor="text1"/>
                <w:sz w:val="16"/>
                <w:szCs w:val="16"/>
              </w:rPr>
            </w:pPr>
            <w:r w:rsidRPr="67B870C1">
              <w:rPr>
                <w:rFonts w:eastAsia="Times New Roman"/>
                <w:b/>
                <w:bCs/>
                <w:color w:val="000000" w:themeColor="text1"/>
                <w:sz w:val="16"/>
                <w:szCs w:val="16"/>
                <w:lang w:val="en"/>
              </w:rPr>
              <w:t>Parameter</w:t>
            </w:r>
          </w:p>
        </w:tc>
        <w:tc>
          <w:tcPr>
            <w:tcW w:w="72pt" w:type="dxa"/>
            <w:vAlign w:val="center"/>
          </w:tcPr>
          <w:p w14:paraId="105D2540" w14:textId="120EA166" w:rsidR="67B870C1" w:rsidRDefault="67B870C1" w:rsidP="00DC267A">
            <w:pPr>
              <w:widowControl w:val="0"/>
              <w:rPr>
                <w:rFonts w:eastAsia="Times New Roman"/>
                <w:color w:val="000000" w:themeColor="text1"/>
                <w:sz w:val="16"/>
                <w:szCs w:val="16"/>
              </w:rPr>
            </w:pPr>
            <w:r w:rsidRPr="67B870C1">
              <w:rPr>
                <w:rFonts w:eastAsia="Times New Roman"/>
                <w:b/>
                <w:bCs/>
                <w:color w:val="000000" w:themeColor="text1"/>
                <w:sz w:val="16"/>
                <w:szCs w:val="16"/>
                <w:lang w:val="en"/>
              </w:rPr>
              <w:t>Description</w:t>
            </w:r>
          </w:p>
        </w:tc>
        <w:tc>
          <w:tcPr>
            <w:tcW w:w="101.25pt" w:type="dxa"/>
            <w:vAlign w:val="center"/>
          </w:tcPr>
          <w:p w14:paraId="2703718C" w14:textId="191D76CD" w:rsidR="67B870C1" w:rsidRDefault="67B870C1" w:rsidP="00DC267A">
            <w:pPr>
              <w:widowControl w:val="0"/>
              <w:rPr>
                <w:rFonts w:eastAsia="Times New Roman"/>
                <w:color w:val="000000" w:themeColor="text1"/>
                <w:sz w:val="16"/>
                <w:szCs w:val="16"/>
              </w:rPr>
            </w:pPr>
            <w:r w:rsidRPr="67B870C1">
              <w:rPr>
                <w:rFonts w:eastAsia="Times New Roman"/>
                <w:b/>
                <w:bCs/>
                <w:color w:val="000000" w:themeColor="text1"/>
                <w:sz w:val="16"/>
                <w:szCs w:val="16"/>
                <w:lang w:val="en"/>
              </w:rPr>
              <w:t>Value</w:t>
            </w:r>
          </w:p>
        </w:tc>
      </w:tr>
      <w:tr w:rsidR="67B870C1" w14:paraId="6F7F4174" w14:textId="77777777" w:rsidTr="00DC267A">
        <w:trPr>
          <w:trHeight w:val="300"/>
        </w:trPr>
        <w:tc>
          <w:tcPr>
            <w:tcW w:w="67.50pt" w:type="dxa"/>
            <w:vAlign w:val="center"/>
          </w:tcPr>
          <w:p w14:paraId="543D2A92" w14:textId="09EA865D"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lang w:val="en"/>
              </w:rPr>
              <w:t>Eg</w:t>
            </w:r>
          </w:p>
        </w:tc>
        <w:tc>
          <w:tcPr>
            <w:tcW w:w="72pt" w:type="dxa"/>
            <w:vAlign w:val="center"/>
          </w:tcPr>
          <w:p w14:paraId="0FBC81B7" w14:textId="2CA4D07C"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lang w:val="en"/>
              </w:rPr>
              <w:t>Bandgap</w:t>
            </w:r>
          </w:p>
        </w:tc>
        <w:tc>
          <w:tcPr>
            <w:tcW w:w="101.25pt" w:type="dxa"/>
            <w:vAlign w:val="center"/>
          </w:tcPr>
          <w:p w14:paraId="3CA223E6" w14:textId="48F80F75"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lang w:val="en"/>
              </w:rPr>
              <w:t>10</w:t>
            </w:r>
            <w:r w:rsidRPr="00982A7D">
              <w:rPr>
                <w:rFonts w:eastAsia="Times New Roman"/>
                <w:color w:val="000000" w:themeColor="text1"/>
                <w:sz w:val="16"/>
                <w:szCs w:val="16"/>
                <w:vertAlign w:val="superscript"/>
                <w:lang w:val="en"/>
              </w:rPr>
              <w:t>-4</w:t>
            </w:r>
            <w:r w:rsidRPr="67B870C1">
              <w:rPr>
                <w:rFonts w:eastAsia="Times New Roman"/>
                <w:color w:val="000000" w:themeColor="text1"/>
                <w:sz w:val="16"/>
                <w:szCs w:val="16"/>
                <w:lang w:val="en"/>
              </w:rPr>
              <w:t xml:space="preserve"> eV</w:t>
            </w:r>
          </w:p>
        </w:tc>
      </w:tr>
      <w:tr w:rsidR="67B870C1" w14:paraId="4F1A34B3" w14:textId="77777777" w:rsidTr="00DC267A">
        <w:trPr>
          <w:trHeight w:val="300"/>
        </w:trPr>
        <w:tc>
          <w:tcPr>
            <w:tcW w:w="67.50pt" w:type="dxa"/>
            <w:vAlign w:val="center"/>
          </w:tcPr>
          <w:p w14:paraId="08F612CF" w14:textId="2DC7812C"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lang w:val="en"/>
              </w:rPr>
              <w:t>ε</w:t>
            </w:r>
          </w:p>
        </w:tc>
        <w:tc>
          <w:tcPr>
            <w:tcW w:w="72pt" w:type="dxa"/>
            <w:vAlign w:val="center"/>
          </w:tcPr>
          <w:p w14:paraId="1812B471" w14:textId="0629026B"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lang w:val="en"/>
              </w:rPr>
              <w:t>Permittivity</w:t>
            </w:r>
          </w:p>
        </w:tc>
        <w:tc>
          <w:tcPr>
            <w:tcW w:w="101.25pt" w:type="dxa"/>
            <w:vAlign w:val="center"/>
          </w:tcPr>
          <w:p w14:paraId="51154A0C" w14:textId="1B82C84C"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lang w:val="en"/>
              </w:rPr>
              <w:t>25</w:t>
            </w:r>
          </w:p>
        </w:tc>
      </w:tr>
      <w:tr w:rsidR="67B870C1" w14:paraId="09A52354" w14:textId="77777777" w:rsidTr="00DC267A">
        <w:trPr>
          <w:trHeight w:val="300"/>
        </w:trPr>
        <w:tc>
          <w:tcPr>
            <w:tcW w:w="67.50pt" w:type="dxa"/>
            <w:vAlign w:val="center"/>
          </w:tcPr>
          <w:p w14:paraId="465E991C" w14:textId="3D5ABBE3"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rPr>
              <w:t>μ</w:t>
            </w:r>
            <w:r w:rsidRPr="67B870C1">
              <w:rPr>
                <w:rFonts w:eastAsia="Times New Roman"/>
                <w:color w:val="000000" w:themeColor="text1"/>
                <w:sz w:val="16"/>
                <w:szCs w:val="16"/>
                <w:vertAlign w:val="subscript"/>
              </w:rPr>
              <w:t>n</w:t>
            </w:r>
          </w:p>
        </w:tc>
        <w:tc>
          <w:tcPr>
            <w:tcW w:w="72pt" w:type="dxa"/>
            <w:vAlign w:val="center"/>
          </w:tcPr>
          <w:p w14:paraId="5C3D618B" w14:textId="5F56D360"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lang w:val="en"/>
              </w:rPr>
              <w:t>Electron mobility</w:t>
            </w:r>
          </w:p>
        </w:tc>
        <w:tc>
          <w:tcPr>
            <w:tcW w:w="101.25pt" w:type="dxa"/>
            <w:vAlign w:val="center"/>
          </w:tcPr>
          <w:p w14:paraId="5F8A5BDA" w14:textId="6A707EB8"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lang w:val="en"/>
              </w:rPr>
              <w:t>10000 cm²/V·s</w:t>
            </w:r>
          </w:p>
        </w:tc>
      </w:tr>
      <w:tr w:rsidR="67B870C1" w14:paraId="12DAE6A9" w14:textId="77777777" w:rsidTr="00DC267A">
        <w:trPr>
          <w:trHeight w:val="300"/>
        </w:trPr>
        <w:tc>
          <w:tcPr>
            <w:tcW w:w="67.50pt" w:type="dxa"/>
            <w:vAlign w:val="center"/>
          </w:tcPr>
          <w:p w14:paraId="4CC08A1B" w14:textId="78110CC7"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rPr>
              <w:t>μ</w:t>
            </w:r>
            <w:r w:rsidRPr="67B870C1">
              <w:rPr>
                <w:rFonts w:eastAsia="Times New Roman"/>
                <w:color w:val="000000" w:themeColor="text1"/>
                <w:sz w:val="16"/>
                <w:szCs w:val="16"/>
                <w:vertAlign w:val="subscript"/>
              </w:rPr>
              <w:t>p</w:t>
            </w:r>
          </w:p>
        </w:tc>
        <w:tc>
          <w:tcPr>
            <w:tcW w:w="72pt" w:type="dxa"/>
            <w:vAlign w:val="center"/>
          </w:tcPr>
          <w:p w14:paraId="7D60FBBC" w14:textId="6F8A785B"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lang w:val="en"/>
              </w:rPr>
              <w:t>Hole mobility</w:t>
            </w:r>
          </w:p>
        </w:tc>
        <w:tc>
          <w:tcPr>
            <w:tcW w:w="101.25pt" w:type="dxa"/>
            <w:vAlign w:val="center"/>
          </w:tcPr>
          <w:p w14:paraId="05AB35ED" w14:textId="2C760C7B"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lang w:val="en"/>
              </w:rPr>
              <w:t>10000 cm²/V·s</w:t>
            </w:r>
          </w:p>
        </w:tc>
      </w:tr>
      <w:tr w:rsidR="67B870C1" w14:paraId="02F39034" w14:textId="77777777" w:rsidTr="00DC267A">
        <w:trPr>
          <w:trHeight w:val="300"/>
        </w:trPr>
        <w:tc>
          <w:tcPr>
            <w:tcW w:w="67.50pt" w:type="dxa"/>
            <w:vAlign w:val="center"/>
          </w:tcPr>
          <w:p w14:paraId="2E7E22F6" w14:textId="17557AE1"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rPr>
              <w:t>V</w:t>
            </w:r>
            <w:r w:rsidRPr="67B870C1">
              <w:rPr>
                <w:rFonts w:eastAsia="Times New Roman"/>
                <w:color w:val="000000" w:themeColor="text1"/>
                <w:sz w:val="16"/>
                <w:szCs w:val="16"/>
                <w:vertAlign w:val="subscript"/>
              </w:rPr>
              <w:t>sat</w:t>
            </w:r>
          </w:p>
        </w:tc>
        <w:tc>
          <w:tcPr>
            <w:tcW w:w="72pt" w:type="dxa"/>
            <w:vAlign w:val="center"/>
          </w:tcPr>
          <w:p w14:paraId="50D3FCD6" w14:textId="2CE2D6D4"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lang w:val="en"/>
              </w:rPr>
              <w:t>Saturation velocity</w:t>
            </w:r>
          </w:p>
        </w:tc>
        <w:tc>
          <w:tcPr>
            <w:tcW w:w="101.25pt" w:type="dxa"/>
            <w:vAlign w:val="center"/>
          </w:tcPr>
          <w:p w14:paraId="43DCDED3" w14:textId="497D3DED"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lang w:val="en"/>
              </w:rPr>
              <w:t>4x10</w:t>
            </w:r>
            <w:r w:rsidRPr="67B870C1">
              <w:rPr>
                <w:rFonts w:eastAsia="Times New Roman"/>
                <w:color w:val="000000" w:themeColor="text1"/>
                <w:sz w:val="16"/>
                <w:szCs w:val="16"/>
                <w:vertAlign w:val="superscript"/>
                <w:lang w:val="en"/>
              </w:rPr>
              <w:t>7</w:t>
            </w:r>
            <w:r w:rsidRPr="67B870C1">
              <w:rPr>
                <w:rFonts w:eastAsia="Times New Roman"/>
                <w:color w:val="000000" w:themeColor="text1"/>
                <w:sz w:val="16"/>
                <w:szCs w:val="16"/>
                <w:lang w:val="en"/>
              </w:rPr>
              <w:t xml:space="preserve"> cm/s</w:t>
            </w:r>
          </w:p>
        </w:tc>
      </w:tr>
      <w:tr w:rsidR="67B870C1" w14:paraId="1D4AC51B" w14:textId="77777777" w:rsidTr="00DC267A">
        <w:trPr>
          <w:trHeight w:val="300"/>
        </w:trPr>
        <w:tc>
          <w:tcPr>
            <w:tcW w:w="67.50pt" w:type="dxa"/>
            <w:vAlign w:val="center"/>
          </w:tcPr>
          <w:p w14:paraId="75BC93D4" w14:textId="131D39EF"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lang w:val="en"/>
              </w:rPr>
              <w:t>𝛘</w:t>
            </w:r>
          </w:p>
        </w:tc>
        <w:tc>
          <w:tcPr>
            <w:tcW w:w="72pt" w:type="dxa"/>
            <w:vAlign w:val="center"/>
          </w:tcPr>
          <w:p w14:paraId="5AF0C47C" w14:textId="6F148515"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lang w:val="en"/>
              </w:rPr>
              <w:t>Electron affinity</w:t>
            </w:r>
          </w:p>
        </w:tc>
        <w:tc>
          <w:tcPr>
            <w:tcW w:w="101.25pt" w:type="dxa"/>
            <w:vAlign w:val="center"/>
          </w:tcPr>
          <w:p w14:paraId="4C7137AD" w14:textId="08B4936D" w:rsidR="67B870C1" w:rsidRDefault="67B870C1" w:rsidP="00DC267A">
            <w:pPr>
              <w:widowControl w:val="0"/>
              <w:rPr>
                <w:rFonts w:eastAsia="Times New Roman"/>
                <w:color w:val="000000" w:themeColor="text1"/>
                <w:sz w:val="16"/>
                <w:szCs w:val="16"/>
              </w:rPr>
            </w:pPr>
            <w:r w:rsidRPr="67B870C1">
              <w:rPr>
                <w:rFonts w:eastAsia="Times New Roman"/>
                <w:color w:val="000000" w:themeColor="text1"/>
                <w:sz w:val="16"/>
                <w:szCs w:val="16"/>
                <w:lang w:val="en"/>
              </w:rPr>
              <w:t>4.248 eV</w:t>
            </w:r>
          </w:p>
        </w:tc>
      </w:tr>
    </w:tbl>
    <w:p w14:paraId="376E72D6" w14:textId="40E14798" w:rsidR="0087002B" w:rsidRDefault="0087002B" w:rsidP="00C40FD6">
      <w:pPr>
        <w:pStyle w:val="tablehead"/>
      </w:pPr>
      <w:r>
        <w:t>M</w:t>
      </w:r>
      <w:r w:rsidRPr="5A5BA817">
        <w:t xml:space="preserve">aterial parameters of (0.001X) diluted PBS solution used </w:t>
      </w:r>
      <w:r w:rsidR="009A534C">
        <w:t>in</w:t>
      </w:r>
      <w:r w:rsidRPr="5A5BA817">
        <w:t xml:space="preserve"> GFET</w:t>
      </w:r>
    </w:p>
    <w:tbl>
      <w:tblPr>
        <w:tblStyle w:val="TableGrid"/>
        <w:tblW w:w="240.75pt" w:type="dxa"/>
        <w:tblLayout w:type="fixed"/>
        <w:tblLook w:firstRow="0" w:lastRow="0" w:firstColumn="0" w:lastColumn="0" w:noHBand="0" w:noVBand="0"/>
      </w:tblPr>
      <w:tblGrid>
        <w:gridCol w:w="1305"/>
        <w:gridCol w:w="1665"/>
        <w:gridCol w:w="1845"/>
      </w:tblGrid>
      <w:tr w:rsidR="0087002B" w14:paraId="7F14F667" w14:textId="77777777" w:rsidTr="00835018">
        <w:trPr>
          <w:trHeight w:val="300"/>
        </w:trPr>
        <w:tc>
          <w:tcPr>
            <w:tcW w:w="65.25pt" w:type="dxa"/>
            <w:vAlign w:val="center"/>
          </w:tcPr>
          <w:p w14:paraId="23385821" w14:textId="77777777" w:rsidR="0087002B" w:rsidRDefault="0087002B" w:rsidP="00831EDE">
            <w:pPr>
              <w:widowControl w:val="0"/>
              <w:rPr>
                <w:rFonts w:eastAsia="Times New Roman"/>
                <w:color w:val="000000" w:themeColor="text1"/>
                <w:sz w:val="16"/>
                <w:szCs w:val="16"/>
              </w:rPr>
            </w:pPr>
            <w:r w:rsidRPr="67B870C1">
              <w:rPr>
                <w:rFonts w:eastAsia="Times New Roman"/>
                <w:b/>
                <w:bCs/>
                <w:color w:val="000000" w:themeColor="text1"/>
                <w:sz w:val="16"/>
                <w:szCs w:val="16"/>
                <w:lang w:val="en"/>
              </w:rPr>
              <w:t>Parameter</w:t>
            </w:r>
          </w:p>
        </w:tc>
        <w:tc>
          <w:tcPr>
            <w:tcW w:w="83.25pt" w:type="dxa"/>
            <w:vAlign w:val="center"/>
          </w:tcPr>
          <w:p w14:paraId="4399C267" w14:textId="77777777" w:rsidR="0087002B" w:rsidRDefault="0087002B" w:rsidP="00831EDE">
            <w:pPr>
              <w:widowControl w:val="0"/>
              <w:rPr>
                <w:rFonts w:eastAsia="Times New Roman"/>
                <w:color w:val="000000" w:themeColor="text1"/>
                <w:sz w:val="16"/>
                <w:szCs w:val="16"/>
              </w:rPr>
            </w:pPr>
            <w:r w:rsidRPr="67B870C1">
              <w:rPr>
                <w:rFonts w:eastAsia="Times New Roman"/>
                <w:b/>
                <w:bCs/>
                <w:color w:val="000000" w:themeColor="text1"/>
                <w:sz w:val="16"/>
                <w:szCs w:val="16"/>
                <w:lang w:val="en"/>
              </w:rPr>
              <w:t>Description</w:t>
            </w:r>
          </w:p>
        </w:tc>
        <w:tc>
          <w:tcPr>
            <w:tcW w:w="92.25pt" w:type="dxa"/>
            <w:vAlign w:val="center"/>
          </w:tcPr>
          <w:p w14:paraId="7CC3D024" w14:textId="77777777" w:rsidR="0087002B" w:rsidRDefault="0087002B" w:rsidP="00831EDE">
            <w:pPr>
              <w:widowControl w:val="0"/>
              <w:rPr>
                <w:rFonts w:eastAsia="Times New Roman"/>
                <w:color w:val="000000" w:themeColor="text1"/>
                <w:sz w:val="16"/>
                <w:szCs w:val="16"/>
              </w:rPr>
            </w:pPr>
            <w:r w:rsidRPr="67B870C1">
              <w:rPr>
                <w:rFonts w:eastAsia="Times New Roman"/>
                <w:b/>
                <w:bCs/>
                <w:color w:val="000000" w:themeColor="text1"/>
                <w:sz w:val="16"/>
                <w:szCs w:val="16"/>
                <w:lang w:val="en"/>
              </w:rPr>
              <w:t>Value</w:t>
            </w:r>
          </w:p>
        </w:tc>
      </w:tr>
      <w:tr w:rsidR="0087002B" w14:paraId="346C2F76" w14:textId="77777777" w:rsidTr="00835018">
        <w:trPr>
          <w:trHeight w:val="300"/>
        </w:trPr>
        <w:tc>
          <w:tcPr>
            <w:tcW w:w="65.25pt" w:type="dxa"/>
            <w:vAlign w:val="center"/>
          </w:tcPr>
          <w:p w14:paraId="623DBB09"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Eg</w:t>
            </w:r>
          </w:p>
        </w:tc>
        <w:tc>
          <w:tcPr>
            <w:tcW w:w="83.25pt" w:type="dxa"/>
            <w:vAlign w:val="center"/>
          </w:tcPr>
          <w:p w14:paraId="753D3E94"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Bandgap</w:t>
            </w:r>
          </w:p>
        </w:tc>
        <w:tc>
          <w:tcPr>
            <w:tcW w:w="92.25pt" w:type="dxa"/>
            <w:vAlign w:val="center"/>
          </w:tcPr>
          <w:p w14:paraId="4996ACB3"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1.5 eV</w:t>
            </w:r>
          </w:p>
        </w:tc>
      </w:tr>
      <w:tr w:rsidR="0087002B" w14:paraId="131D066A" w14:textId="77777777" w:rsidTr="00835018">
        <w:trPr>
          <w:trHeight w:val="300"/>
        </w:trPr>
        <w:tc>
          <w:tcPr>
            <w:tcW w:w="65.25pt" w:type="dxa"/>
            <w:vAlign w:val="center"/>
          </w:tcPr>
          <w:p w14:paraId="356592F1"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ε</w:t>
            </w:r>
          </w:p>
        </w:tc>
        <w:tc>
          <w:tcPr>
            <w:tcW w:w="83.25pt" w:type="dxa"/>
            <w:vAlign w:val="center"/>
          </w:tcPr>
          <w:p w14:paraId="14C2EF8F"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Permittivity</w:t>
            </w:r>
          </w:p>
        </w:tc>
        <w:tc>
          <w:tcPr>
            <w:tcW w:w="92.25pt" w:type="dxa"/>
            <w:vAlign w:val="center"/>
          </w:tcPr>
          <w:p w14:paraId="156D09C8"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80</w:t>
            </w:r>
          </w:p>
        </w:tc>
      </w:tr>
      <w:tr w:rsidR="0087002B" w14:paraId="1FA8C641" w14:textId="77777777" w:rsidTr="00835018">
        <w:trPr>
          <w:trHeight w:val="300"/>
        </w:trPr>
        <w:tc>
          <w:tcPr>
            <w:tcW w:w="65.25pt" w:type="dxa"/>
            <w:vAlign w:val="center"/>
          </w:tcPr>
          <w:p w14:paraId="5B8BD24B"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rPr>
              <w:t>μ</w:t>
            </w:r>
            <w:r w:rsidRPr="67B870C1">
              <w:rPr>
                <w:rFonts w:eastAsia="Times New Roman"/>
                <w:color w:val="000000" w:themeColor="text1"/>
                <w:sz w:val="16"/>
                <w:szCs w:val="16"/>
                <w:vertAlign w:val="subscript"/>
              </w:rPr>
              <w:t>n</w:t>
            </w:r>
          </w:p>
        </w:tc>
        <w:tc>
          <w:tcPr>
            <w:tcW w:w="83.25pt" w:type="dxa"/>
            <w:vAlign w:val="center"/>
          </w:tcPr>
          <w:p w14:paraId="1E0F7385"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Electron mobility</w:t>
            </w:r>
          </w:p>
        </w:tc>
        <w:tc>
          <w:tcPr>
            <w:tcW w:w="92.25pt" w:type="dxa"/>
            <w:vAlign w:val="center"/>
          </w:tcPr>
          <w:p w14:paraId="51CF7AD9"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6.88x10</w:t>
            </w:r>
            <w:r w:rsidRPr="67B870C1">
              <w:rPr>
                <w:rFonts w:eastAsia="Times New Roman"/>
                <w:color w:val="000000" w:themeColor="text1"/>
                <w:sz w:val="16"/>
                <w:szCs w:val="16"/>
                <w:vertAlign w:val="superscript"/>
                <w:lang w:val="en"/>
              </w:rPr>
              <w:t>-4</w:t>
            </w:r>
            <w:r w:rsidRPr="67B870C1">
              <w:rPr>
                <w:rFonts w:eastAsia="Times New Roman"/>
                <w:color w:val="000000" w:themeColor="text1"/>
                <w:sz w:val="16"/>
                <w:szCs w:val="16"/>
                <w:lang w:val="en"/>
              </w:rPr>
              <w:t xml:space="preserve"> cm²/V·s</w:t>
            </w:r>
          </w:p>
        </w:tc>
      </w:tr>
      <w:tr w:rsidR="0087002B" w14:paraId="58940964" w14:textId="77777777" w:rsidTr="00835018">
        <w:trPr>
          <w:trHeight w:val="300"/>
        </w:trPr>
        <w:tc>
          <w:tcPr>
            <w:tcW w:w="65.25pt" w:type="dxa"/>
            <w:vAlign w:val="center"/>
          </w:tcPr>
          <w:p w14:paraId="28CA62E9"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rPr>
              <w:t>μ</w:t>
            </w:r>
            <w:r w:rsidRPr="67B870C1">
              <w:rPr>
                <w:rFonts w:eastAsia="Times New Roman"/>
                <w:color w:val="000000" w:themeColor="text1"/>
                <w:sz w:val="16"/>
                <w:szCs w:val="16"/>
                <w:vertAlign w:val="subscript"/>
              </w:rPr>
              <w:t>p</w:t>
            </w:r>
          </w:p>
        </w:tc>
        <w:tc>
          <w:tcPr>
            <w:tcW w:w="83.25pt" w:type="dxa"/>
            <w:vAlign w:val="center"/>
          </w:tcPr>
          <w:p w14:paraId="7741606E"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Hole mobility</w:t>
            </w:r>
          </w:p>
        </w:tc>
        <w:tc>
          <w:tcPr>
            <w:tcW w:w="92.25pt" w:type="dxa"/>
            <w:vAlign w:val="center"/>
          </w:tcPr>
          <w:p w14:paraId="221D495C"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4.98x10</w:t>
            </w:r>
            <w:r w:rsidRPr="67B870C1">
              <w:rPr>
                <w:rFonts w:eastAsia="Times New Roman"/>
                <w:color w:val="000000" w:themeColor="text1"/>
                <w:sz w:val="16"/>
                <w:szCs w:val="16"/>
                <w:vertAlign w:val="superscript"/>
                <w:lang w:val="en"/>
              </w:rPr>
              <w:t>-4</w:t>
            </w:r>
            <w:r w:rsidRPr="67B870C1">
              <w:rPr>
                <w:rFonts w:eastAsia="Times New Roman"/>
                <w:color w:val="000000" w:themeColor="text1"/>
                <w:sz w:val="16"/>
                <w:szCs w:val="16"/>
                <w:lang w:val="en"/>
              </w:rPr>
              <w:t xml:space="preserve">   cm²/V·s</w:t>
            </w:r>
          </w:p>
        </w:tc>
      </w:tr>
      <w:tr w:rsidR="0087002B" w14:paraId="5481865F" w14:textId="77777777" w:rsidTr="00835018">
        <w:trPr>
          <w:trHeight w:val="300"/>
        </w:trPr>
        <w:tc>
          <w:tcPr>
            <w:tcW w:w="65.25pt" w:type="dxa"/>
            <w:vAlign w:val="center"/>
          </w:tcPr>
          <w:p w14:paraId="4239194B"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𝛘</w:t>
            </w:r>
          </w:p>
        </w:tc>
        <w:tc>
          <w:tcPr>
            <w:tcW w:w="83.25pt" w:type="dxa"/>
            <w:vAlign w:val="center"/>
          </w:tcPr>
          <w:p w14:paraId="238C3587"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Electron affinity</w:t>
            </w:r>
          </w:p>
        </w:tc>
        <w:tc>
          <w:tcPr>
            <w:tcW w:w="92.25pt" w:type="dxa"/>
            <w:vAlign w:val="center"/>
          </w:tcPr>
          <w:p w14:paraId="54EE495E"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3.9 eV</w:t>
            </w:r>
          </w:p>
        </w:tc>
      </w:tr>
      <w:tr w:rsidR="0087002B" w14:paraId="0BF9C9DC" w14:textId="77777777" w:rsidTr="00835018">
        <w:trPr>
          <w:trHeight w:val="300"/>
        </w:trPr>
        <w:tc>
          <w:tcPr>
            <w:tcW w:w="65.25pt" w:type="dxa"/>
            <w:vAlign w:val="center"/>
          </w:tcPr>
          <w:p w14:paraId="080CC195"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rPr>
              <w:t>τ</w:t>
            </w:r>
            <w:r w:rsidRPr="67B870C1">
              <w:rPr>
                <w:rFonts w:eastAsia="Times New Roman"/>
                <w:color w:val="000000" w:themeColor="text1"/>
                <w:sz w:val="16"/>
                <w:szCs w:val="16"/>
                <w:vertAlign w:val="subscript"/>
              </w:rPr>
              <w:t>n</w:t>
            </w:r>
          </w:p>
        </w:tc>
        <w:tc>
          <w:tcPr>
            <w:tcW w:w="83.25pt" w:type="dxa"/>
            <w:vAlign w:val="center"/>
          </w:tcPr>
          <w:p w14:paraId="6C6B2726"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Recombination lifetime electron</w:t>
            </w:r>
          </w:p>
        </w:tc>
        <w:tc>
          <w:tcPr>
            <w:tcW w:w="92.25pt" w:type="dxa"/>
            <w:vAlign w:val="center"/>
          </w:tcPr>
          <w:p w14:paraId="65C9DB95"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10</w:t>
            </w:r>
            <w:r w:rsidRPr="67B870C1">
              <w:rPr>
                <w:rFonts w:eastAsia="Times New Roman"/>
                <w:color w:val="000000" w:themeColor="text1"/>
                <w:sz w:val="16"/>
                <w:szCs w:val="16"/>
                <w:vertAlign w:val="superscript"/>
                <w:lang w:val="en"/>
              </w:rPr>
              <w:t>-3</w:t>
            </w:r>
            <w:r w:rsidRPr="67B870C1">
              <w:rPr>
                <w:rFonts w:eastAsia="Times New Roman"/>
                <w:color w:val="000000" w:themeColor="text1"/>
                <w:sz w:val="16"/>
                <w:szCs w:val="16"/>
                <w:lang w:val="en"/>
              </w:rPr>
              <w:t xml:space="preserve"> s</w:t>
            </w:r>
            <w:r w:rsidRPr="67B870C1">
              <w:rPr>
                <w:rFonts w:eastAsia="Times New Roman"/>
                <w:color w:val="000000" w:themeColor="text1"/>
                <w:sz w:val="16"/>
                <w:szCs w:val="16"/>
                <w:vertAlign w:val="superscript"/>
                <w:lang w:val="en"/>
              </w:rPr>
              <w:t>-1</w:t>
            </w:r>
          </w:p>
        </w:tc>
      </w:tr>
      <w:tr w:rsidR="0087002B" w14:paraId="315010A3" w14:textId="77777777" w:rsidTr="00835018">
        <w:trPr>
          <w:trHeight w:val="300"/>
        </w:trPr>
        <w:tc>
          <w:tcPr>
            <w:tcW w:w="65.25pt" w:type="dxa"/>
            <w:vAlign w:val="center"/>
          </w:tcPr>
          <w:p w14:paraId="08C1B186"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rPr>
              <w:t>τ</w:t>
            </w:r>
            <w:r w:rsidRPr="67B870C1">
              <w:rPr>
                <w:rFonts w:eastAsia="Times New Roman"/>
                <w:color w:val="000000" w:themeColor="text1"/>
                <w:sz w:val="16"/>
                <w:szCs w:val="16"/>
                <w:vertAlign w:val="subscript"/>
              </w:rPr>
              <w:t>p</w:t>
            </w:r>
          </w:p>
        </w:tc>
        <w:tc>
          <w:tcPr>
            <w:tcW w:w="83.25pt" w:type="dxa"/>
            <w:vAlign w:val="center"/>
          </w:tcPr>
          <w:p w14:paraId="09C428CA"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Recombination lifetime hole</w:t>
            </w:r>
          </w:p>
        </w:tc>
        <w:tc>
          <w:tcPr>
            <w:tcW w:w="92.25pt" w:type="dxa"/>
            <w:vAlign w:val="center"/>
          </w:tcPr>
          <w:p w14:paraId="455D8F52"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10</w:t>
            </w:r>
            <w:r w:rsidRPr="67B870C1">
              <w:rPr>
                <w:rFonts w:eastAsia="Times New Roman"/>
                <w:color w:val="000000" w:themeColor="text1"/>
                <w:sz w:val="16"/>
                <w:szCs w:val="16"/>
                <w:vertAlign w:val="superscript"/>
                <w:lang w:val="en"/>
              </w:rPr>
              <w:t>-3</w:t>
            </w:r>
            <w:r w:rsidRPr="67B870C1">
              <w:rPr>
                <w:rFonts w:eastAsia="Times New Roman"/>
                <w:color w:val="000000" w:themeColor="text1"/>
                <w:sz w:val="16"/>
                <w:szCs w:val="16"/>
                <w:lang w:val="en"/>
              </w:rPr>
              <w:t xml:space="preserve"> s</w:t>
            </w:r>
            <w:r w:rsidRPr="67B870C1">
              <w:rPr>
                <w:rFonts w:eastAsia="Times New Roman"/>
                <w:color w:val="000000" w:themeColor="text1"/>
                <w:sz w:val="16"/>
                <w:szCs w:val="16"/>
                <w:vertAlign w:val="superscript"/>
                <w:lang w:val="en"/>
              </w:rPr>
              <w:t>-1</w:t>
            </w:r>
          </w:p>
        </w:tc>
      </w:tr>
      <w:tr w:rsidR="0087002B" w14:paraId="462E419F" w14:textId="77777777" w:rsidTr="00835018">
        <w:trPr>
          <w:trHeight w:val="300"/>
        </w:trPr>
        <w:tc>
          <w:tcPr>
            <w:tcW w:w="65.25pt" w:type="dxa"/>
            <w:vAlign w:val="center"/>
          </w:tcPr>
          <w:p w14:paraId="679AFA81"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N</w:t>
            </w:r>
            <w:r w:rsidRPr="67B870C1">
              <w:rPr>
                <w:rFonts w:eastAsia="Times New Roman"/>
                <w:color w:val="000000" w:themeColor="text1"/>
                <w:sz w:val="16"/>
                <w:szCs w:val="16"/>
                <w:vertAlign w:val="subscript"/>
                <w:lang w:val="en"/>
              </w:rPr>
              <w:t>v</w:t>
            </w:r>
          </w:p>
        </w:tc>
        <w:tc>
          <w:tcPr>
            <w:tcW w:w="83.25pt" w:type="dxa"/>
            <w:vAlign w:val="center"/>
          </w:tcPr>
          <w:p w14:paraId="3F891708"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rPr>
              <w:t>hDOSMass</w:t>
            </w:r>
          </w:p>
        </w:tc>
        <w:tc>
          <w:tcPr>
            <w:tcW w:w="92.25pt" w:type="dxa"/>
            <w:vAlign w:val="center"/>
          </w:tcPr>
          <w:p w14:paraId="09456487"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1.4326x10</w:t>
            </w:r>
            <w:r w:rsidRPr="67B870C1">
              <w:rPr>
                <w:rFonts w:eastAsia="Times New Roman"/>
                <w:color w:val="000000" w:themeColor="text1"/>
                <w:sz w:val="16"/>
                <w:szCs w:val="16"/>
                <w:vertAlign w:val="superscript"/>
                <w:lang w:val="en"/>
              </w:rPr>
              <w:t>29</w:t>
            </w:r>
            <w:r w:rsidRPr="67B870C1">
              <w:rPr>
                <w:rFonts w:eastAsia="Times New Roman"/>
                <w:color w:val="000000" w:themeColor="text1"/>
                <w:sz w:val="16"/>
                <w:szCs w:val="16"/>
                <w:lang w:val="en"/>
              </w:rPr>
              <w:t xml:space="preserve"> cm⁻³</w:t>
            </w:r>
          </w:p>
        </w:tc>
      </w:tr>
      <w:tr w:rsidR="0087002B" w14:paraId="4474E7B9" w14:textId="77777777" w:rsidTr="00835018">
        <w:trPr>
          <w:trHeight w:val="300"/>
        </w:trPr>
        <w:tc>
          <w:tcPr>
            <w:tcW w:w="65.25pt" w:type="dxa"/>
            <w:vAlign w:val="center"/>
          </w:tcPr>
          <w:p w14:paraId="77983B89"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N</w:t>
            </w:r>
            <w:r w:rsidRPr="67B870C1">
              <w:rPr>
                <w:rFonts w:eastAsia="Times New Roman"/>
                <w:color w:val="000000" w:themeColor="text1"/>
                <w:sz w:val="16"/>
                <w:szCs w:val="16"/>
                <w:vertAlign w:val="subscript"/>
                <w:lang w:val="en"/>
              </w:rPr>
              <w:t>c</w:t>
            </w:r>
          </w:p>
        </w:tc>
        <w:tc>
          <w:tcPr>
            <w:tcW w:w="83.25pt" w:type="dxa"/>
            <w:vAlign w:val="center"/>
          </w:tcPr>
          <w:p w14:paraId="2631019D"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rPr>
              <w:t>eDOSMass</w:t>
            </w:r>
          </w:p>
        </w:tc>
        <w:tc>
          <w:tcPr>
            <w:tcW w:w="92.25pt" w:type="dxa"/>
            <w:vAlign w:val="center"/>
          </w:tcPr>
          <w:p w14:paraId="4117ADD7" w14:textId="77777777" w:rsidR="0087002B" w:rsidRDefault="0087002B" w:rsidP="00831EDE">
            <w:pPr>
              <w:widowControl w:val="0"/>
              <w:rPr>
                <w:rFonts w:eastAsia="Times New Roman"/>
                <w:color w:val="000000" w:themeColor="text1"/>
                <w:sz w:val="16"/>
                <w:szCs w:val="16"/>
              </w:rPr>
            </w:pPr>
            <w:r w:rsidRPr="67B870C1">
              <w:rPr>
                <w:rFonts w:eastAsia="Times New Roman"/>
                <w:color w:val="000000" w:themeColor="text1"/>
                <w:sz w:val="16"/>
                <w:szCs w:val="16"/>
                <w:lang w:val="en"/>
              </w:rPr>
              <w:t>1.4326x10</w:t>
            </w:r>
            <w:r w:rsidRPr="67B870C1">
              <w:rPr>
                <w:rFonts w:eastAsia="Times New Roman"/>
                <w:color w:val="000000" w:themeColor="text1"/>
                <w:sz w:val="16"/>
                <w:szCs w:val="16"/>
                <w:vertAlign w:val="superscript"/>
                <w:lang w:val="en"/>
              </w:rPr>
              <w:t>29</w:t>
            </w:r>
            <w:r w:rsidRPr="67B870C1">
              <w:rPr>
                <w:rFonts w:eastAsia="Times New Roman"/>
                <w:color w:val="000000" w:themeColor="text1"/>
                <w:sz w:val="16"/>
                <w:szCs w:val="16"/>
                <w:lang w:val="en"/>
              </w:rPr>
              <w:t xml:space="preserve"> cm⁻³</w:t>
            </w:r>
          </w:p>
        </w:tc>
      </w:tr>
    </w:tbl>
    <w:p w14:paraId="34082489" w14:textId="6F6340BA" w:rsidR="0087002B" w:rsidRDefault="00835018" w:rsidP="00835018">
      <w:pPr>
        <w:spacing w:after="6pt" w:line="11.40pt" w:lineRule="auto"/>
        <w:jc w:val="both"/>
      </w:pPr>
      <w:r>
        <w:rPr>
          <w:noProof/>
        </w:rPr>
        <w:drawing>
          <wp:anchor distT="0" distB="0" distL="114300" distR="114300" simplePos="0" relativeHeight="251659264" behindDoc="0" locked="0" layoutInCell="1" allowOverlap="1" wp14:anchorId="4DB71F8C" wp14:editId="054220FE">
            <wp:simplePos x="0" y="0"/>
            <wp:positionH relativeFrom="column">
              <wp:posOffset>0</wp:posOffset>
            </wp:positionH>
            <wp:positionV relativeFrom="paragraph">
              <wp:posOffset>213360</wp:posOffset>
            </wp:positionV>
            <wp:extent cx="3095625" cy="1504950"/>
            <wp:effectExtent l="0" t="0" r="0" b="0"/>
            <wp:wrapSquare wrapText="bothSides"/>
            <wp:docPr id="80925891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925891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5625" cy="1504950"/>
                    </a:xfrm>
                    <a:prstGeom prst="rect">
                      <a:avLst/>
                    </a:prstGeom>
                  </pic:spPr>
                </pic:pic>
              </a:graphicData>
            </a:graphic>
            <wp14:sizeRelH relativeFrom="page">
              <wp14:pctWidth>0%</wp14:pctWidth>
            </wp14:sizeRelH>
            <wp14:sizeRelV relativeFrom="page">
              <wp14:pctHeight>0%</wp14:pctHeight>
            </wp14:sizeRelV>
          </wp:anchor>
        </w:drawing>
      </w:r>
    </w:p>
    <w:p w14:paraId="6525C21E" w14:textId="77777777" w:rsidR="00835018" w:rsidRDefault="00835018" w:rsidP="00835018">
      <w:pPr>
        <w:pStyle w:val="BodyText"/>
        <w:numPr>
          <w:ilvl w:val="0"/>
          <w:numId w:val="6"/>
        </w:numPr>
        <w:spacing w:before="12pt" w:after="0pt"/>
        <w:jc w:val="center"/>
        <w:rPr>
          <w:sz w:val="16"/>
          <w:szCs w:val="16"/>
          <w:lang w:val="en-US"/>
        </w:rPr>
      </w:pPr>
      <w:r w:rsidRPr="5A5BA817">
        <w:rPr>
          <w:sz w:val="16"/>
          <w:szCs w:val="16"/>
          <w:lang w:val="en-US"/>
        </w:rPr>
        <w:t>Graphene surface with 300 antibodies randomly placed.</w:t>
      </w:r>
    </w:p>
    <w:p w14:paraId="509AFE97" w14:textId="77777777" w:rsidR="00835018" w:rsidRDefault="00835018" w:rsidP="00835018">
      <w:pPr>
        <w:spacing w:after="6pt" w:line="11.40pt" w:lineRule="auto"/>
        <w:jc w:val="both"/>
      </w:pPr>
    </w:p>
    <w:p w14:paraId="16F36F08" w14:textId="187B633E" w:rsidR="00835018" w:rsidRDefault="00835018" w:rsidP="00835018">
      <w:pPr>
        <w:spacing w:after="6pt" w:line="11.40pt" w:lineRule="auto"/>
        <w:ind w:firstLine="18pt"/>
        <w:jc w:val="both"/>
      </w:pPr>
      <w:r w:rsidRPr="00A72617">
        <w:rPr>
          <w:rFonts w:hint="eastAsia"/>
        </w:rPr>
        <w:lastRenderedPageBreak/>
        <w:t>Aluminum oxide is used to encapsulate the metal contact. Surrounding the 100 nm slab of liquid-gated electrolyte representing (0.001</w:t>
      </w:r>
      <w:r w:rsidRPr="00A72617">
        <w:rPr>
          <w:rFonts w:hint="eastAsia"/>
        </w:rPr>
        <w:t>×</w:t>
      </w:r>
      <w:r w:rsidRPr="00A72617">
        <w:rPr>
          <w:rFonts w:hint="eastAsia"/>
        </w:rPr>
        <w:t xml:space="preserve">) diluted PBS solution (pH 7.4), modeled with permittivity </w:t>
      </w:r>
      <w:r w:rsidRPr="00A72617">
        <w:rPr>
          <w:rFonts w:hint="eastAsia"/>
        </w:rPr>
        <w:t>≈</w:t>
      </w:r>
      <w:r w:rsidRPr="00A72617">
        <w:rPr>
          <w:rFonts w:hint="eastAsia"/>
        </w:rPr>
        <w:t xml:space="preserve"> 80, low carrier mobility, and appropriate intrinsic carrier co</w:t>
      </w:r>
      <w:r w:rsidRPr="00A72617">
        <w:t>ncentration to simulate Debye‑layer effects.</w:t>
      </w:r>
    </w:p>
    <w:p w14:paraId="34187168" w14:textId="12490938" w:rsidR="00E448C2" w:rsidRDefault="00C45E4D" w:rsidP="00C45E4D">
      <w:pPr>
        <w:spacing w:after="6pt" w:line="11.40pt" w:lineRule="auto"/>
        <w:ind w:firstLine="14.40pt"/>
        <w:jc w:val="both"/>
      </w:pPr>
      <w:r w:rsidRPr="00C45E4D">
        <w:t>The diluted PBS electrolyte is not available in the Sentaurus material library; therefore, an intrinsic semiconductor was defined with modified parameters to emulate the electrolyte properties, as listed in Table 3.</w:t>
      </w:r>
      <w:r w:rsidRPr="00C45E4D">
        <w:t xml:space="preserve"> </w:t>
      </w:r>
      <w:r w:rsidR="00E448C2" w:rsidRPr="67B870C1">
        <w:t xml:space="preserve">[6][9][10]. </w:t>
      </w:r>
    </w:p>
    <w:p w14:paraId="46E98848" w14:textId="1837E991" w:rsidR="00756F4A" w:rsidRPr="00C11FF5" w:rsidRDefault="00756F4A" w:rsidP="00C11FF5">
      <w:pPr>
        <w:spacing w:after="6pt" w:line="11.40pt" w:lineRule="auto"/>
        <w:ind w:firstLine="14.40pt"/>
        <w:jc w:val="both"/>
      </w:pPr>
      <w:r w:rsidRPr="67B870C1">
        <w:t>Electrons and holes were simulated using the drift–diffusion transport model under room-temperature conditions.</w:t>
      </w:r>
      <w:r>
        <w:t xml:space="preserve"> </w:t>
      </w:r>
      <w:r w:rsidRPr="67B870C1">
        <w:t>A constant drain‑source voltage of 50 mV was applied, while gate voltage was swept from –1 V to +2 V (step size 1 mV) to obtain the transfer characteristics (ID vs VG). The Dirac voltage for each antigen condition was identified as the gate voltage corresponding to the minimum channel conductance.</w:t>
      </w:r>
    </w:p>
    <w:p w14:paraId="0575E93C" w14:textId="4EEA3990" w:rsidR="30AC52D6" w:rsidRDefault="30AC52D6" w:rsidP="67B870C1">
      <w:pPr>
        <w:pStyle w:val="Heading2"/>
      </w:pPr>
      <w:r>
        <w:t>Antibody Modeling</w:t>
      </w:r>
    </w:p>
    <w:p w14:paraId="02EC086D" w14:textId="69ACB9EE" w:rsidR="3BD4F945" w:rsidRDefault="3BD4F945" w:rsidP="67B870C1">
      <w:pPr>
        <w:pStyle w:val="BodyText"/>
      </w:pPr>
      <w:r w:rsidRPr="67B870C1">
        <w:rPr>
          <w:lang w:val="en-US"/>
        </w:rPr>
        <w:t xml:space="preserve">Each immunoglobulin G (IgG) antibody was represented as a cuboid of dimensions 12 nm × 12 nm × 3 nm, positioned 2 nm above the graphene surface to mimic the linker region (e.g. PBASE) previously reported in AFM‑based measurements [14]. The height corresponds to the Fc–Fab region excess in the “upright” receptor orientation. Published literature and zeta‑potential studies place the isoelectric point of IgG around 6.1–8.5, and at pH 7.4 most antibodies retain net positive surface charge (~+4e) on the paratope region of the Fab arms [15]. </w:t>
      </w:r>
    </w:p>
    <w:p w14:paraId="411F3529" w14:textId="6BA53987" w:rsidR="3BD4F945" w:rsidRDefault="6374467B" w:rsidP="5A5BA817">
      <w:pPr>
        <w:pStyle w:val="BodyText"/>
        <w:rPr>
          <w:lang w:val="en-US"/>
        </w:rPr>
      </w:pPr>
      <w:r>
        <w:t xml:space="preserve"> </w:t>
      </w:r>
      <w:r w:rsidRPr="5A5BA817">
        <w:rPr>
          <w:lang w:val="en-US"/>
        </w:rPr>
        <w:t xml:space="preserve">This </w:t>
      </w:r>
      <w:r w:rsidR="78FE87ED" w:rsidRPr="5A5BA817">
        <w:rPr>
          <w:lang w:val="en-US"/>
        </w:rPr>
        <w:t>yields</w:t>
      </w:r>
      <w:r w:rsidRPr="5A5BA817">
        <w:rPr>
          <w:lang w:val="en-US"/>
        </w:rPr>
        <w:t xml:space="preserve"> a uniform volumetric charge density of ~9.26 × 10¹⁸ e/cm³ assigned to each antibody cuboid. A total of 300 antibody units were randomly distributed across the channel area (~2 × 109 Abs/cm²), ensuring non-overlap under periodic boundary conditions to mimic realistic receptor densities from the literature. These distributed antibodies over graphene </w:t>
      </w:r>
      <w:proofErr w:type="gramStart"/>
      <w:r w:rsidRPr="5A5BA817">
        <w:rPr>
          <w:lang w:val="en-US"/>
        </w:rPr>
        <w:t>is</w:t>
      </w:r>
      <w:proofErr w:type="gramEnd"/>
      <w:r w:rsidRPr="5A5BA817">
        <w:rPr>
          <w:lang w:val="en-US"/>
        </w:rPr>
        <w:t xml:space="preserve"> shown in Fig. </w:t>
      </w:r>
      <w:r w:rsidR="00C40FD6">
        <w:rPr>
          <w:lang w:val="en-US"/>
        </w:rPr>
        <w:t>3</w:t>
      </w:r>
      <w:r w:rsidRPr="5A5BA817">
        <w:rPr>
          <w:lang w:val="en-US"/>
        </w:rPr>
        <w:t>.</w:t>
      </w:r>
    </w:p>
    <w:p w14:paraId="65442EE6" w14:textId="03922476" w:rsidR="41F038FC" w:rsidRDefault="33B6D8EC" w:rsidP="78DFFEDA">
      <w:pPr>
        <w:pStyle w:val="Heading2"/>
      </w:pPr>
      <w:r>
        <w:t>Antigen Binding &amp; Ab–Ag Complex Modeling</w:t>
      </w:r>
    </w:p>
    <w:p w14:paraId="40B351FF" w14:textId="77777777" w:rsidR="00536D99" w:rsidRDefault="00A72617" w:rsidP="00536D99">
      <w:pPr>
        <w:pStyle w:val="BodyText"/>
        <w:rPr>
          <w:lang w:val="en-US"/>
        </w:rPr>
      </w:pPr>
      <w:r w:rsidRPr="00A72617">
        <w:rPr>
          <w:lang w:val="en-US"/>
        </w:rPr>
        <w:t>A Plasmodium falciparum hypothetical protein epitope i.e., DSEEKEEQGQKPEKV – was chosen based on its antigenic propensity. The epitope has an approximate net charge of –3e at physiological pH (calculated using standard amino acid pKa values and terminal group contributions as shown below).</w:t>
      </w:r>
      <w:r>
        <w:rPr>
          <w:lang w:val="en-US"/>
        </w:rPr>
        <w:t xml:space="preserve"> </w:t>
      </w:r>
      <w:r w:rsidR="65CE5E1B" w:rsidRPr="2F0CF5F9">
        <w:rPr>
          <w:lang w:val="en-US"/>
        </w:rPr>
        <w:t>This charge was calculated using tools such as Pepcalc, Bachem Peptide Calculator, and NovoPro Peptide Property Calculator</w:t>
      </w:r>
      <w:r w:rsidR="00115E6E">
        <w:rPr>
          <w:lang w:val="en-US"/>
        </w:rPr>
        <w:t xml:space="preserve"> </w:t>
      </w:r>
      <w:r w:rsidR="65CE5E1B" w:rsidRPr="2F0CF5F9">
        <w:rPr>
          <w:lang w:val="en-US"/>
        </w:rPr>
        <w:t xml:space="preserve">NovoPro Labs by calculating the charge on peptide sequence “DSEEKEEQGQKPEKV” of antigen at pH 7.4. </w:t>
      </w:r>
      <w:r w:rsidR="00536D99" w:rsidRPr="2F0CF5F9">
        <w:rPr>
          <w:lang w:val="en-US"/>
        </w:rPr>
        <w:t xml:space="preserve">For this, we need to consider the ionizable groups within the peptide and their respective pKa values.  </w:t>
      </w:r>
    </w:p>
    <w:p w14:paraId="3A5D80EC" w14:textId="77777777" w:rsidR="00536D99" w:rsidRDefault="00536D99" w:rsidP="00536D99">
      <w:pPr>
        <w:pStyle w:val="BodyText"/>
        <w:ind w:firstLine="0pt"/>
      </w:pPr>
      <w:r>
        <w:t xml:space="preserve">Ionizable Groups in my peptide: </w:t>
      </w:r>
    </w:p>
    <w:p w14:paraId="3027BD0B" w14:textId="77777777" w:rsidR="00536D99" w:rsidRDefault="00536D99" w:rsidP="00536D99">
      <w:pPr>
        <w:pStyle w:val="BodyText"/>
        <w:numPr>
          <w:ilvl w:val="0"/>
          <w:numId w:val="5"/>
        </w:numPr>
      </w:pPr>
      <w:r w:rsidRPr="5A5BA817">
        <w:rPr>
          <w:lang w:val="en-US"/>
        </w:rPr>
        <w:t xml:space="preserve">N-terminal amino group: Typically has a pKa around 8.0. At pH 7.4, it's mostly protonated, contributing +1e charge. </w:t>
      </w:r>
    </w:p>
    <w:p w14:paraId="7F8C2AA1" w14:textId="77777777" w:rsidR="00536D99" w:rsidRDefault="00536D99" w:rsidP="00536D99">
      <w:pPr>
        <w:pStyle w:val="BodyText"/>
        <w:numPr>
          <w:ilvl w:val="0"/>
          <w:numId w:val="5"/>
        </w:numPr>
      </w:pPr>
      <w:r>
        <w:t xml:space="preserve">C-terminal carboxyl group: Typically has a pKa around 3.1. At pH 7.4, it's deprotonated, contributing -1e charge. </w:t>
      </w:r>
    </w:p>
    <w:p w14:paraId="3F4C6850" w14:textId="77777777" w:rsidR="00536D99" w:rsidRDefault="00536D99" w:rsidP="00536D99">
      <w:pPr>
        <w:pStyle w:val="BodyText"/>
        <w:numPr>
          <w:ilvl w:val="0"/>
          <w:numId w:val="5"/>
        </w:numPr>
      </w:pPr>
      <w:r>
        <w:t xml:space="preserve">Side chains of ionizable amino acids: </w:t>
      </w:r>
    </w:p>
    <w:p w14:paraId="714A886C" w14:textId="77777777" w:rsidR="00536D99" w:rsidRDefault="00536D99" w:rsidP="00536D99">
      <w:pPr>
        <w:pStyle w:val="BodyText"/>
        <w:numPr>
          <w:ilvl w:val="0"/>
          <w:numId w:val="5"/>
        </w:numPr>
      </w:pPr>
      <w:r>
        <w:t xml:space="preserve">Aspartic acid (D): pKa ≈ 3.9; deprotonated at pH 7.4, contributing -1e charge. </w:t>
      </w:r>
    </w:p>
    <w:p w14:paraId="53607C63" w14:textId="77777777" w:rsidR="00536D99" w:rsidRDefault="00536D99" w:rsidP="00536D99">
      <w:pPr>
        <w:pStyle w:val="BodyText"/>
        <w:numPr>
          <w:ilvl w:val="0"/>
          <w:numId w:val="5"/>
        </w:numPr>
      </w:pPr>
      <w:r>
        <w:t xml:space="preserve">Glutamic acid (E): pKa ≈ 4.1; deprotonated at pH 7.4, contributing -1e charge each. </w:t>
      </w:r>
    </w:p>
    <w:p w14:paraId="3790C432" w14:textId="77777777" w:rsidR="00536D99" w:rsidRDefault="00536D99" w:rsidP="00536D99">
      <w:pPr>
        <w:pStyle w:val="BodyText"/>
        <w:numPr>
          <w:ilvl w:val="0"/>
          <w:numId w:val="5"/>
        </w:numPr>
      </w:pPr>
      <w:r>
        <w:t xml:space="preserve">Lysine (K): pKa ≈ 10.5; protonated at pH 7.4, contributing +1e charge each. </w:t>
      </w:r>
    </w:p>
    <w:p w14:paraId="47C39106" w14:textId="77777777" w:rsidR="00536D99" w:rsidRDefault="00536D99" w:rsidP="00536D99">
      <w:pPr>
        <w:pStyle w:val="BodyText"/>
        <w:ind w:firstLine="0pt"/>
      </w:pPr>
      <w:r>
        <w:t xml:space="preserve">Charge in my peptide: </w:t>
      </w:r>
    </w:p>
    <w:p w14:paraId="349F6B5F" w14:textId="77777777" w:rsidR="00536D99" w:rsidRDefault="00536D99" w:rsidP="00536D99">
      <w:pPr>
        <w:pStyle w:val="BodyText"/>
        <w:numPr>
          <w:ilvl w:val="0"/>
          <w:numId w:val="5"/>
        </w:numPr>
      </w:pPr>
      <w:r>
        <w:t xml:space="preserve">N-terminal amino group: +1e </w:t>
      </w:r>
    </w:p>
    <w:p w14:paraId="62E6ED55" w14:textId="77777777" w:rsidR="00536D99" w:rsidRDefault="00536D99" w:rsidP="00536D99">
      <w:pPr>
        <w:pStyle w:val="BodyText"/>
        <w:numPr>
          <w:ilvl w:val="0"/>
          <w:numId w:val="5"/>
        </w:numPr>
      </w:pPr>
      <w:r>
        <w:t xml:space="preserve">C-terminal carboxyl group: -1e </w:t>
      </w:r>
    </w:p>
    <w:p w14:paraId="502BBD34" w14:textId="77777777" w:rsidR="00536D99" w:rsidRDefault="00536D99" w:rsidP="00536D99">
      <w:pPr>
        <w:pStyle w:val="BodyText"/>
        <w:numPr>
          <w:ilvl w:val="0"/>
          <w:numId w:val="5"/>
        </w:numPr>
      </w:pPr>
      <w:r>
        <w:t xml:space="preserve">Aspartic acid (D): 1 residue × (-1) = -1e </w:t>
      </w:r>
    </w:p>
    <w:p w14:paraId="3906603D" w14:textId="77777777" w:rsidR="00536D99" w:rsidRDefault="00536D99" w:rsidP="00536D99">
      <w:pPr>
        <w:pStyle w:val="BodyText"/>
        <w:numPr>
          <w:ilvl w:val="0"/>
          <w:numId w:val="5"/>
        </w:numPr>
      </w:pPr>
      <w:r>
        <w:t xml:space="preserve">Glutamic acid (E): 4 residues × (-1) = -4e </w:t>
      </w:r>
    </w:p>
    <w:p w14:paraId="44A6D0A9" w14:textId="77777777" w:rsidR="00536D99" w:rsidRDefault="00536D99" w:rsidP="00536D99">
      <w:pPr>
        <w:pStyle w:val="BodyText"/>
        <w:numPr>
          <w:ilvl w:val="0"/>
          <w:numId w:val="5"/>
        </w:numPr>
      </w:pPr>
      <w:r>
        <w:t xml:space="preserve">Lysine (K): 2 residues × (+1) = +2e </w:t>
      </w:r>
    </w:p>
    <w:p w14:paraId="4E9FCEB1" w14:textId="77777777" w:rsidR="00536D99" w:rsidRDefault="00536D99" w:rsidP="00536D99">
      <w:pPr>
        <w:pStyle w:val="BodyText"/>
      </w:pPr>
      <w:r>
        <w:t xml:space="preserve">Total Net Charge = (+1e) + (-1e) + (-1e) + (-4e) + (+2e) </w:t>
      </w:r>
    </w:p>
    <w:p w14:paraId="63C93A55" w14:textId="77777777" w:rsidR="00536D99" w:rsidRDefault="00536D99" w:rsidP="00536D99">
      <w:pPr>
        <w:pStyle w:val="BodyText"/>
      </w:pPr>
      <w:r>
        <w:tab/>
      </w:r>
      <w:r>
        <w:tab/>
        <w:t xml:space="preserve">      = -3e </w:t>
      </w:r>
    </w:p>
    <w:p w14:paraId="39CFCD82" w14:textId="77777777" w:rsidR="00536D99" w:rsidRDefault="00536D99" w:rsidP="00536D99">
      <w:pPr>
        <w:pStyle w:val="BodyText"/>
      </w:pPr>
      <w:r>
        <w:t xml:space="preserve">The net charge of the peptide </w:t>
      </w:r>
      <w:r w:rsidRPr="007D08EE">
        <w:t>DSEEKEEQGQKPEKV</w:t>
      </w:r>
      <w:r>
        <w:t xml:space="preserve"> at pH 7.4 is -3e. Here, 1e charge means charge on 1 electron ~ 1.602 x 10-19 C. </w:t>
      </w:r>
    </w:p>
    <w:p w14:paraId="5EB42C1F" w14:textId="77777777" w:rsidR="00D464E2" w:rsidRDefault="2D3DB1F8" w:rsidP="00D464E2">
      <w:pPr>
        <w:pStyle w:val="BodyText"/>
      </w:pPr>
      <w:r>
        <w:t xml:space="preserve">When an antigen binds to an antibody with net +4e, each Ab–Ag complex retains a net +1e, and is modeled as a 12 nm × 12 nm × 8 nm cuboid to accommodate the antigen’s physical size (~5 nm extra height). The resulting volume charge density is ~8.68 × 10¹⁷ e/cm³. During simulation, 0 to 300 antibodies were gradually replaced by Ab–Ag complexes at specified target ratios (0, 50, 100, 200, and 300), representing incremental antigen concentrations. </w:t>
      </w:r>
    </w:p>
    <w:p w14:paraId="02D0BE47" w14:textId="58A2200B" w:rsidR="2D3DB1F8" w:rsidRDefault="2D3DB1F8" w:rsidP="00D464E2">
      <w:pPr>
        <w:pStyle w:val="BodyText"/>
      </w:pPr>
      <w:r>
        <w:t>Charges were uniformly distributed across each cuboid, ensuring that the effective charge lies within the Debye length (~9.6 nm) and thus influences the channel electrostatics.</w:t>
      </w:r>
    </w:p>
    <w:p w14:paraId="63E3BD85" w14:textId="0AC1474F" w:rsidR="41F038FC" w:rsidRDefault="33B6D8EC" w:rsidP="78DFFEDA">
      <w:pPr>
        <w:pStyle w:val="Heading2"/>
      </w:pPr>
      <w:r>
        <w:t>Implications of Debye Length Engineering</w:t>
      </w:r>
    </w:p>
    <w:p w14:paraId="54F49620" w14:textId="77777777" w:rsidR="00C45E4D" w:rsidRDefault="00C45E4D" w:rsidP="00C45E4D">
      <w:pPr>
        <w:pStyle w:val="BodyText"/>
      </w:pPr>
      <w:r w:rsidRPr="00C45E4D">
        <w:t xml:space="preserve">To examine the influence of ionic strength on sensor performance, simulations were conducted under two electrolyte conditions: 1× PBS (physiological ionic strength) and 0.001× PBS (highly diluted). In related experimental GFET biosensor studies, 0.001× PBS has been shown to yield a Debye screening length of approximately 24 nm—sufficient for the charges of antibody–antigen complexes to modulate the graphene channel. In contrast, 1× PBS exhibits a Debye length of less than 1 nm, resulting in strong electrostatic screening of surface charges [20]. </w:t>
      </w:r>
    </w:p>
    <w:p w14:paraId="794D4A2A" w14:textId="7641CA23" w:rsidR="370806A9" w:rsidRDefault="00C45E4D" w:rsidP="00C45E4D">
      <w:pPr>
        <w:pStyle w:val="BodyText"/>
      </w:pPr>
      <w:r w:rsidRPr="00C45E4D">
        <w:t>In the present simulations, under 1× PBS, the surface charges from antigen–antibody complexes induce only minor Dirac point shifts (a few millivolts) due to this strong screening, whereas under 0.001× PBS, significantly larger shifts are observed, consistent with previously reported experimental trends [20].</w:t>
      </w:r>
    </w:p>
    <w:p w14:paraId="447FF4F5" w14:textId="7AF901C2" w:rsidR="41F038FC" w:rsidRDefault="33B6D8EC" w:rsidP="78DFFEDA">
      <w:pPr>
        <w:pStyle w:val="Heading2"/>
      </w:pPr>
      <w:r>
        <w:t>Simulation Execution and Curve Separation</w:t>
      </w:r>
    </w:p>
    <w:p w14:paraId="07510BB6" w14:textId="1F360EC2" w:rsidR="4C37C2FA" w:rsidRDefault="4C37C2FA" w:rsidP="5A5BA817">
      <w:pPr>
        <w:pStyle w:val="BodyText"/>
      </w:pPr>
      <w:r>
        <w:t>Each antigen scenario (0, 50, 100, 200, 300 Ab–Ag complexes) was simulated independently, with identical random distributions for antibodies or antigen</w:t>
      </w:r>
      <w:r w:rsidR="003A1D68">
        <w:t xml:space="preserve">s </w:t>
      </w:r>
      <w:r>
        <w:t>sites. Transfer curves (ID vs VG) were collected and their minima (Dirac voltages) extracted.</w:t>
      </w:r>
    </w:p>
    <w:p w14:paraId="06ED4D13" w14:textId="4CD7F296" w:rsidR="69A3EEE8" w:rsidRDefault="6D407B0C" w:rsidP="78DFFEDA">
      <w:pPr>
        <w:pStyle w:val="Heading1"/>
      </w:pPr>
      <w:r>
        <w:t>Results and Discussion</w:t>
      </w:r>
    </w:p>
    <w:p w14:paraId="5110E458" w14:textId="72E7AE4B" w:rsidR="00C40FD6" w:rsidRDefault="00BF5F52" w:rsidP="00835018">
      <w:pPr>
        <w:pStyle w:val="BodyText"/>
        <w:ind w:firstLine="0pt"/>
        <w:rPr>
          <w:lang w:val="en-US"/>
        </w:rPr>
      </w:pPr>
      <w:r w:rsidRPr="00BF5F52">
        <w:rPr>
          <w:lang w:val="en-US"/>
        </w:rPr>
        <w:t xml:space="preserve">Initial simulations of the pristine GFET revealed ambipolar transfer characteristics (Figure </w:t>
      </w:r>
      <w:r w:rsidR="00C40FD6">
        <w:rPr>
          <w:lang w:val="en-US"/>
        </w:rPr>
        <w:t>4</w:t>
      </w:r>
      <w:r w:rsidRPr="00BF5F52">
        <w:rPr>
          <w:lang w:val="en-US"/>
        </w:rPr>
        <w:t xml:space="preserve">) with a Dirac point near 0.588 V under a drain-source bias of 50 mV. </w:t>
      </w:r>
      <w:r w:rsidR="009A7C4E">
        <w:rPr>
          <w:lang w:val="en-US"/>
        </w:rPr>
        <w:t>This</w:t>
      </w:r>
      <w:r w:rsidR="00A6769B">
        <w:rPr>
          <w:lang w:val="en-US"/>
        </w:rPr>
        <w:t xml:space="preserve"> </w:t>
      </w:r>
      <w:r w:rsidR="00A6769B" w:rsidRPr="00BF5F52">
        <w:rPr>
          <w:lang w:val="en-US"/>
        </w:rPr>
        <w:t xml:space="preserve">behavior aligns with theoretical expectations for </w:t>
      </w:r>
      <w:r w:rsidR="00A6769B">
        <w:rPr>
          <w:lang w:val="en-US"/>
        </w:rPr>
        <w:t>G</w:t>
      </w:r>
      <w:r w:rsidR="00A6769B" w:rsidRPr="00BF5F52">
        <w:rPr>
          <w:lang w:val="en-US"/>
        </w:rPr>
        <w:t xml:space="preserve">FETs, </w:t>
      </w:r>
      <w:proofErr w:type="gramStart"/>
      <w:r w:rsidR="00A6769B" w:rsidRPr="00BF5F52">
        <w:rPr>
          <w:lang w:val="en-US"/>
        </w:rPr>
        <w:t>where</w:t>
      </w:r>
      <w:proofErr w:type="gramEnd"/>
      <w:r w:rsidR="00A6769B" w:rsidRPr="00BF5F52">
        <w:rPr>
          <w:lang w:val="en-US"/>
        </w:rPr>
        <w:t xml:space="preserve"> the </w:t>
      </w:r>
    </w:p>
    <w:p w14:paraId="6E1A916D" w14:textId="14F3CEB6" w:rsidR="00D464E2" w:rsidRDefault="00D464E2" w:rsidP="00D464E2">
      <w:pPr>
        <w:pStyle w:val="BodyText"/>
        <w:ind w:firstLine="0pt"/>
        <w:rPr>
          <w:lang w:val="en-US"/>
        </w:rPr>
      </w:pPr>
      <w:r>
        <w:rPr>
          <w:noProof/>
        </w:rPr>
        <w:lastRenderedPageBreak/>
        <w:drawing>
          <wp:inline distT="0" distB="0" distL="0" distR="0" wp14:anchorId="684DE971" wp14:editId="24109225">
            <wp:extent cx="3089910" cy="2367346"/>
            <wp:effectExtent l="0" t="0" r="0" b="0"/>
            <wp:docPr id="88272013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8272013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2367346"/>
                    </a:xfrm>
                    <a:prstGeom prst="rect">
                      <a:avLst/>
                    </a:prstGeom>
                  </pic:spPr>
                </pic:pic>
              </a:graphicData>
            </a:graphic>
          </wp:inline>
        </w:drawing>
      </w:r>
    </w:p>
    <w:p w14:paraId="182061C9" w14:textId="1AD169A0" w:rsidR="00D464E2" w:rsidRDefault="0063159D" w:rsidP="00C40FD6">
      <w:pPr>
        <w:pStyle w:val="BodyText"/>
        <w:numPr>
          <w:ilvl w:val="0"/>
          <w:numId w:val="6"/>
        </w:numPr>
        <w:ind w:start="-18pt" w:firstLine="18pt"/>
        <w:jc w:val="center"/>
        <w:rPr>
          <w:sz w:val="16"/>
          <w:szCs w:val="16"/>
          <w:lang w:val="en-US"/>
        </w:rPr>
      </w:pPr>
      <w:r>
        <w:rPr>
          <w:sz w:val="16"/>
          <w:szCs w:val="16"/>
          <w:lang w:val="en-US"/>
        </w:rPr>
        <w:t>Transfer characteristics</w:t>
      </w:r>
      <w:r w:rsidR="00D464E2" w:rsidRPr="2F0CF5F9">
        <w:rPr>
          <w:sz w:val="16"/>
          <w:szCs w:val="16"/>
          <w:lang w:val="en-US"/>
        </w:rPr>
        <w:t xml:space="preserve"> curve </w:t>
      </w:r>
      <w:proofErr w:type="gramStart"/>
      <w:r w:rsidR="00D464E2" w:rsidRPr="2F0CF5F9">
        <w:rPr>
          <w:sz w:val="16"/>
          <w:szCs w:val="16"/>
          <w:lang w:val="en-US"/>
        </w:rPr>
        <w:t xml:space="preserve">for </w:t>
      </w:r>
      <w:r>
        <w:rPr>
          <w:sz w:val="16"/>
          <w:szCs w:val="16"/>
          <w:lang w:val="en-US"/>
        </w:rPr>
        <w:t xml:space="preserve"> Drain</w:t>
      </w:r>
      <w:proofErr w:type="gramEnd"/>
      <w:r>
        <w:rPr>
          <w:sz w:val="16"/>
          <w:szCs w:val="16"/>
          <w:lang w:val="en-US"/>
        </w:rPr>
        <w:t xml:space="preserve"> voltage(</w:t>
      </w:r>
      <w:r w:rsidR="00D464E2" w:rsidRPr="2F0CF5F9">
        <w:rPr>
          <w:sz w:val="16"/>
          <w:szCs w:val="16"/>
          <w:lang w:val="en-US"/>
        </w:rPr>
        <w:t>V</w:t>
      </w:r>
      <w:r w:rsidR="00D464E2" w:rsidRPr="2F0CF5F9">
        <w:rPr>
          <w:sz w:val="16"/>
          <w:szCs w:val="16"/>
          <w:vertAlign w:val="subscript"/>
          <w:lang w:val="en-US"/>
        </w:rPr>
        <w:t>DS</w:t>
      </w:r>
      <w:r>
        <w:rPr>
          <w:sz w:val="16"/>
          <w:szCs w:val="16"/>
          <w:lang w:val="en-US"/>
        </w:rPr>
        <w:t>)</w:t>
      </w:r>
      <w:r w:rsidR="00D464E2" w:rsidRPr="2F0CF5F9">
        <w:rPr>
          <w:sz w:val="16"/>
          <w:szCs w:val="16"/>
          <w:lang w:val="en-US"/>
        </w:rPr>
        <w:t xml:space="preserve"> = 50 </w:t>
      </w:r>
      <w:r>
        <w:rPr>
          <w:sz w:val="16"/>
          <w:szCs w:val="16"/>
          <w:lang w:val="en-US"/>
        </w:rPr>
        <w:t xml:space="preserve">  </w:t>
      </w:r>
      <w:r w:rsidR="00D464E2" w:rsidRPr="2F0CF5F9">
        <w:rPr>
          <w:sz w:val="16"/>
          <w:szCs w:val="16"/>
          <w:lang w:val="en-US"/>
        </w:rPr>
        <w:t>mV</w:t>
      </w:r>
    </w:p>
    <w:p w14:paraId="350764AF" w14:textId="196F9870" w:rsidR="00835018" w:rsidRDefault="00835018" w:rsidP="00835018">
      <w:pPr>
        <w:pStyle w:val="BodyText"/>
        <w:ind w:firstLine="0pt"/>
        <w:rPr>
          <w:lang w:val="en-US"/>
        </w:rPr>
      </w:pPr>
      <w:r w:rsidRPr="00BF5F52">
        <w:rPr>
          <w:lang w:val="en-US"/>
        </w:rPr>
        <w:t>charge neutrality point occurs at the Dirac voltage.</w:t>
      </w:r>
      <w:r w:rsidRPr="00C40FD6">
        <w:rPr>
          <w:lang w:val="en-US"/>
        </w:rPr>
        <w:t xml:space="preserve"> </w:t>
      </w:r>
      <w:r w:rsidRPr="00BF5F52">
        <w:rPr>
          <w:lang w:val="en-US"/>
        </w:rPr>
        <w:t>The symmetrical curve around the Dirac point confirms the successful modeling of the graphene-like channel.</w:t>
      </w:r>
    </w:p>
    <w:p w14:paraId="18D8E5EE" w14:textId="6937BE0D" w:rsidR="00C40FD6" w:rsidRDefault="00835018" w:rsidP="00835018">
      <w:pPr>
        <w:pStyle w:val="BodyText"/>
        <w:rPr>
          <w:lang w:val="en-US"/>
        </w:rPr>
      </w:pPr>
      <w:r w:rsidRPr="00F30CFF">
        <w:rPr>
          <w:lang w:val="en-US"/>
        </w:rPr>
        <w:t xml:space="preserve">While the simulated ambipolar transfer characteristics validate that the polysilicon channel captures key graphene-like behavior, it is important to note that this surrogate cannot reproduce certain intrinsic graphene phenomena. Specifically, effects such as quantum capacitance, charge puddling, edge disorder, and interfacial dipole interactions are absent in this framework. These factors are known to influence real GFET </w:t>
      </w:r>
      <w:r w:rsidR="00E448C2" w:rsidRPr="00F30CFF">
        <w:rPr>
          <w:lang w:val="en-US"/>
        </w:rPr>
        <w:t xml:space="preserve">transfer characteristics, particularly near the Dirac point. Consequently, although the observed Dirac voltage shifts and linearity trends are reliable for design guidance, the </w:t>
      </w:r>
      <w:proofErr w:type="gramStart"/>
      <w:r w:rsidR="00E448C2" w:rsidRPr="00F30CFF">
        <w:rPr>
          <w:lang w:val="en-US"/>
        </w:rPr>
        <w:t xml:space="preserve">absolute </w:t>
      </w:r>
      <w:r w:rsidR="00E448C2">
        <w:rPr>
          <w:lang w:val="en-US"/>
        </w:rPr>
        <w:t xml:space="preserve"> </w:t>
      </w:r>
      <w:r w:rsidR="00C40FD6" w:rsidRPr="00F30CFF">
        <w:rPr>
          <w:lang w:val="en-US"/>
        </w:rPr>
        <w:t>sensitivity</w:t>
      </w:r>
      <w:proofErr w:type="gramEnd"/>
      <w:r w:rsidR="00C40FD6" w:rsidRPr="00F30CFF">
        <w:rPr>
          <w:lang w:val="en-US"/>
        </w:rPr>
        <w:t xml:space="preserve"> and detection limit values should be interpreted as optimistic upper bounds rather than direct predictions of experimental performance.</w:t>
      </w:r>
    </w:p>
    <w:p w14:paraId="1EFB5EED" w14:textId="70341364" w:rsidR="00D464E2" w:rsidRDefault="00D464E2" w:rsidP="00D464E2">
      <w:pPr>
        <w:pStyle w:val="BodyText"/>
        <w:rPr>
          <w:lang w:val="en-US"/>
        </w:rPr>
      </w:pPr>
      <w:r w:rsidRPr="00BF5F52">
        <w:rPr>
          <w:lang w:val="en-US"/>
        </w:rPr>
        <w:t xml:space="preserve">Figure </w:t>
      </w:r>
      <w:r w:rsidR="00C40FD6">
        <w:rPr>
          <w:lang w:val="en-US"/>
        </w:rPr>
        <w:t>5</w:t>
      </w:r>
      <w:r>
        <w:rPr>
          <w:lang w:val="en-US"/>
        </w:rPr>
        <w:t xml:space="preserve"> shows the transfer characteristics curve where</w:t>
      </w:r>
      <w:r w:rsidRPr="00BF5F52">
        <w:rPr>
          <w:lang w:val="en-US"/>
        </w:rPr>
        <w:t xml:space="preserve"> immobilizing 300 IgG cuboids shifts the Dirac point leftward by ~0.06 V, reflecting n-type gating induced by positive surface charge. The corresponding values are summarized in Table IV.</w:t>
      </w:r>
    </w:p>
    <w:p w14:paraId="5960F91F" w14:textId="1480A3A8" w:rsidR="00835018" w:rsidRDefault="00C45E4D" w:rsidP="00835018">
      <w:pPr>
        <w:pStyle w:val="BodyText"/>
        <w:rPr>
          <w:lang w:val="en-US"/>
        </w:rPr>
      </w:pPr>
      <w:r w:rsidRPr="00C45E4D">
        <w:rPr>
          <w:lang w:val="en-US"/>
        </w:rPr>
        <w:t>Multiple random spatial distributions of antibodies were simulated with a fixed number of bound molecules. The resulting I–V characteristics showed strong overlap across all cases, confirming that the device response is statistically invariant to receptor spatial randomness.</w:t>
      </w:r>
      <w:r w:rsidR="00A709A6" w:rsidRPr="00E57D27">
        <w:rPr>
          <w:lang w:val="en-US"/>
        </w:rPr>
        <w:t xml:space="preserve"> </w:t>
      </w:r>
      <w:r w:rsidR="00835018" w:rsidRPr="00E57D27">
        <w:rPr>
          <w:lang w:val="en-US"/>
        </w:rPr>
        <w:t>However, additional studies are needed to understand the variability observed in experimental measurements.</w:t>
      </w:r>
    </w:p>
    <w:p w14:paraId="03D6900D" w14:textId="45ECA2BA" w:rsidR="00835018" w:rsidRDefault="00835018" w:rsidP="00835018">
      <w:pPr>
        <w:pStyle w:val="BodyText"/>
        <w:ind w:firstLine="0pt"/>
        <w:rPr>
          <w:lang w:val="en-US"/>
        </w:rPr>
      </w:pPr>
      <w:r>
        <w:rPr>
          <w:lang w:val="en-US"/>
        </w:rPr>
        <w:tab/>
      </w:r>
      <w:r w:rsidRPr="003D497D">
        <w:rPr>
          <w:lang w:val="en-US"/>
        </w:rPr>
        <w:t xml:space="preserve">Figure </w:t>
      </w:r>
      <w:r>
        <w:rPr>
          <w:lang w:val="en-US"/>
        </w:rPr>
        <w:t>6</w:t>
      </w:r>
      <w:r w:rsidRPr="003D497D">
        <w:rPr>
          <w:lang w:val="en-US"/>
        </w:rPr>
        <w:t xml:space="preserve"> overlays transfer curves for increasing Ab–Ag complexes (0–300), each offset by 0.1 V for clarity. The Dirac point progresses from 0.526 V (0 complexes, i.e., 300 bare</w:t>
      </w:r>
      <w:r>
        <w:rPr>
          <w:lang w:val="en-US"/>
        </w:rPr>
        <w:t xml:space="preserve"> </w:t>
      </w:r>
      <w:r w:rsidRPr="003D497D">
        <w:rPr>
          <w:lang w:val="en-US"/>
        </w:rPr>
        <w:t>antibodies) to 0.590 V (300 complexes). These values are listed in Table V.</w:t>
      </w:r>
    </w:p>
    <w:p w14:paraId="113A116A" w14:textId="77777777" w:rsidR="00835018" w:rsidRDefault="00835018" w:rsidP="00835018">
      <w:pPr>
        <w:pStyle w:val="BodyText"/>
        <w:ind w:firstLine="0pt"/>
        <w:rPr>
          <w:lang w:val="en-US"/>
        </w:rPr>
      </w:pPr>
    </w:p>
    <w:p w14:paraId="1A8DE323" w14:textId="4C74EFBF" w:rsidR="3A4F38A2" w:rsidRDefault="3A4F38A2" w:rsidP="00C40FD6">
      <w:pPr>
        <w:pStyle w:val="tablehead"/>
        <w:tabs>
          <w:tab w:val="num" w:pos="90pt"/>
        </w:tabs>
        <w:rPr>
          <w:rFonts w:eastAsia="Times New Roman"/>
          <w:noProof w:val="0"/>
          <w:color w:val="000000" w:themeColor="text1"/>
        </w:rPr>
      </w:pPr>
      <w:r w:rsidRPr="2F0CF5F9">
        <w:rPr>
          <w:rFonts w:eastAsia="Times New Roman"/>
          <w:noProof w:val="0"/>
          <w:color w:val="000000" w:themeColor="text1"/>
        </w:rPr>
        <w:t>Dirac points for different values of antibodies according to graph</w:t>
      </w:r>
    </w:p>
    <w:tbl>
      <w:tblPr>
        <w:tblStyle w:val="TableGrid"/>
        <w:tblW w:w="239.05pt" w:type="dxa"/>
        <w:tblInd w:w="3.75pt" w:type="dxa"/>
        <w:tblLook w:firstRow="0" w:lastRow="0" w:firstColumn="0" w:lastColumn="0" w:noHBand="0" w:noVBand="0"/>
      </w:tblPr>
      <w:tblGrid>
        <w:gridCol w:w="1914"/>
        <w:gridCol w:w="2867"/>
      </w:tblGrid>
      <w:tr w:rsidR="2F0CF5F9" w14:paraId="69EAD320" w14:textId="77777777" w:rsidTr="00D464E2">
        <w:trPr>
          <w:trHeight w:val="300"/>
        </w:trPr>
        <w:tc>
          <w:tcPr>
            <w:tcW w:w="95.70pt" w:type="dxa"/>
          </w:tcPr>
          <w:p w14:paraId="0D3FD23E" w14:textId="2CDB6064" w:rsidR="2F0CF5F9" w:rsidRDefault="2F0CF5F9" w:rsidP="2F0CF5F9">
            <w:pPr>
              <w:widowControl w:val="0"/>
              <w:rPr>
                <w:rFonts w:eastAsia="Times New Roman"/>
                <w:color w:val="000000" w:themeColor="text1"/>
                <w:sz w:val="16"/>
                <w:szCs w:val="16"/>
              </w:rPr>
            </w:pPr>
            <w:r w:rsidRPr="2F0CF5F9">
              <w:rPr>
                <w:rFonts w:eastAsia="Times New Roman"/>
                <w:b/>
                <w:bCs/>
                <w:color w:val="000000" w:themeColor="text1"/>
                <w:sz w:val="16"/>
                <w:szCs w:val="16"/>
                <w:lang w:val="en"/>
              </w:rPr>
              <w:t xml:space="preserve">Antibodies </w:t>
            </w:r>
          </w:p>
        </w:tc>
        <w:tc>
          <w:tcPr>
            <w:tcW w:w="143.35pt" w:type="dxa"/>
          </w:tcPr>
          <w:p w14:paraId="26F37AEE" w14:textId="1DD160AA" w:rsidR="2F0CF5F9" w:rsidRDefault="2F0CF5F9" w:rsidP="2F0CF5F9">
            <w:pPr>
              <w:widowControl w:val="0"/>
              <w:rPr>
                <w:rFonts w:eastAsia="Times New Roman"/>
                <w:color w:val="000000" w:themeColor="text1"/>
                <w:sz w:val="16"/>
                <w:szCs w:val="16"/>
              </w:rPr>
            </w:pPr>
            <w:r w:rsidRPr="2F0CF5F9">
              <w:rPr>
                <w:rFonts w:eastAsia="Times New Roman"/>
                <w:b/>
                <w:bCs/>
                <w:color w:val="000000" w:themeColor="text1"/>
                <w:sz w:val="16"/>
                <w:szCs w:val="16"/>
                <w:lang w:val="en"/>
              </w:rPr>
              <w:t>Dirac Point(V)</w:t>
            </w:r>
          </w:p>
        </w:tc>
      </w:tr>
      <w:tr w:rsidR="2F0CF5F9" w14:paraId="26B0A4EF" w14:textId="77777777" w:rsidTr="00D464E2">
        <w:trPr>
          <w:trHeight w:val="300"/>
        </w:trPr>
        <w:tc>
          <w:tcPr>
            <w:tcW w:w="95.70pt" w:type="dxa"/>
          </w:tcPr>
          <w:p w14:paraId="52F1FD55" w14:textId="3E920370" w:rsidR="2F0CF5F9" w:rsidRDefault="2F0CF5F9" w:rsidP="2F0CF5F9">
            <w:pPr>
              <w:widowControl w:val="0"/>
              <w:rPr>
                <w:rFonts w:eastAsia="Times New Roman"/>
                <w:color w:val="000000" w:themeColor="text1"/>
                <w:sz w:val="16"/>
                <w:szCs w:val="16"/>
              </w:rPr>
            </w:pPr>
            <w:r w:rsidRPr="2F0CF5F9">
              <w:rPr>
                <w:rFonts w:eastAsia="Times New Roman"/>
                <w:color w:val="000000" w:themeColor="text1"/>
                <w:sz w:val="16"/>
                <w:szCs w:val="16"/>
                <w:lang w:val="en"/>
              </w:rPr>
              <w:t>0</w:t>
            </w:r>
          </w:p>
        </w:tc>
        <w:tc>
          <w:tcPr>
            <w:tcW w:w="143.35pt" w:type="dxa"/>
          </w:tcPr>
          <w:p w14:paraId="12E0CDD8" w14:textId="14517BB8" w:rsidR="2F0CF5F9" w:rsidRDefault="2F0CF5F9" w:rsidP="2F0CF5F9">
            <w:pPr>
              <w:widowControl w:val="0"/>
              <w:rPr>
                <w:rFonts w:eastAsia="Times New Roman"/>
                <w:color w:val="000000" w:themeColor="text1"/>
                <w:sz w:val="16"/>
                <w:szCs w:val="16"/>
              </w:rPr>
            </w:pPr>
            <w:r w:rsidRPr="2F0CF5F9">
              <w:rPr>
                <w:rFonts w:eastAsia="Times New Roman"/>
                <w:color w:val="000000" w:themeColor="text1"/>
                <w:sz w:val="16"/>
                <w:szCs w:val="16"/>
                <w:lang w:val="en"/>
              </w:rPr>
              <w:t>0.58845333</w:t>
            </w:r>
          </w:p>
        </w:tc>
      </w:tr>
      <w:tr w:rsidR="2F0CF5F9" w14:paraId="413D2788" w14:textId="77777777" w:rsidTr="00D464E2">
        <w:trPr>
          <w:trHeight w:val="300"/>
        </w:trPr>
        <w:tc>
          <w:tcPr>
            <w:tcW w:w="95.70pt" w:type="dxa"/>
          </w:tcPr>
          <w:p w14:paraId="7341911E" w14:textId="0CD31570" w:rsidR="2F0CF5F9" w:rsidRDefault="2F0CF5F9" w:rsidP="2F0CF5F9">
            <w:pPr>
              <w:widowControl w:val="0"/>
              <w:rPr>
                <w:rFonts w:eastAsia="Times New Roman"/>
                <w:color w:val="000000" w:themeColor="text1"/>
                <w:sz w:val="16"/>
                <w:szCs w:val="16"/>
              </w:rPr>
            </w:pPr>
            <w:r w:rsidRPr="2F0CF5F9">
              <w:rPr>
                <w:rFonts w:eastAsia="Times New Roman"/>
                <w:color w:val="000000" w:themeColor="text1"/>
                <w:sz w:val="16"/>
                <w:szCs w:val="16"/>
                <w:lang w:val="en"/>
              </w:rPr>
              <w:t>300</w:t>
            </w:r>
          </w:p>
        </w:tc>
        <w:tc>
          <w:tcPr>
            <w:tcW w:w="143.35pt" w:type="dxa"/>
          </w:tcPr>
          <w:p w14:paraId="798CBD8F" w14:textId="19986C47" w:rsidR="2F0CF5F9" w:rsidRDefault="2F0CF5F9" w:rsidP="2F0CF5F9">
            <w:pPr>
              <w:widowControl w:val="0"/>
              <w:rPr>
                <w:rFonts w:eastAsia="Times New Roman"/>
                <w:color w:val="000000" w:themeColor="text1"/>
                <w:sz w:val="16"/>
                <w:szCs w:val="16"/>
              </w:rPr>
            </w:pPr>
            <w:r w:rsidRPr="2F0CF5F9">
              <w:rPr>
                <w:rFonts w:eastAsia="Times New Roman"/>
                <w:color w:val="000000" w:themeColor="text1"/>
                <w:sz w:val="16"/>
                <w:szCs w:val="16"/>
                <w:lang w:val="en"/>
              </w:rPr>
              <w:t>0.52845333</w:t>
            </w:r>
          </w:p>
        </w:tc>
      </w:tr>
    </w:tbl>
    <w:p w14:paraId="2031D2B9" w14:textId="77777777" w:rsidR="00F23812" w:rsidRDefault="00F23812" w:rsidP="00952CE4">
      <w:pPr>
        <w:jc w:val="start"/>
        <w:rPr>
          <w:sz w:val="16"/>
          <w:szCs w:val="16"/>
        </w:rPr>
      </w:pPr>
    </w:p>
    <w:p w14:paraId="51F1B384" w14:textId="77777777" w:rsidR="00C40FD6" w:rsidRDefault="497AA9EA" w:rsidP="00C40FD6">
      <w:pPr>
        <w:jc w:val="start"/>
        <w:rPr>
          <w:sz w:val="16"/>
          <w:szCs w:val="16"/>
        </w:rPr>
      </w:pPr>
      <w:r>
        <w:rPr>
          <w:noProof/>
        </w:rPr>
        <w:drawing>
          <wp:inline distT="0" distB="0" distL="0" distR="0" wp14:anchorId="18304DE2" wp14:editId="4F7C5818">
            <wp:extent cx="3095625" cy="2371725"/>
            <wp:effectExtent l="0" t="0" r="0" b="0"/>
            <wp:docPr id="1398420222"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9842022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5625" cy="2371725"/>
                    </a:xfrm>
                    <a:prstGeom prst="rect">
                      <a:avLst/>
                    </a:prstGeom>
                  </pic:spPr>
                </pic:pic>
              </a:graphicData>
            </a:graphic>
          </wp:inline>
        </w:drawing>
      </w:r>
      <w:r w:rsidR="6A1A1799" w:rsidRPr="00952CE4">
        <w:rPr>
          <w:sz w:val="16"/>
          <w:szCs w:val="16"/>
        </w:rPr>
        <w:t xml:space="preserve"> </w:t>
      </w:r>
    </w:p>
    <w:p w14:paraId="5BF32526" w14:textId="1F887B5F" w:rsidR="6A1A1799" w:rsidRPr="00C40FD6" w:rsidRDefault="6A1A1799" w:rsidP="007D3ADD">
      <w:pPr>
        <w:pStyle w:val="ListParagraph"/>
        <w:numPr>
          <w:ilvl w:val="0"/>
          <w:numId w:val="6"/>
        </w:numPr>
        <w:ind w:start="18pt"/>
        <w:jc w:val="start"/>
        <w:rPr>
          <w:sz w:val="16"/>
          <w:szCs w:val="16"/>
        </w:rPr>
      </w:pPr>
      <w:r w:rsidRPr="00C40FD6">
        <w:rPr>
          <w:sz w:val="16"/>
          <w:szCs w:val="16"/>
        </w:rPr>
        <w:t>Transfer characteristics graph for simulated nano-biosensor for graphene without antibodies and with 300 antibodies</w:t>
      </w:r>
      <w:r w:rsidR="00C651E6" w:rsidRPr="00C40FD6">
        <w:rPr>
          <w:sz w:val="16"/>
          <w:szCs w:val="16"/>
        </w:rPr>
        <w:t>. Values shown in Table IV</w:t>
      </w:r>
    </w:p>
    <w:p w14:paraId="16126E9A" w14:textId="1C184EF4" w:rsidR="5A5BA817" w:rsidRDefault="5A5BA817" w:rsidP="7C82B073">
      <w:pPr>
        <w:spacing w:after="6pt" w:line="11.40pt" w:lineRule="auto"/>
        <w:jc w:val="both"/>
      </w:pPr>
      <w:r>
        <w:rPr>
          <w:noProof/>
        </w:rPr>
        <w:drawing>
          <wp:inline distT="0" distB="0" distL="0" distR="0" wp14:anchorId="2498A816" wp14:editId="29A26A8F">
            <wp:extent cx="3086100" cy="2362200"/>
            <wp:effectExtent l="0" t="0" r="0" b="0"/>
            <wp:docPr id="1731640898"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3164089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6100" cy="2362200"/>
                    </a:xfrm>
                    <a:prstGeom prst="rect">
                      <a:avLst/>
                    </a:prstGeom>
                  </pic:spPr>
                </pic:pic>
              </a:graphicData>
            </a:graphic>
          </wp:inline>
        </w:drawing>
      </w:r>
    </w:p>
    <w:p w14:paraId="05157101" w14:textId="00CC6180" w:rsidR="007D3ADD" w:rsidRPr="00835018" w:rsidRDefault="032FD01E" w:rsidP="00835018">
      <w:pPr>
        <w:pStyle w:val="BodyText"/>
        <w:numPr>
          <w:ilvl w:val="0"/>
          <w:numId w:val="6"/>
        </w:numPr>
        <w:ind w:start="18pt"/>
        <w:rPr>
          <w:sz w:val="16"/>
          <w:szCs w:val="16"/>
          <w:lang w:val="en-US"/>
        </w:rPr>
      </w:pPr>
      <w:r w:rsidRPr="2F0CF5F9">
        <w:rPr>
          <w:sz w:val="16"/>
          <w:szCs w:val="16"/>
          <w:lang w:val="en-US"/>
        </w:rPr>
        <w:t xml:space="preserve">Transfer characteristics graph for simulated </w:t>
      </w:r>
      <w:r w:rsidR="0063159D" w:rsidRPr="2F0CF5F9">
        <w:rPr>
          <w:sz w:val="16"/>
          <w:szCs w:val="16"/>
          <w:lang w:val="en-US"/>
        </w:rPr>
        <w:t>nano biosensor</w:t>
      </w:r>
      <w:r w:rsidRPr="2F0CF5F9">
        <w:rPr>
          <w:sz w:val="16"/>
          <w:szCs w:val="16"/>
          <w:lang w:val="en-US"/>
        </w:rPr>
        <w:t xml:space="preserve"> for different values of number of Ab-Ag complex, where Ab 300 denotes the graph when graphene is functionalized at 300 Ab and Ab 50 denotes that 50 antigens have bound to 50 antibodies out of 300 antibodies.</w:t>
      </w:r>
      <w:r w:rsidR="00C651E6">
        <w:rPr>
          <w:sz w:val="16"/>
          <w:szCs w:val="16"/>
          <w:lang w:val="en-US"/>
        </w:rPr>
        <w:t xml:space="preserve"> Values shown in Table V</w:t>
      </w:r>
      <w:r w:rsidR="003C0590" w:rsidRPr="00756F4A">
        <w:rPr>
          <w:lang w:val="en-US"/>
        </w:rPr>
        <w:t xml:space="preserve"> </w:t>
      </w:r>
    </w:p>
    <w:p w14:paraId="58000D31" w14:textId="4EC3BE89" w:rsidR="7C82B073" w:rsidRDefault="35174D72" w:rsidP="2F0CF5F9">
      <w:pPr>
        <w:spacing w:after="6pt" w:line="11.40pt" w:lineRule="auto"/>
        <w:jc w:val="both"/>
        <w:rPr>
          <w:sz w:val="16"/>
          <w:szCs w:val="16"/>
        </w:rPr>
      </w:pPr>
      <w:r>
        <w:rPr>
          <w:noProof/>
        </w:rPr>
        <w:drawing>
          <wp:inline distT="0" distB="0" distL="0" distR="0" wp14:anchorId="5497B125" wp14:editId="20F229A7">
            <wp:extent cx="3095625" cy="2371725"/>
            <wp:effectExtent l="0" t="0" r="0" b="0"/>
            <wp:docPr id="704967851"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0496785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95625" cy="2371725"/>
                    </a:xfrm>
                    <a:prstGeom prst="rect">
                      <a:avLst/>
                    </a:prstGeom>
                  </pic:spPr>
                </pic:pic>
              </a:graphicData>
            </a:graphic>
          </wp:inline>
        </w:drawing>
      </w:r>
    </w:p>
    <w:p w14:paraId="51D4AFEE" w14:textId="10919879" w:rsidR="00D34A3A" w:rsidRPr="00E448C2" w:rsidRDefault="35174D72" w:rsidP="00E448C2">
      <w:pPr>
        <w:pStyle w:val="BodyText"/>
        <w:numPr>
          <w:ilvl w:val="0"/>
          <w:numId w:val="6"/>
        </w:numPr>
        <w:ind w:start="18pt"/>
        <w:rPr>
          <w:sz w:val="16"/>
          <w:szCs w:val="16"/>
          <w:lang w:val="en-US"/>
        </w:rPr>
      </w:pPr>
      <w:r w:rsidRPr="2F0CF5F9">
        <w:rPr>
          <w:sz w:val="16"/>
          <w:szCs w:val="16"/>
          <w:lang w:val="en-US"/>
        </w:rPr>
        <w:t>Variation of the Dirac point voltage (ΔV</w:t>
      </w:r>
      <w:r w:rsidRPr="2F0CF5F9">
        <w:rPr>
          <w:sz w:val="16"/>
          <w:szCs w:val="16"/>
          <w:vertAlign w:val="subscript"/>
          <w:lang w:val="en-US"/>
        </w:rPr>
        <w:t>Dirac</w:t>
      </w:r>
      <w:r w:rsidRPr="2F0CF5F9">
        <w:rPr>
          <w:sz w:val="16"/>
          <w:szCs w:val="16"/>
          <w:lang w:val="en-US"/>
        </w:rPr>
        <w:t xml:space="preserve">) as a function of the number of </w:t>
      </w:r>
      <w:r w:rsidR="00B928E9" w:rsidRPr="2F0CF5F9">
        <w:rPr>
          <w:sz w:val="16"/>
          <w:szCs w:val="16"/>
          <w:lang w:val="en-US"/>
        </w:rPr>
        <w:t>antibodies</w:t>
      </w:r>
      <w:r w:rsidRPr="2F0CF5F9">
        <w:rPr>
          <w:sz w:val="16"/>
          <w:szCs w:val="16"/>
          <w:lang w:val="en-US"/>
        </w:rPr>
        <w:t>–antigen (Ab–Ag) complexes (represented by symbols) or it can be said to be number of antigens, along with the corresponding linear fit (dashed line). The graphene surface was pre-functionalized with 300 randomly distributed antibody receptors.</w:t>
      </w:r>
    </w:p>
    <w:p w14:paraId="2FF2EB08" w14:textId="77777777" w:rsidR="00C40FD6" w:rsidRPr="009A7B6B" w:rsidRDefault="00C40FD6" w:rsidP="007D3ADD">
      <w:pPr>
        <w:pStyle w:val="tablehead"/>
      </w:pPr>
      <w:r w:rsidRPr="009A7B6B">
        <w:lastRenderedPageBreak/>
        <w:t>Dirac points for different values of ab-ag complex according to graph</w:t>
      </w:r>
    </w:p>
    <w:tbl>
      <w:tblPr>
        <w:tblStyle w:val="TableGrid"/>
        <w:tblW w:w="0pt" w:type="dxa"/>
        <w:tblInd w:w="3.75pt" w:type="dxa"/>
        <w:tblLook w:firstRow="0" w:lastRow="0" w:firstColumn="0" w:lastColumn="0" w:noHBand="0" w:noVBand="0"/>
      </w:tblPr>
      <w:tblGrid>
        <w:gridCol w:w="2390"/>
        <w:gridCol w:w="2391"/>
      </w:tblGrid>
      <w:tr w:rsidR="00C40FD6" w14:paraId="2116106B" w14:textId="77777777" w:rsidTr="00831EDE">
        <w:trPr>
          <w:trHeight w:val="300"/>
        </w:trPr>
        <w:tc>
          <w:tcPr>
            <w:tcW w:w="119.75pt" w:type="dxa"/>
            <w:vAlign w:val="center"/>
          </w:tcPr>
          <w:p w14:paraId="152F67ED" w14:textId="77777777" w:rsidR="00C40FD6" w:rsidRDefault="00C40FD6" w:rsidP="00831EDE">
            <w:pPr>
              <w:widowControl w:val="0"/>
              <w:rPr>
                <w:rFonts w:eastAsia="Times New Roman"/>
                <w:color w:val="000000" w:themeColor="text1"/>
                <w:sz w:val="16"/>
                <w:szCs w:val="16"/>
              </w:rPr>
            </w:pPr>
            <w:r w:rsidRPr="2F0CF5F9">
              <w:rPr>
                <w:rFonts w:eastAsia="Times New Roman"/>
                <w:b/>
                <w:bCs/>
                <w:color w:val="000000" w:themeColor="text1"/>
                <w:sz w:val="16"/>
                <w:szCs w:val="16"/>
                <w:lang w:val="en"/>
              </w:rPr>
              <w:t>Ab-Ag</w:t>
            </w:r>
          </w:p>
        </w:tc>
        <w:tc>
          <w:tcPr>
            <w:tcW w:w="119.75pt" w:type="dxa"/>
            <w:vAlign w:val="center"/>
          </w:tcPr>
          <w:p w14:paraId="56B2B6A7" w14:textId="77777777" w:rsidR="00C40FD6" w:rsidRDefault="00C40FD6" w:rsidP="00831EDE">
            <w:pPr>
              <w:widowControl w:val="0"/>
              <w:rPr>
                <w:rFonts w:eastAsia="Times New Roman"/>
                <w:color w:val="000000" w:themeColor="text1"/>
                <w:sz w:val="16"/>
                <w:szCs w:val="16"/>
              </w:rPr>
            </w:pPr>
            <w:r w:rsidRPr="2F0CF5F9">
              <w:rPr>
                <w:rFonts w:eastAsia="Times New Roman"/>
                <w:b/>
                <w:bCs/>
                <w:color w:val="000000" w:themeColor="text1"/>
                <w:sz w:val="16"/>
                <w:szCs w:val="16"/>
                <w:lang w:val="en"/>
              </w:rPr>
              <w:t>Dirac Point (V)</w:t>
            </w:r>
          </w:p>
        </w:tc>
      </w:tr>
      <w:tr w:rsidR="00C40FD6" w14:paraId="1BD5A49A" w14:textId="77777777" w:rsidTr="00831EDE">
        <w:trPr>
          <w:trHeight w:val="300"/>
        </w:trPr>
        <w:tc>
          <w:tcPr>
            <w:tcW w:w="119.75pt" w:type="dxa"/>
            <w:vAlign w:val="center"/>
          </w:tcPr>
          <w:p w14:paraId="668093FD" w14:textId="77777777" w:rsidR="00C40FD6" w:rsidRDefault="00C40FD6" w:rsidP="00831EDE">
            <w:pPr>
              <w:widowControl w:val="0"/>
              <w:rPr>
                <w:rFonts w:eastAsia="Times New Roman"/>
                <w:color w:val="000000" w:themeColor="text1"/>
                <w:sz w:val="16"/>
                <w:szCs w:val="16"/>
              </w:rPr>
            </w:pPr>
            <w:r w:rsidRPr="2F0CF5F9">
              <w:rPr>
                <w:rFonts w:eastAsia="Times New Roman"/>
                <w:color w:val="000000" w:themeColor="text1"/>
                <w:sz w:val="16"/>
                <w:szCs w:val="16"/>
                <w:lang w:val="en"/>
              </w:rPr>
              <w:t>0 (Ab 300)</w:t>
            </w:r>
          </w:p>
        </w:tc>
        <w:tc>
          <w:tcPr>
            <w:tcW w:w="119.75pt" w:type="dxa"/>
            <w:vAlign w:val="center"/>
          </w:tcPr>
          <w:p w14:paraId="6DBA36CF" w14:textId="77777777" w:rsidR="00C40FD6" w:rsidRDefault="00C40FD6" w:rsidP="00831EDE">
            <w:pPr>
              <w:widowControl w:val="0"/>
              <w:rPr>
                <w:rFonts w:eastAsia="Times New Roman"/>
                <w:color w:val="000000" w:themeColor="text1"/>
                <w:sz w:val="16"/>
                <w:szCs w:val="16"/>
              </w:rPr>
            </w:pPr>
            <w:r w:rsidRPr="2F0CF5F9">
              <w:rPr>
                <w:rFonts w:eastAsia="Times New Roman"/>
                <w:color w:val="000000" w:themeColor="text1"/>
                <w:sz w:val="16"/>
                <w:szCs w:val="16"/>
                <w:lang w:val="en"/>
              </w:rPr>
              <w:t>0.5264</w:t>
            </w:r>
          </w:p>
        </w:tc>
      </w:tr>
      <w:tr w:rsidR="00C40FD6" w14:paraId="6DF251E5" w14:textId="77777777" w:rsidTr="00831EDE">
        <w:trPr>
          <w:trHeight w:val="300"/>
        </w:trPr>
        <w:tc>
          <w:tcPr>
            <w:tcW w:w="119.75pt" w:type="dxa"/>
            <w:vAlign w:val="center"/>
          </w:tcPr>
          <w:p w14:paraId="6E187618" w14:textId="77777777" w:rsidR="00C40FD6" w:rsidRDefault="00C40FD6" w:rsidP="00831EDE">
            <w:pPr>
              <w:widowControl w:val="0"/>
              <w:rPr>
                <w:rFonts w:eastAsia="Times New Roman"/>
                <w:color w:val="000000" w:themeColor="text1"/>
                <w:sz w:val="16"/>
                <w:szCs w:val="16"/>
              </w:rPr>
            </w:pPr>
            <w:r w:rsidRPr="2F0CF5F9">
              <w:rPr>
                <w:rFonts w:eastAsia="Times New Roman"/>
                <w:color w:val="000000" w:themeColor="text1"/>
                <w:sz w:val="16"/>
                <w:szCs w:val="16"/>
                <w:lang w:val="en"/>
              </w:rPr>
              <w:t>50</w:t>
            </w:r>
          </w:p>
        </w:tc>
        <w:tc>
          <w:tcPr>
            <w:tcW w:w="119.75pt" w:type="dxa"/>
            <w:vAlign w:val="center"/>
          </w:tcPr>
          <w:p w14:paraId="3B7761DE" w14:textId="77777777" w:rsidR="00C40FD6" w:rsidRDefault="00C40FD6" w:rsidP="00831EDE">
            <w:pPr>
              <w:widowControl w:val="0"/>
              <w:rPr>
                <w:rFonts w:eastAsia="Times New Roman"/>
                <w:color w:val="000000" w:themeColor="text1"/>
                <w:sz w:val="16"/>
                <w:szCs w:val="16"/>
              </w:rPr>
            </w:pPr>
            <w:r w:rsidRPr="2F0CF5F9">
              <w:rPr>
                <w:rFonts w:eastAsia="Times New Roman"/>
                <w:color w:val="000000" w:themeColor="text1"/>
                <w:sz w:val="16"/>
                <w:szCs w:val="16"/>
                <w:lang w:val="en"/>
              </w:rPr>
              <w:t>0.536</w:t>
            </w:r>
          </w:p>
        </w:tc>
      </w:tr>
      <w:tr w:rsidR="00C40FD6" w14:paraId="714752D3" w14:textId="77777777" w:rsidTr="00831EDE">
        <w:trPr>
          <w:trHeight w:val="300"/>
        </w:trPr>
        <w:tc>
          <w:tcPr>
            <w:tcW w:w="119.75pt" w:type="dxa"/>
            <w:vAlign w:val="center"/>
          </w:tcPr>
          <w:p w14:paraId="043CACA4" w14:textId="77777777" w:rsidR="00C40FD6" w:rsidRDefault="00C40FD6" w:rsidP="00831EDE">
            <w:pPr>
              <w:widowControl w:val="0"/>
              <w:rPr>
                <w:rFonts w:eastAsia="Times New Roman"/>
                <w:color w:val="000000" w:themeColor="text1"/>
                <w:sz w:val="16"/>
                <w:szCs w:val="16"/>
              </w:rPr>
            </w:pPr>
            <w:r w:rsidRPr="2F0CF5F9">
              <w:rPr>
                <w:rFonts w:eastAsia="Times New Roman"/>
                <w:color w:val="000000" w:themeColor="text1"/>
                <w:sz w:val="16"/>
                <w:szCs w:val="16"/>
                <w:lang w:val="en"/>
              </w:rPr>
              <w:t>100</w:t>
            </w:r>
          </w:p>
        </w:tc>
        <w:tc>
          <w:tcPr>
            <w:tcW w:w="119.75pt" w:type="dxa"/>
            <w:vAlign w:val="center"/>
          </w:tcPr>
          <w:p w14:paraId="26B7B92A" w14:textId="77777777" w:rsidR="00C40FD6" w:rsidRDefault="00C40FD6" w:rsidP="00831EDE">
            <w:pPr>
              <w:widowControl w:val="0"/>
              <w:rPr>
                <w:rFonts w:eastAsia="Times New Roman"/>
                <w:color w:val="000000" w:themeColor="text1"/>
                <w:sz w:val="16"/>
                <w:szCs w:val="16"/>
              </w:rPr>
            </w:pPr>
            <w:r w:rsidRPr="2F0CF5F9">
              <w:rPr>
                <w:rFonts w:eastAsia="Times New Roman"/>
                <w:color w:val="000000" w:themeColor="text1"/>
                <w:sz w:val="16"/>
                <w:szCs w:val="16"/>
                <w:lang w:val="en"/>
              </w:rPr>
              <w:t>0.545</w:t>
            </w:r>
          </w:p>
        </w:tc>
      </w:tr>
      <w:tr w:rsidR="00C40FD6" w14:paraId="79A9024A" w14:textId="77777777" w:rsidTr="00831EDE">
        <w:trPr>
          <w:trHeight w:val="300"/>
        </w:trPr>
        <w:tc>
          <w:tcPr>
            <w:tcW w:w="119.75pt" w:type="dxa"/>
            <w:vAlign w:val="center"/>
          </w:tcPr>
          <w:p w14:paraId="58416F4C" w14:textId="77777777" w:rsidR="00C40FD6" w:rsidRDefault="00C40FD6" w:rsidP="00831EDE">
            <w:pPr>
              <w:widowControl w:val="0"/>
              <w:rPr>
                <w:rFonts w:eastAsia="Times New Roman"/>
                <w:color w:val="000000" w:themeColor="text1"/>
                <w:sz w:val="16"/>
                <w:szCs w:val="16"/>
              </w:rPr>
            </w:pPr>
            <w:r w:rsidRPr="2F0CF5F9">
              <w:rPr>
                <w:rFonts w:eastAsia="Times New Roman"/>
                <w:color w:val="000000" w:themeColor="text1"/>
                <w:sz w:val="16"/>
                <w:szCs w:val="16"/>
                <w:lang w:val="en"/>
              </w:rPr>
              <w:t>200</w:t>
            </w:r>
          </w:p>
        </w:tc>
        <w:tc>
          <w:tcPr>
            <w:tcW w:w="119.75pt" w:type="dxa"/>
            <w:vAlign w:val="center"/>
          </w:tcPr>
          <w:p w14:paraId="6157A02E" w14:textId="77777777" w:rsidR="00C40FD6" w:rsidRDefault="00C40FD6" w:rsidP="00831EDE">
            <w:pPr>
              <w:widowControl w:val="0"/>
              <w:rPr>
                <w:rFonts w:eastAsia="Times New Roman"/>
                <w:color w:val="000000" w:themeColor="text1"/>
                <w:sz w:val="16"/>
                <w:szCs w:val="16"/>
              </w:rPr>
            </w:pPr>
            <w:r w:rsidRPr="2F0CF5F9">
              <w:rPr>
                <w:rFonts w:eastAsia="Times New Roman"/>
                <w:color w:val="000000" w:themeColor="text1"/>
                <w:sz w:val="16"/>
                <w:szCs w:val="16"/>
                <w:lang w:val="en"/>
              </w:rPr>
              <w:t>0.566</w:t>
            </w:r>
          </w:p>
        </w:tc>
      </w:tr>
      <w:tr w:rsidR="00C40FD6" w14:paraId="53C30CF2" w14:textId="77777777" w:rsidTr="00831EDE">
        <w:trPr>
          <w:trHeight w:val="300"/>
        </w:trPr>
        <w:tc>
          <w:tcPr>
            <w:tcW w:w="119.75pt" w:type="dxa"/>
            <w:vAlign w:val="center"/>
          </w:tcPr>
          <w:p w14:paraId="63C9BB34" w14:textId="77777777" w:rsidR="00C40FD6" w:rsidRDefault="00C40FD6" w:rsidP="00831EDE">
            <w:pPr>
              <w:widowControl w:val="0"/>
              <w:rPr>
                <w:rFonts w:eastAsia="Times New Roman"/>
                <w:color w:val="000000" w:themeColor="text1"/>
                <w:sz w:val="16"/>
                <w:szCs w:val="16"/>
              </w:rPr>
            </w:pPr>
            <w:r w:rsidRPr="2F0CF5F9">
              <w:rPr>
                <w:rFonts w:eastAsia="Times New Roman"/>
                <w:color w:val="000000" w:themeColor="text1"/>
                <w:sz w:val="16"/>
                <w:szCs w:val="16"/>
                <w:lang w:val="en"/>
              </w:rPr>
              <w:t>300</w:t>
            </w:r>
          </w:p>
        </w:tc>
        <w:tc>
          <w:tcPr>
            <w:tcW w:w="119.75pt" w:type="dxa"/>
            <w:vAlign w:val="center"/>
          </w:tcPr>
          <w:p w14:paraId="4D1FB080" w14:textId="77777777" w:rsidR="00C40FD6" w:rsidRDefault="00C40FD6" w:rsidP="00831EDE">
            <w:pPr>
              <w:widowControl w:val="0"/>
              <w:rPr>
                <w:rFonts w:eastAsia="Times New Roman"/>
                <w:color w:val="000000" w:themeColor="text1"/>
                <w:sz w:val="16"/>
                <w:szCs w:val="16"/>
              </w:rPr>
            </w:pPr>
            <w:r w:rsidRPr="2F0CF5F9">
              <w:rPr>
                <w:rFonts w:eastAsia="Times New Roman"/>
                <w:color w:val="000000" w:themeColor="text1"/>
                <w:sz w:val="16"/>
                <w:szCs w:val="16"/>
                <w:lang w:val="en"/>
              </w:rPr>
              <w:t>0.590</w:t>
            </w:r>
          </w:p>
        </w:tc>
      </w:tr>
    </w:tbl>
    <w:p w14:paraId="48835BF3" w14:textId="77777777" w:rsidR="00835018" w:rsidRDefault="00835018" w:rsidP="00C40FD6">
      <w:pPr>
        <w:pStyle w:val="BodyText"/>
        <w:rPr>
          <w:lang w:val="en-US"/>
        </w:rPr>
      </w:pPr>
    </w:p>
    <w:p w14:paraId="19990539" w14:textId="7BBACE25" w:rsidR="00C40FD6" w:rsidRDefault="00C40FD6" w:rsidP="00C40FD6">
      <w:pPr>
        <w:pStyle w:val="BodyText"/>
        <w:rPr>
          <w:lang w:val="en-US"/>
        </w:rPr>
      </w:pPr>
      <w:r w:rsidRPr="003D497D">
        <w:rPr>
          <w:lang w:val="en-US"/>
        </w:rPr>
        <w:t xml:space="preserve">Figure </w:t>
      </w:r>
      <w:r>
        <w:rPr>
          <w:lang w:val="en-US"/>
        </w:rPr>
        <w:t>7</w:t>
      </w:r>
      <w:r w:rsidRPr="003D497D">
        <w:rPr>
          <w:lang w:val="en-US"/>
        </w:rPr>
        <w:t xml:space="preserve"> plots the Dirac point shift (ΔV</w:t>
      </w:r>
      <w:r w:rsidRPr="00ED3D19">
        <w:rPr>
          <w:vertAlign w:val="subscript"/>
          <w:lang w:val="en-US"/>
        </w:rPr>
        <w:t>Dirac</w:t>
      </w:r>
      <w:r w:rsidRPr="003D497D">
        <w:rPr>
          <w:lang w:val="en-US"/>
        </w:rPr>
        <w:t>) as a function of the number of Ab–Ag complexes, showing a clear linear relationship with regression fit R² = 0.9987. Importantly, this “excellent fit” refers to the regression of simulated data rather than experimental validation.</w:t>
      </w:r>
    </w:p>
    <w:p w14:paraId="00B36B08" w14:textId="11A4DA42" w:rsidR="00D34A3A" w:rsidRPr="00F23812" w:rsidRDefault="00C40FD6" w:rsidP="00C40FD6">
      <w:pPr>
        <w:pStyle w:val="BodyText"/>
        <w:rPr>
          <w:lang w:val="en-US"/>
        </w:rPr>
      </w:pPr>
      <w:r w:rsidRPr="003D497D">
        <w:rPr>
          <w:lang w:val="en-US"/>
        </w:rPr>
        <w:t>To assess reproducibility, additional simulations with random antibody–antigen spatial distributions were performed.</w:t>
      </w:r>
      <w:r>
        <w:rPr>
          <w:lang w:val="en-US"/>
        </w:rPr>
        <w:t xml:space="preserve"> </w:t>
      </w:r>
      <w:r w:rsidR="00D34A3A" w:rsidRPr="003D497D">
        <w:rPr>
          <w:lang w:val="en-US"/>
        </w:rPr>
        <w:t>At 50 complexes, the Dirac shift averaged ~0.010 V with a variability of ±2 mV across five random placements. At higher antigen numbers (&gt;200 complexes), variability reduced to less than ±5% of the mean shift, indicating that spatial distribution effects are most critical at low antigen concentrations.</w:t>
      </w:r>
    </w:p>
    <w:p w14:paraId="4A2D8054" w14:textId="01281339" w:rsidR="0843BE3D" w:rsidRDefault="03642A31" w:rsidP="78DFFEDA">
      <w:pPr>
        <w:pStyle w:val="Heading2"/>
      </w:pPr>
      <w:r>
        <w:t>Performance Parameters</w:t>
      </w:r>
    </w:p>
    <w:p w14:paraId="3063B37D" w14:textId="3AD01915" w:rsidR="3A68CCD5" w:rsidRDefault="00C45E4D" w:rsidP="2F0CF5F9">
      <w:pPr>
        <w:pStyle w:val="BodyText"/>
      </w:pPr>
      <w:r w:rsidRPr="00C45E4D">
        <w:t>Based on the above results, key sensor performance metrics were evaluated and are summarized below along with relevant literature comparisons.</w:t>
      </w:r>
    </w:p>
    <w:p w14:paraId="137A6A07" w14:textId="77777777" w:rsidR="00CF508A" w:rsidRDefault="607E2D73" w:rsidP="00CF508A">
      <w:pPr>
        <w:pStyle w:val="BodyText"/>
        <w:numPr>
          <w:ilvl w:val="0"/>
          <w:numId w:val="38"/>
        </w:numPr>
      </w:pPr>
      <w:r>
        <w:t xml:space="preserve">Sensitivity: </w:t>
      </w:r>
    </w:p>
    <w:p w14:paraId="6559A74A" w14:textId="18261CC0" w:rsidR="005C7E5C" w:rsidRDefault="005C7E5C" w:rsidP="00351BFD">
      <w:pPr>
        <w:pStyle w:val="BodyText"/>
      </w:pPr>
      <w:r>
        <w:t xml:space="preserve">From the regression of Dirac point shift versus antigen–antibody complex number (Fig. </w:t>
      </w:r>
      <w:r w:rsidR="00C40FD6">
        <w:t>7</w:t>
      </w:r>
      <w:r>
        <w:t xml:space="preserve">), the device exhibits a sensitivity of ~0.21 mV per complex. When mapped to antigen concentration, this corresponds to an effective sensitivity of </w:t>
      </w:r>
      <w:r>
        <w:rPr>
          <w:rFonts w:hint="eastAsia"/>
        </w:rPr>
        <w:t>≈</w:t>
      </w:r>
      <w:r>
        <w:t>13.52 mV/ng·mL⁻¹</w:t>
      </w:r>
      <w:r w:rsidR="00936B32">
        <w:t xml:space="preserve"> (Equations 1-6)</w:t>
      </w:r>
      <w:r>
        <w:t>.</w:t>
      </w:r>
    </w:p>
    <w:p w14:paraId="1FE8AF40" w14:textId="77777777" w:rsidR="00936B32" w:rsidRDefault="00936B32" w:rsidP="00936B32">
      <w:pPr>
        <w:pStyle w:val="BodyText"/>
      </w:pPr>
      <w:bookmarkStart w:id="0" w:name="_Hlk210505603"/>
      <w:r>
        <w:t>ΔV</w:t>
      </w:r>
      <w:r w:rsidRPr="2F0CF5F9">
        <w:rPr>
          <w:vertAlign w:val="subscript"/>
        </w:rPr>
        <w:t>Dirac</w:t>
      </w:r>
      <w:r>
        <w:t xml:space="preserve"> =0.21—0.9224 mV, R</w:t>
      </w:r>
      <w:r w:rsidRPr="2F0CF5F9">
        <w:rPr>
          <w:vertAlign w:val="superscript"/>
        </w:rPr>
        <w:t>2</w:t>
      </w:r>
      <w:r>
        <w:t>=0.9987</w:t>
      </w:r>
      <w:r>
        <w:tab/>
        <w:t>(1)</w:t>
      </w:r>
    </w:p>
    <w:p w14:paraId="3C97E080" w14:textId="77777777" w:rsidR="00936B32" w:rsidRDefault="00936B32" w:rsidP="00936B32">
      <w:pPr>
        <w:pStyle w:val="BodyText"/>
      </w:pPr>
      <w:r>
        <w:t xml:space="preserve">where x is the number of bound antibody–antigen (Ab–Ag) complexes. Thus, the device exhibits a sensitivity of 0.21 mV per complex. </w:t>
      </w:r>
    </w:p>
    <w:bookmarkEnd w:id="0"/>
    <w:p w14:paraId="298C5575" w14:textId="77777777" w:rsidR="00936B32" w:rsidRDefault="00936B32" w:rsidP="00936B32">
      <w:pPr>
        <w:pStyle w:val="BodyText"/>
      </w:pPr>
      <w:r>
        <w:t>To translate this into a more conventional concentration unit (mV per ng/mL of AMA1 epitope of malaria antigen), we first estimate 300 Ab–Ag complexes equals how much ng/mL AMA1</w:t>
      </w:r>
    </w:p>
    <w:p w14:paraId="07B743DF" w14:textId="77777777" w:rsidR="00936B32" w:rsidRDefault="00936B32" w:rsidP="00936B32">
      <w:pPr>
        <w:pStyle w:val="BodyText"/>
      </w:pPr>
      <w:r>
        <w:t xml:space="preserve">Molecular weight of AMA1 domain III is 14 </w:t>
      </w:r>
      <w:proofErr w:type="spellStart"/>
      <w:r>
        <w:t>kDa</w:t>
      </w:r>
      <w:proofErr w:type="spellEnd"/>
      <w:r>
        <w:t xml:space="preserve"> (14 000 g/mol). [16]</w:t>
      </w:r>
    </w:p>
    <w:p w14:paraId="1CB377BD" w14:textId="77777777" w:rsidR="00936B32" w:rsidRDefault="00936B32" w:rsidP="00936B32">
      <w:pPr>
        <w:pStyle w:val="BodyText"/>
        <w:ind w:firstLine="0pt"/>
      </w:pPr>
      <w:r>
        <w:t>Mass per antigen molecule:</w:t>
      </w:r>
    </w:p>
    <w:p w14:paraId="2C054A34" w14:textId="77777777" w:rsidR="00936B32" w:rsidRPr="00FF63AF" w:rsidRDefault="00936B32" w:rsidP="00936B32">
      <w:pPr>
        <w:pStyle w:val="BodyText"/>
        <w:rPr>
          <w:lang w:val="en"/>
        </w:rPr>
      </w:pPr>
      <m:oMathPara>
        <m:oMathParaPr>
          <m:jc m:val="center"/>
        </m:oMathParaPr>
        <m:oMath>
          <m:f>
            <m:fPr>
              <m:ctrlPr>
                <w:rPr>
                  <w:rFonts w:ascii="Cambria Math" w:hAnsi="Cambria Math"/>
                  <w:lang w:val="en"/>
                </w:rPr>
              </m:ctrlPr>
            </m:fPr>
            <m:num>
              <m:r>
                <w:rPr>
                  <w:rFonts w:ascii="Cambria Math" w:hAnsi="Cambria Math"/>
                  <w:lang w:val="en"/>
                </w:rPr>
                <m:t>14,000 g/mol</m:t>
              </m:r>
            </m:num>
            <m:den>
              <m:r>
                <w:rPr>
                  <w:rFonts w:ascii="Cambria Math" w:hAnsi="Cambria Math"/>
                  <w:lang w:val="en"/>
                </w:rPr>
                <m:t>6.022×1</m:t>
              </m:r>
              <m:sSup>
                <m:sSupPr>
                  <m:ctrlPr>
                    <w:rPr>
                      <w:rFonts w:ascii="Cambria Math" w:hAnsi="Cambria Math"/>
                      <w:lang w:val="en"/>
                    </w:rPr>
                  </m:ctrlPr>
                </m:sSupPr>
                <m:e>
                  <m:r>
                    <w:rPr>
                      <w:rFonts w:ascii="Cambria Math" w:hAnsi="Cambria Math"/>
                      <w:lang w:val="en"/>
                    </w:rPr>
                    <m:t>0</m:t>
                  </m:r>
                </m:e>
                <m:sup>
                  <m:r>
                    <w:rPr>
                      <w:rFonts w:ascii="Cambria Math" w:hAnsi="Cambria Math"/>
                      <w:lang w:val="en"/>
                    </w:rPr>
                    <m:t>23</m:t>
                  </m:r>
                </m:sup>
              </m:sSup>
              <m:r>
                <w:rPr>
                  <w:rFonts w:ascii="Cambria Math" w:hAnsi="Cambria Math"/>
                  <w:lang w:val="en"/>
                </w:rPr>
                <m:t xml:space="preserve">  molecules/mol</m:t>
              </m:r>
            </m:den>
          </m:f>
          <m:r>
            <w:rPr>
              <w:rFonts w:ascii="Cambria Math" w:hAnsi="Cambria Math"/>
              <w:lang w:val="en"/>
            </w:rPr>
            <m:t xml:space="preserve"> = 2.33×10 -20  g   (2)</m:t>
          </m:r>
        </m:oMath>
      </m:oMathPara>
    </w:p>
    <w:p w14:paraId="61FC7DBD" w14:textId="77777777" w:rsidR="00936B32" w:rsidRPr="003F6429" w:rsidRDefault="00936B32" w:rsidP="00936B32">
      <w:pPr>
        <w:pStyle w:val="BodyText"/>
        <w:ind w:firstLine="0pt"/>
        <w:rPr>
          <w:lang w:val="en"/>
        </w:rPr>
      </w:pPr>
      <w:r w:rsidRPr="00CF508A">
        <w:rPr>
          <w:lang w:val="en"/>
        </w:rPr>
        <w:t>Total mass for 300 molecules:</w:t>
      </w:r>
    </w:p>
    <w:p w14:paraId="2E709520" w14:textId="77777777" w:rsidR="00936B32" w:rsidRPr="00FF63AF" w:rsidRDefault="00936B32" w:rsidP="00936B32">
      <w:pPr>
        <w:pStyle w:val="BodyText"/>
        <w:rPr>
          <w:lang w:val="en"/>
        </w:rPr>
      </w:pPr>
      <m:oMathPara>
        <m:oMathParaPr>
          <m:jc m:val="center"/>
        </m:oMathParaPr>
        <m:oMath>
          <m:r>
            <w:rPr>
              <w:rFonts w:ascii="Cambria Math" w:hAnsi="Cambria Math"/>
              <w:lang w:val="en"/>
            </w:rPr>
            <m:t>300×2.33X1</m:t>
          </m:r>
          <m:sSup>
            <m:sSupPr>
              <m:ctrlPr>
                <w:rPr>
                  <w:rFonts w:ascii="Cambria Math" w:hAnsi="Cambria Math"/>
                  <w:lang w:val="en"/>
                </w:rPr>
              </m:ctrlPr>
            </m:sSupPr>
            <m:e>
              <m:r>
                <w:rPr>
                  <w:rFonts w:ascii="Cambria Math" w:hAnsi="Cambria Math"/>
                  <w:lang w:val="en"/>
                </w:rPr>
                <m:t>0</m:t>
              </m:r>
            </m:e>
            <m:sup>
              <m:r>
                <w:rPr>
                  <w:rFonts w:ascii="Cambria Math" w:hAnsi="Cambria Math"/>
                  <w:lang w:val="en"/>
                </w:rPr>
                <m:t>-20</m:t>
              </m:r>
            </m:sup>
          </m:sSup>
          <m:r>
            <w:rPr>
              <w:rFonts w:ascii="Cambria Math" w:hAnsi="Cambria Math"/>
              <w:lang w:val="en"/>
            </w:rPr>
            <m:t xml:space="preserve"> =6.99×1</m:t>
          </m:r>
          <m:sSup>
            <m:sSupPr>
              <m:ctrlPr>
                <w:rPr>
                  <w:rFonts w:ascii="Cambria Math" w:hAnsi="Cambria Math"/>
                  <w:lang w:val="en"/>
                </w:rPr>
              </m:ctrlPr>
            </m:sSupPr>
            <m:e>
              <m:r>
                <w:rPr>
                  <w:rFonts w:ascii="Cambria Math" w:hAnsi="Cambria Math"/>
                  <w:lang w:val="en"/>
                </w:rPr>
                <m:t>0</m:t>
              </m:r>
            </m:e>
            <m:sup>
              <m:r>
                <w:rPr>
                  <w:rFonts w:ascii="Cambria Math" w:hAnsi="Cambria Math"/>
                  <w:lang w:val="en"/>
                </w:rPr>
                <m:t>-18</m:t>
              </m:r>
            </m:sup>
          </m:sSup>
          <m:r>
            <w:rPr>
              <w:rFonts w:ascii="Cambria Math" w:hAnsi="Cambria Math"/>
              <w:lang w:val="en"/>
            </w:rPr>
            <m:t xml:space="preserve">  g           (3)</m:t>
          </m:r>
        </m:oMath>
      </m:oMathPara>
    </w:p>
    <w:p w14:paraId="3015C1D2" w14:textId="77777777" w:rsidR="00936B32" w:rsidRDefault="00936B32" w:rsidP="00936B32">
      <w:pPr>
        <w:pStyle w:val="BodyText"/>
        <w:ind w:firstLine="0pt"/>
        <w:rPr>
          <w:lang w:val="en"/>
        </w:rPr>
      </w:pPr>
      <w:r w:rsidRPr="00CF508A">
        <w:rPr>
          <w:lang w:val="en"/>
        </w:rPr>
        <w:t>Active area =</w:t>
      </w:r>
      <w:bookmarkStart w:id="1" w:name="_jez4dsngjks1" w:colFirst="0" w:colLast="0"/>
      <w:bookmarkEnd w:id="1"/>
      <w:r>
        <w:rPr>
          <w:lang w:val="en"/>
        </w:rPr>
        <w:t xml:space="preserve"> 3 µm x 5 µm = 15 µm</w:t>
      </w:r>
      <w:r>
        <w:rPr>
          <w:vertAlign w:val="superscript"/>
          <w:lang w:val="en"/>
        </w:rPr>
        <w:t>2</w:t>
      </w:r>
      <w:r>
        <w:rPr>
          <w:lang w:val="en"/>
        </w:rPr>
        <w:t xml:space="preserve"> </w:t>
      </w:r>
    </w:p>
    <w:p w14:paraId="5B2E9616" w14:textId="4BE16F7C" w:rsidR="00936B32" w:rsidRDefault="00936B32" w:rsidP="00936B32">
      <w:pPr>
        <w:pStyle w:val="BodyText"/>
        <w:ind w:firstLine="0pt"/>
        <w:rPr>
          <w:lang w:val="en"/>
        </w:rPr>
      </w:pPr>
      <w:r w:rsidRPr="00CF508A">
        <w:rPr>
          <w:lang w:val="en"/>
        </w:rPr>
        <w:t>Effective height = 100 μm</w:t>
      </w:r>
      <w:bookmarkStart w:id="2" w:name="_jv43xwbui6wx" w:colFirst="0" w:colLast="0"/>
      <w:bookmarkEnd w:id="2"/>
    </w:p>
    <w:p w14:paraId="3C610DF9" w14:textId="72C11B9F" w:rsidR="00936B32" w:rsidRDefault="00936B32" w:rsidP="00936B32">
      <w:pPr>
        <w:pStyle w:val="BodyText"/>
        <w:ind w:firstLine="0pt"/>
        <w:rPr>
          <w:lang w:val="en"/>
        </w:rPr>
      </w:pPr>
      <w:r w:rsidRPr="00CF508A">
        <w:rPr>
          <w:lang w:val="en"/>
        </w:rPr>
        <w:t>Assumed sensing volume: Active area x Effective height =</w:t>
      </w:r>
      <w:bookmarkStart w:id="3" w:name="_2nd80coubkyw" w:colFirst="0" w:colLast="0"/>
      <w:bookmarkEnd w:id="3"/>
    </w:p>
    <w:p w14:paraId="7261E0F8" w14:textId="77777777" w:rsidR="00936B32" w:rsidRDefault="00936B32" w:rsidP="00936B32">
      <w:pPr>
        <w:pStyle w:val="BodyText"/>
        <w:rPr>
          <w:lang w:val="en"/>
        </w:rPr>
      </w:pPr>
      <m:oMathPara>
        <m:oMath>
          <m:r>
            <w:rPr>
              <w:rFonts w:ascii="Cambria Math" w:hAnsi="Cambria Math"/>
              <w:lang w:val="en"/>
            </w:rPr>
            <m:t>15 μ</m:t>
          </m:r>
          <m:sSup>
            <m:sSupPr>
              <m:ctrlPr>
                <w:rPr>
                  <w:rFonts w:ascii="Cambria Math" w:hAnsi="Cambria Math"/>
                  <w:lang w:val="en"/>
                </w:rPr>
              </m:ctrlPr>
            </m:sSupPr>
            <m:e>
              <m:r>
                <w:rPr>
                  <w:rFonts w:ascii="Cambria Math" w:hAnsi="Cambria Math"/>
                  <w:lang w:val="en"/>
                </w:rPr>
                <m:t>m</m:t>
              </m:r>
            </m:e>
            <m:sup>
              <m:r>
                <w:rPr>
                  <w:rFonts w:ascii="Cambria Math" w:hAnsi="Cambria Math"/>
                  <w:lang w:val="en"/>
                </w:rPr>
                <m:t>2</m:t>
              </m:r>
            </m:sup>
          </m:sSup>
          <m:r>
            <w:rPr>
              <w:rFonts w:ascii="Cambria Math" w:hAnsi="Cambria Math"/>
              <w:lang w:val="en"/>
            </w:rPr>
            <m:t xml:space="preserve"> X 100 µm </m:t>
          </m:r>
          <w:bookmarkStart w:id="4" w:name="_Hlk208924504"/>
          <m:r>
            <w:rPr>
              <w:rFonts w:ascii="Cambria Math" w:hAnsi="Cambria Math"/>
              <w:lang w:val="en"/>
            </w:rPr>
            <m:t>≈</m:t>
          </m:r>
          <w:bookmarkEnd w:id="4"/>
          <m:r>
            <w:rPr>
              <w:rFonts w:ascii="Cambria Math" w:hAnsi="Cambria Math"/>
              <w:lang w:val="en"/>
            </w:rPr>
            <m:t xml:space="preserve"> 1.5X1</m:t>
          </m:r>
          <m:sSup>
            <m:sSupPr>
              <m:ctrlPr>
                <w:rPr>
                  <w:rFonts w:ascii="Cambria Math" w:hAnsi="Cambria Math"/>
                  <w:lang w:val="en"/>
                </w:rPr>
              </m:ctrlPr>
            </m:sSupPr>
            <m:e>
              <m:r>
                <w:rPr>
                  <w:rFonts w:ascii="Cambria Math" w:hAnsi="Cambria Math"/>
                  <w:lang w:val="en"/>
                </w:rPr>
                <m:t>0</m:t>
              </m:r>
            </m:e>
            <m:sup>
              <m:r>
                <w:rPr>
                  <w:rFonts w:ascii="Cambria Math" w:hAnsi="Cambria Math"/>
                  <w:lang w:val="en"/>
                </w:rPr>
                <m:t>-12</m:t>
              </m:r>
            </m:sup>
          </m:sSup>
          <m:r>
            <w:rPr>
              <w:rFonts w:ascii="Cambria Math" w:hAnsi="Cambria Math"/>
              <w:lang w:val="en"/>
            </w:rPr>
            <m:t xml:space="preserve">  L              (4)</m:t>
          </m:r>
        </m:oMath>
      </m:oMathPara>
    </w:p>
    <w:p w14:paraId="3000904B" w14:textId="77777777" w:rsidR="00936B32" w:rsidRDefault="00936B32" w:rsidP="00936B32">
      <w:pPr>
        <w:pStyle w:val="BodyText"/>
        <w:ind w:firstLine="0pt"/>
        <w:rPr>
          <w:lang w:val="en"/>
        </w:rPr>
      </w:pPr>
      <w:r w:rsidRPr="00CF508A">
        <w:rPr>
          <w:lang w:val="en"/>
        </w:rPr>
        <w:t>Corresponding concentration:</w:t>
      </w:r>
    </w:p>
    <w:p w14:paraId="20AC4D03" w14:textId="77777777" w:rsidR="00936B32" w:rsidRPr="00CF508A" w:rsidRDefault="00936B32" w:rsidP="00936B32">
      <w:pPr>
        <w:pStyle w:val="BodyText"/>
        <w:ind w:firstLine="0pt"/>
        <w:rPr>
          <w:lang w:val="en"/>
        </w:rPr>
      </w:pPr>
      <m:oMathPara>
        <m:oMathParaPr>
          <m:jc m:val="center"/>
        </m:oMathParaPr>
        <m:oMath>
          <m:f>
            <m:fPr>
              <m:ctrlPr>
                <w:rPr>
                  <w:rFonts w:ascii="Cambria Math" w:hAnsi="Cambria Math"/>
                  <w:lang w:val="en"/>
                </w:rPr>
              </m:ctrlPr>
            </m:fPr>
            <m:num>
              <m:r>
                <w:rPr>
                  <w:rFonts w:ascii="Cambria Math" w:hAnsi="Cambria Math"/>
                  <w:lang w:val="en"/>
                </w:rPr>
                <m:t>6.99X1</m:t>
              </m:r>
              <m:sSup>
                <m:sSupPr>
                  <m:ctrlPr>
                    <w:rPr>
                      <w:rFonts w:ascii="Cambria Math" w:hAnsi="Cambria Math"/>
                      <w:lang w:val="en"/>
                    </w:rPr>
                  </m:ctrlPr>
                </m:sSupPr>
                <m:e>
                  <m:r>
                    <w:rPr>
                      <w:rFonts w:ascii="Cambria Math" w:hAnsi="Cambria Math"/>
                      <w:lang w:val="en"/>
                    </w:rPr>
                    <m:t>0</m:t>
                  </m:r>
                </m:e>
                <m:sup>
                  <m:r>
                    <w:rPr>
                      <w:rFonts w:ascii="Cambria Math" w:hAnsi="Cambria Math"/>
                      <w:lang w:val="en"/>
                    </w:rPr>
                    <m:t>-18</m:t>
                  </m:r>
                </m:sup>
              </m:sSup>
              <m:r>
                <w:rPr>
                  <w:rFonts w:ascii="Cambria Math" w:hAnsi="Cambria Math"/>
                  <w:lang w:val="en"/>
                </w:rPr>
                <m:t xml:space="preserve">  g</m:t>
              </m:r>
            </m:num>
            <m:den>
              <m:r>
                <w:rPr>
                  <w:rFonts w:ascii="Cambria Math" w:hAnsi="Cambria Math"/>
                  <w:lang w:val="en"/>
                </w:rPr>
                <m:t>1.5X1</m:t>
              </m:r>
              <m:sSup>
                <m:sSupPr>
                  <m:ctrlPr>
                    <w:rPr>
                      <w:rFonts w:ascii="Cambria Math" w:hAnsi="Cambria Math"/>
                      <w:lang w:val="en"/>
                    </w:rPr>
                  </m:ctrlPr>
                </m:sSupPr>
                <m:e>
                  <m:r>
                    <w:rPr>
                      <w:rFonts w:ascii="Cambria Math" w:hAnsi="Cambria Math"/>
                      <w:lang w:val="en"/>
                    </w:rPr>
                    <m:t>0</m:t>
                  </m:r>
                </m:e>
                <m:sup>
                  <m:r>
                    <w:rPr>
                      <w:rFonts w:ascii="Cambria Math" w:hAnsi="Cambria Math"/>
                      <w:lang w:val="en"/>
                    </w:rPr>
                    <m:t>-12</m:t>
                  </m:r>
                </m:sup>
              </m:sSup>
              <m:r>
                <w:rPr>
                  <w:rFonts w:ascii="Cambria Math" w:hAnsi="Cambria Math"/>
                  <w:lang w:val="en"/>
                </w:rPr>
                <m:t xml:space="preserve">  L</m:t>
              </m:r>
            </m:den>
          </m:f>
          <m:r>
            <w:rPr>
              <w:rFonts w:ascii="Cambria Math" w:hAnsi="Cambria Math"/>
              <w:lang w:val="en"/>
            </w:rPr>
            <m:t xml:space="preserve"> = 4.66 X 1</m:t>
          </m:r>
          <m:sSup>
            <m:sSupPr>
              <m:ctrlPr>
                <w:rPr>
                  <w:rFonts w:ascii="Cambria Math" w:hAnsi="Cambria Math"/>
                  <w:lang w:val="en"/>
                </w:rPr>
              </m:ctrlPr>
            </m:sSupPr>
            <m:e>
              <m:r>
                <w:rPr>
                  <w:rFonts w:ascii="Cambria Math" w:hAnsi="Cambria Math"/>
                  <w:lang w:val="en"/>
                </w:rPr>
                <m:t>0</m:t>
              </m:r>
            </m:e>
            <m:sup>
              <m:r>
                <w:rPr>
                  <w:rFonts w:ascii="Cambria Math" w:hAnsi="Cambria Math"/>
                  <w:lang w:val="en"/>
                </w:rPr>
                <m:t>-6</m:t>
              </m:r>
            </m:sup>
          </m:sSup>
          <m:r>
            <w:rPr>
              <w:rFonts w:ascii="Cambria Math" w:hAnsi="Cambria Math"/>
              <w:lang w:val="en"/>
            </w:rPr>
            <m:t xml:space="preserve"> g/L = 4.66 ng/mL     (5)</m:t>
          </m:r>
        </m:oMath>
      </m:oMathPara>
    </w:p>
    <w:p w14:paraId="0D1335AC" w14:textId="77777777" w:rsidR="00936B32" w:rsidRPr="00CF508A" w:rsidRDefault="00936B32" w:rsidP="00936B32">
      <w:pPr>
        <w:pStyle w:val="BodyText"/>
        <w:rPr>
          <w:lang w:val="en"/>
        </w:rPr>
      </w:pPr>
      <w:r w:rsidRPr="00CF508A">
        <w:rPr>
          <w:lang w:val="en"/>
        </w:rPr>
        <w:t>Using this mapping, 300 complexes ↔ 4.66 ng/mL, the slope of 0.21 mV/complex converts to:</w:t>
      </w:r>
    </w:p>
    <w:p w14:paraId="34FEC933" w14:textId="77777777" w:rsidR="00936B32" w:rsidRPr="00CF508A" w:rsidRDefault="00936B32" w:rsidP="00936B32">
      <w:pPr>
        <w:pStyle w:val="BodyText"/>
        <w:ind w:firstLine="0pt"/>
        <w:jc w:val="center"/>
        <w:rPr>
          <w:lang w:val="en"/>
        </w:rPr>
      </w:pPr>
      <m:oMathPara>
        <m:oMath>
          <m:r>
            <w:rPr>
              <w:rFonts w:ascii="Cambria Math" w:hAnsi="Cambria Math"/>
              <w:lang w:val="en"/>
            </w:rPr>
            <m:t>0.21</m:t>
          </m:r>
          <m:f>
            <m:fPr>
              <m:ctrlPr>
                <w:rPr>
                  <w:rFonts w:ascii="Cambria Math" w:hAnsi="Cambria Math"/>
                  <w:lang w:val="en"/>
                </w:rPr>
              </m:ctrlPr>
            </m:fPr>
            <m:num>
              <m:r>
                <w:rPr>
                  <w:rFonts w:ascii="Cambria Math" w:hAnsi="Cambria Math"/>
                  <w:lang w:val="en"/>
                </w:rPr>
                <m:t>mV</m:t>
              </m:r>
            </m:num>
            <m:den>
              <m:r>
                <w:rPr>
                  <w:rFonts w:ascii="Cambria Math" w:hAnsi="Cambria Math"/>
                  <w:lang w:val="en"/>
                </w:rPr>
                <m:t>complex</m:t>
              </m:r>
            </m:den>
          </m:f>
          <m:r>
            <w:rPr>
              <w:rFonts w:ascii="Cambria Math" w:hAnsi="Cambria Math"/>
              <w:lang w:val="en"/>
            </w:rPr>
            <m:t xml:space="preserve"> X </m:t>
          </m:r>
          <m:f>
            <m:fPr>
              <m:ctrlPr>
                <w:rPr>
                  <w:rFonts w:ascii="Cambria Math" w:hAnsi="Cambria Math"/>
                  <w:lang w:val="en"/>
                </w:rPr>
              </m:ctrlPr>
            </m:fPr>
            <m:num>
              <m:r>
                <w:rPr>
                  <w:rFonts w:ascii="Cambria Math" w:hAnsi="Cambria Math"/>
                  <w:lang w:val="en"/>
                </w:rPr>
                <m:t>300 complexes</m:t>
              </m:r>
            </m:num>
            <m:den>
              <m:r>
                <w:rPr>
                  <w:rFonts w:ascii="Cambria Math" w:hAnsi="Cambria Math"/>
                  <w:lang w:val="en"/>
                </w:rPr>
                <m:t>4.66 ng/mL</m:t>
              </m:r>
            </m:den>
          </m:f>
          <m:r>
            <w:rPr>
              <w:rFonts w:ascii="Cambria Math" w:hAnsi="Cambria Math"/>
              <w:lang w:val="en"/>
            </w:rPr>
            <m:t xml:space="preserve"> = 13.52 </m:t>
          </m:r>
          <m:f>
            <m:fPr>
              <m:ctrlPr>
                <w:rPr>
                  <w:rFonts w:ascii="Cambria Math" w:hAnsi="Cambria Math"/>
                  <w:lang w:val="en"/>
                </w:rPr>
              </m:ctrlPr>
            </m:fPr>
            <m:num>
              <m:r>
                <w:rPr>
                  <w:rFonts w:ascii="Cambria Math" w:hAnsi="Cambria Math"/>
                  <w:lang w:val="en"/>
                </w:rPr>
                <m:t>mV</m:t>
              </m:r>
            </m:num>
            <m:den>
              <m:r>
                <w:rPr>
                  <w:rFonts w:ascii="Cambria Math" w:hAnsi="Cambria Math"/>
                  <w:lang w:val="en"/>
                </w:rPr>
                <m:t>ng/mL</m:t>
              </m:r>
            </m:den>
          </m:f>
          <m:r>
            <w:rPr>
              <w:rFonts w:ascii="Cambria Math" w:hAnsi="Cambria Math"/>
              <w:lang w:val="en"/>
            </w:rPr>
            <m:t xml:space="preserve">    (6)</m:t>
          </m:r>
        </m:oMath>
      </m:oMathPara>
    </w:p>
    <w:p w14:paraId="2D796878" w14:textId="77777777" w:rsidR="00936B32" w:rsidRDefault="00936B32" w:rsidP="00936B32">
      <w:pPr>
        <w:pStyle w:val="BodyText"/>
        <w:rPr>
          <w:lang w:val="en"/>
        </w:rPr>
      </w:pPr>
      <w:r w:rsidRPr="00AB7B9B">
        <w:rPr>
          <w:lang w:val="en"/>
        </w:rPr>
        <w:t>Thus, the BioGFET achieves an effective sensitivity of ≈ 13.52 mV per ng/mL of AMA1 antigen.</w:t>
      </w:r>
    </w:p>
    <w:p w14:paraId="1E91C9C9" w14:textId="227EC077" w:rsidR="00936B32" w:rsidRPr="00936B32" w:rsidRDefault="00936B32" w:rsidP="00936B32">
      <w:pPr>
        <w:pStyle w:val="BodyText"/>
        <w:rPr>
          <w:lang w:val="en"/>
        </w:rPr>
      </w:pPr>
      <w:r w:rsidRPr="00581149">
        <w:rPr>
          <w:lang w:val="en"/>
        </w:rPr>
        <w:t xml:space="preserve">The translation from “per complex” to “per ng/mL” depends on the assumed sensing volume. If the effective sensing height is varied from 50 µm to 150 µm instead of 100 µm, the calculated sensitivity shifts from ~20.3 mV/ng·mL⁻¹ (smaller volume) to ~10.1 mV/ng·mL⁻¹ (larger volume). Similarly, if the antigen molecular weight is 10% higher or lower than the assumed 14 </w:t>
      </w:r>
      <w:proofErr w:type="spellStart"/>
      <w:r w:rsidRPr="00581149">
        <w:rPr>
          <w:lang w:val="en"/>
        </w:rPr>
        <w:t>kDa</w:t>
      </w:r>
      <w:proofErr w:type="spellEnd"/>
      <w:r w:rsidRPr="00581149">
        <w:rPr>
          <w:lang w:val="en"/>
        </w:rPr>
        <w:t>, the derived sensitivity changes by ±10%. These results indicate that while the linear relationship between ΔV</w:t>
      </w:r>
      <w:r w:rsidRPr="00AE7FF7">
        <w:rPr>
          <w:vertAlign w:val="subscript"/>
          <w:lang w:val="en"/>
        </w:rPr>
        <w:t>Dirac</w:t>
      </w:r>
      <w:r w:rsidRPr="00581149">
        <w:rPr>
          <w:lang w:val="en"/>
        </w:rPr>
        <w:t xml:space="preserve"> and antigen number is robust (modeled), the conversion to ng/mL carries uncertainty from geometric and biochemical assumptions (inferred).</w:t>
      </w:r>
    </w:p>
    <w:p w14:paraId="1BC72E17" w14:textId="325A0975" w:rsidR="00351BFD" w:rsidRDefault="00351BFD" w:rsidP="005C7E5C">
      <w:pPr>
        <w:pStyle w:val="BodyText"/>
        <w:ind w:firstLine="0pt"/>
      </w:pPr>
      <w:r>
        <w:tab/>
      </w:r>
      <w:r w:rsidR="005C7E5C">
        <w:t>It should be noted that the concentration mapping depends on assumptions of sensing volume and antigen molecular weight. For example, varying the effective sensing height between 50–150 µm changes the calculated sensitivity by nearly a factor of two, while a ±10% change in antigen molecular weight leads to proportional variation. Thus, while the linearity of ΔVDirac is robust, the conversion to ng·mL⁻¹ carries geometric and biochemical uncertainty.</w:t>
      </w:r>
    </w:p>
    <w:p w14:paraId="2BA322F4" w14:textId="0C33F4A9" w:rsidR="00AB7B9B" w:rsidRDefault="0076699B" w:rsidP="00351BFD">
      <w:pPr>
        <w:pStyle w:val="BodyText"/>
        <w:numPr>
          <w:ilvl w:val="0"/>
          <w:numId w:val="38"/>
        </w:numPr>
      </w:pPr>
      <w:r w:rsidRPr="0076699B">
        <w:rPr>
          <w:lang w:val="en"/>
        </w:rPr>
        <w:t>Variability Analysis</w:t>
      </w:r>
      <w:r w:rsidR="00AB7B9B">
        <w:t>:</w:t>
      </w:r>
    </w:p>
    <w:p w14:paraId="723BE03A" w14:textId="40286367" w:rsidR="0076699B" w:rsidRDefault="00952CE4" w:rsidP="00952CE4">
      <w:pPr>
        <w:pStyle w:val="BodyText"/>
        <w:ind w:firstLine="0pt"/>
      </w:pPr>
      <w:r>
        <w:tab/>
      </w:r>
      <w:r w:rsidR="0076699B">
        <w:t>To assess reproducibility, additional simulations with random antibody–antigen spatial distributions were performed. At 50 bound complexes, the Dirac point shift averaged ~0.010 V with a variability of ±2 mV across five random placements. At higher antigen numbers (&gt;200 complexes), variability reduced to &lt;5% of the mean shift, suggesting that spatial distribution effects are most critical at low analyte concentrations.</w:t>
      </w:r>
    </w:p>
    <w:p w14:paraId="04334EE7" w14:textId="1CA2AAD6" w:rsidR="00AB7B9B" w:rsidRDefault="0076699B" w:rsidP="0076699B">
      <w:pPr>
        <w:pStyle w:val="BodyText"/>
        <w:ind w:firstLine="0pt"/>
      </w:pPr>
      <w:r>
        <w:tab/>
        <w:t>This preliminary analysis can be interpreted as a simplified Monte Carlo approach, where receptor positions are randomized across multiple runs to estimate variability. Extending this framework to incorporate additional stochastic factors—such as charge fluctuation noise or partial receptor occupancy—would allow a fuller Monte Carlo–based variability analysis. Even at this preliminary stage, the results indicate that the device response is relatively robust to receptor placement randomness, though further stochastic modeling is recommended for improved predictive fidelity.</w:t>
      </w:r>
    </w:p>
    <w:p w14:paraId="4FF079BD" w14:textId="77777777" w:rsidR="00B928E9" w:rsidRDefault="00AB7B9B" w:rsidP="00B928E9">
      <w:pPr>
        <w:pStyle w:val="BodyText"/>
        <w:numPr>
          <w:ilvl w:val="0"/>
          <w:numId w:val="38"/>
        </w:numPr>
      </w:pPr>
      <w:r w:rsidRPr="00AB7B9B">
        <w:rPr>
          <w:lang w:val="en"/>
        </w:rPr>
        <w:t>Limit of Detection (L</w:t>
      </w:r>
      <w:r w:rsidR="00FF63AF">
        <w:rPr>
          <w:lang w:val="en"/>
        </w:rPr>
        <w:t>O</w:t>
      </w:r>
      <w:r w:rsidRPr="00AB7B9B">
        <w:rPr>
          <w:lang w:val="en"/>
        </w:rPr>
        <w:t>D)</w:t>
      </w:r>
      <w:r>
        <w:t>:</w:t>
      </w:r>
    </w:p>
    <w:p w14:paraId="6570F3C8" w14:textId="77777777" w:rsidR="00936B32" w:rsidRDefault="00936B32" w:rsidP="00936B32">
      <w:pPr>
        <w:pStyle w:val="BodyText"/>
        <w:ind w:firstLine="0pt"/>
      </w:pPr>
      <w:r>
        <w:tab/>
      </w:r>
      <w:r w:rsidRPr="00FF63AF">
        <w:t>According to the IUPAC Compendium of Analytical Terminology, the limit of detection (</w:t>
      </w:r>
      <w:proofErr w:type="spellStart"/>
      <w:r>
        <w:t>L</w:t>
      </w:r>
      <w:r w:rsidRPr="00B928E9">
        <w:rPr>
          <w:vertAlign w:val="subscript"/>
        </w:rPr>
        <w:t>d</w:t>
      </w:r>
      <w:proofErr w:type="spellEnd"/>
      <w:r>
        <w:t xml:space="preserve"> or </w:t>
      </w:r>
      <w:r w:rsidRPr="00FF63AF">
        <w:t>L</w:t>
      </w:r>
      <w:r>
        <w:t>O</w:t>
      </w:r>
      <w:r w:rsidRPr="00FF63AF">
        <w:t>D) is defined as the smallest analyte quantity or signal that can be detected with reasonable statistical certainty above the background noise of a blank measurement [17]. Mathematically, this is expressed as:</w:t>
      </w:r>
      <w:r>
        <w:t xml:space="preserve"> </w:t>
      </w:r>
    </w:p>
    <w:p w14:paraId="39451AFF" w14:textId="77777777" w:rsidR="00936B32" w:rsidRPr="00FF63AF" w:rsidRDefault="00936B32" w:rsidP="00936B32">
      <w:pPr>
        <w:pStyle w:val="BodyText"/>
        <w:rPr>
          <w:lang w:val="en"/>
        </w:rPr>
      </w:pPr>
      <m:oMathPara>
        <m:oMathParaPr>
          <m:jc m:val="center"/>
        </m:oMathParaPr>
        <m:oMath>
          <m:sSub>
            <m:sSubPr>
              <m:ctrlPr>
                <w:rPr>
                  <w:rFonts w:ascii="Cambria Math" w:hAnsi="Cambria Math"/>
                  <w:lang w:val="en"/>
                </w:rPr>
              </m:ctrlPr>
            </m:sSubPr>
            <m:e>
              <m:r>
                <w:rPr>
                  <w:rFonts w:ascii="Cambria Math" w:hAnsi="Cambria Math"/>
                  <w:lang w:val="en"/>
                </w:rPr>
                <m:t>L</m:t>
              </m:r>
            </m:e>
            <m:sub>
              <m:r>
                <w:rPr>
                  <w:rFonts w:ascii="Cambria Math" w:hAnsi="Cambria Math"/>
                  <w:lang w:val="en"/>
                </w:rPr>
                <m:t>d</m:t>
              </m:r>
            </m:sub>
          </m:sSub>
          <m:r>
            <w:rPr>
              <w:rFonts w:ascii="Cambria Math" w:hAnsi="Cambria Math"/>
              <w:lang w:val="en"/>
            </w:rPr>
            <m:t>​ =</m:t>
          </m:r>
          <m:bar>
            <m:barPr>
              <m:ctrlPr>
                <w:rPr>
                  <w:rFonts w:ascii="Cambria Math" w:hAnsi="Cambria Math"/>
                  <w:lang w:val="en"/>
                </w:rPr>
              </m:ctrlPr>
            </m:barPr>
            <m:e>
              <m:r>
                <w:rPr>
                  <w:rFonts w:ascii="Cambria Math" w:hAnsi="Cambria Math"/>
                  <w:lang w:val="en"/>
                </w:rPr>
                <m:t>S</m:t>
              </m:r>
            </m:e>
          </m:bar>
          <m:sSub>
            <m:sSubPr>
              <m:ctrlPr>
                <w:rPr>
                  <w:rFonts w:ascii="Cambria Math" w:hAnsi="Cambria Math"/>
                  <w:lang w:val="en"/>
                </w:rPr>
              </m:ctrlPr>
            </m:sSubPr>
            <m:e>
              <m:r>
                <w:rPr>
                  <w:rFonts w:ascii="Cambria Math" w:hAnsi="Cambria Math"/>
                  <w:lang w:val="en"/>
                </w:rPr>
                <m:t xml:space="preserve"> </m:t>
              </m:r>
            </m:e>
            <m:sub>
              <m:r>
                <w:rPr>
                  <w:rFonts w:ascii="Cambria Math" w:hAnsi="Cambria Math"/>
                  <w:lang w:val="en"/>
                </w:rPr>
                <m:t>blank</m:t>
              </m:r>
            </m:sub>
          </m:sSub>
          <m:r>
            <w:rPr>
              <w:rFonts w:ascii="Cambria Math" w:hAnsi="Cambria Math"/>
              <w:lang w:val="en"/>
            </w:rPr>
            <m:t xml:space="preserve"> +k⋅</m:t>
          </m:r>
          <m:sSub>
            <m:sSubPr>
              <m:ctrlPr>
                <w:rPr>
                  <w:rFonts w:ascii="Cambria Math" w:hAnsi="Cambria Math"/>
                  <w:lang w:val="en"/>
                </w:rPr>
              </m:ctrlPr>
            </m:sSubPr>
            <m:e>
              <m:r>
                <w:rPr>
                  <w:rFonts w:ascii="Cambria Math" w:hAnsi="Cambria Math"/>
                  <w:lang w:val="en"/>
                </w:rPr>
                <m:t>σ</m:t>
              </m:r>
            </m:e>
            <m:sub>
              <m:r>
                <w:rPr>
                  <w:rFonts w:ascii="Cambria Math" w:hAnsi="Cambria Math"/>
                  <w:lang w:val="en"/>
                </w:rPr>
                <m:t>blank</m:t>
              </m:r>
            </m:sub>
          </m:sSub>
          <m:r>
            <w:rPr>
              <w:rFonts w:ascii="Cambria Math" w:hAnsi="Cambria Math"/>
              <w:lang w:val="en"/>
            </w:rPr>
            <m:t>​            (7)</m:t>
          </m:r>
        </m:oMath>
      </m:oMathPara>
    </w:p>
    <w:p w14:paraId="3DEF1D78" w14:textId="77777777" w:rsidR="00045ED6" w:rsidRDefault="00936B32" w:rsidP="00936B32">
      <w:pPr>
        <w:pStyle w:val="BodyText"/>
      </w:pPr>
      <w:r>
        <w:rPr>
          <w:rFonts w:hint="eastAsia"/>
        </w:rPr>
        <w:t xml:space="preserve">Where </w:t>
      </w:r>
      <w:r w:rsidRPr="001F04E9">
        <w:rPr>
          <w:rFonts w:hint="eastAsia"/>
          <w:u w:val="single"/>
        </w:rPr>
        <w:t>S</w:t>
      </w:r>
      <w:r w:rsidRPr="001F04E9">
        <w:rPr>
          <w:rFonts w:hint="eastAsia"/>
          <w:vertAlign w:val="subscript"/>
        </w:rPr>
        <w:t>blank</w:t>
      </w:r>
      <w:r>
        <w:rPr>
          <w:rFonts w:hint="eastAsia"/>
        </w:rPr>
        <w:t xml:space="preserve"> is the mean blank signal (e.g. Dirac voltage </w:t>
      </w:r>
    </w:p>
    <w:p w14:paraId="2B296C39" w14:textId="36FDB3FF" w:rsidR="00936B32" w:rsidRDefault="00936B32" w:rsidP="00936B32">
      <w:pPr>
        <w:pStyle w:val="BodyText"/>
      </w:pPr>
      <w:r>
        <w:rPr>
          <w:rFonts w:hint="eastAsia"/>
        </w:rPr>
        <w:lastRenderedPageBreak/>
        <w:t xml:space="preserve">with no antigen bound), </w:t>
      </w:r>
      <w:r>
        <w:rPr>
          <w:rFonts w:hint="eastAsia"/>
        </w:rPr>
        <w:t>σ</w:t>
      </w:r>
      <w:r w:rsidRPr="001F04E9">
        <w:rPr>
          <w:rFonts w:hint="eastAsia"/>
          <w:vertAlign w:val="subscript"/>
        </w:rPr>
        <w:t>blank</w:t>
      </w:r>
      <w:r>
        <w:rPr>
          <w:rFonts w:hint="eastAsia"/>
        </w:rPr>
        <w:t xml:space="preserve"> is the standard deviation of repeated blank measurements, and k is the confidence factor (typically 3) [17].</w:t>
      </w:r>
    </w:p>
    <w:p w14:paraId="6F299A66" w14:textId="77777777" w:rsidR="00936B32" w:rsidRDefault="00936B32" w:rsidP="00936B32">
      <w:pPr>
        <w:pStyle w:val="BodyText"/>
        <w:ind w:firstLine="0pt"/>
      </w:pPr>
      <w:r>
        <w:t>From the pristine‑graphene simulations, Mean blank Dirac voltage (</w:t>
      </w:r>
      <w:r>
        <w:rPr>
          <w:rFonts w:ascii="Cambria Math" w:hAnsi="Cambria Math" w:cs="Cambria Math"/>
        </w:rPr>
        <w:t>𝑉</w:t>
      </w:r>
      <w:r w:rsidRPr="009E2526">
        <w:rPr>
          <w:vertAlign w:val="subscript"/>
        </w:rPr>
        <w:t>Dirac</w:t>
      </w:r>
      <w:r>
        <w:t>,0) is equivalent to 0.526 V and baseline standard deviation (</w:t>
      </w:r>
      <w:r>
        <w:rPr>
          <w:rFonts w:ascii="Cambria Math" w:hAnsi="Cambria Math" w:cs="Cambria Math"/>
        </w:rPr>
        <w:t>𝜎</w:t>
      </w:r>
      <w:r w:rsidRPr="009E2526">
        <w:rPr>
          <w:vertAlign w:val="subscript"/>
        </w:rPr>
        <w:t>Dirac</w:t>
      </w:r>
      <w:r>
        <w:t>,0) is equivalent to 1 mV, estimated from repeated baseline simulations. Thus, the minimal detectable Dirac shift (signal threshold) is:</w:t>
      </w:r>
    </w:p>
    <w:p w14:paraId="2A153723" w14:textId="77777777" w:rsidR="00936B32" w:rsidRPr="001F04E9" w:rsidRDefault="00936B32" w:rsidP="00936B32">
      <m:oMathPara>
        <m:oMathParaPr>
          <m:jc m:val="center"/>
        </m:oMathParaPr>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r>
            <w:rPr>
              <w:rFonts w:ascii="Cambria Math" w:eastAsia="Times New Roman" w:hAnsi="Cambria Math"/>
            </w:rPr>
            <m:t xml:space="preserve">​ </m:t>
          </m:r>
          <m:d>
            <m:dPr>
              <m:ctrlPr>
                <w:rPr>
                  <w:rFonts w:ascii="Cambria Math" w:eastAsia="Times New Roman" w:hAnsi="Cambria Math"/>
                  <w:i/>
                </w:rPr>
              </m:ctrlPr>
            </m:dPr>
            <m:e>
              <m:r>
                <w:rPr>
                  <w:rFonts w:ascii="Cambria Math" w:eastAsia="Times New Roman" w:hAnsi="Cambria Math"/>
                </w:rPr>
                <m:t>Dirac</m:t>
              </m:r>
            </m:e>
          </m:d>
          <m:r>
            <w:rPr>
              <w:rFonts w:ascii="Cambria Math" w:eastAsia="Times New Roman" w:hAnsi="Cambria Math"/>
            </w:rPr>
            <m:t>=0.526 V+3</m:t>
          </m:r>
          <m:r>
            <w:rPr>
              <w:rFonts w:ascii="Cambria Math" w:hAnsi="Cambria Math"/>
              <w:lang w:val="en"/>
            </w:rPr>
            <m:t>×</m:t>
          </m:r>
          <m:r>
            <w:rPr>
              <w:rFonts w:ascii="Cambria Math" w:eastAsia="Times New Roman" w:hAnsi="Cambria Math"/>
            </w:rPr>
            <m:t>0.001 V    (8)</m:t>
          </m:r>
        </m:oMath>
      </m:oMathPara>
    </w:p>
    <w:p w14:paraId="0AF10BC4" w14:textId="77777777" w:rsidR="00936B32" w:rsidRPr="001F04E9" w:rsidRDefault="00936B32" w:rsidP="00936B32"/>
    <w:p w14:paraId="5C5D0DB5" w14:textId="77777777" w:rsidR="00936B32" w:rsidRPr="001F04E9" w:rsidRDefault="00936B32" w:rsidP="00936B32">
      <m:oMathPara>
        <m:oMath>
          <m:sSub>
            <m:sSubPr>
              <m:ctrlPr>
                <w:rPr>
                  <w:rFonts w:ascii="Cambria Math" w:eastAsia="Times New Roman" w:hAnsi="Cambria Math"/>
                </w:rPr>
              </m:ctrlPr>
            </m:sSubPr>
            <m:e>
              <m:r>
                <w:rPr>
                  <w:rFonts w:eastAsia="Times New Roman"/>
                </w:rPr>
                <m:t>L</m:t>
              </m:r>
            </m:e>
            <m:sub>
              <m:r>
                <w:rPr>
                  <w:rFonts w:eastAsia="Times New Roman"/>
                </w:rPr>
                <m:t>d</m:t>
              </m:r>
            </m:sub>
          </m:sSub>
          <m:r>
            <w:rPr>
              <w:rFonts w:eastAsia="Times New Roman"/>
            </w:rPr>
            <m:t xml:space="preserve">​ </m:t>
          </m:r>
          <m:d>
            <m:dPr>
              <m:ctrlPr>
                <w:rPr>
                  <w:rFonts w:ascii="Cambria Math" w:eastAsia="Times New Roman" w:hAnsi="Cambria Math"/>
                  <w:i/>
                </w:rPr>
              </m:ctrlPr>
            </m:dPr>
            <m:e>
              <m:r>
                <w:rPr>
                  <w:rFonts w:eastAsia="Times New Roman"/>
                </w:rPr>
                <m:t>Dirac</m:t>
              </m:r>
            </m:e>
          </m:d>
          <m:r>
            <w:rPr>
              <w:rFonts w:eastAsia="Times New Roman"/>
            </w:rPr>
            <m:t>= 0.529 V</m:t>
          </m:r>
          <m:r>
            <w:rPr>
              <w:rFonts w:ascii="Cambria Math" w:eastAsia="Times New Roman"/>
            </w:rPr>
            <m:t xml:space="preserve">       (9)</m:t>
          </m:r>
        </m:oMath>
      </m:oMathPara>
    </w:p>
    <w:p w14:paraId="78E3B8BC" w14:textId="77777777" w:rsidR="00936B32" w:rsidRDefault="00936B32" w:rsidP="00936B32">
      <w:pPr>
        <w:pStyle w:val="BodyText"/>
      </w:pPr>
      <w:r>
        <w:t>Which means that any Dirac shift greater than ~3 mV above the baseline is statistically discriminable from the blank.</w:t>
      </w:r>
    </w:p>
    <w:p w14:paraId="5332F849" w14:textId="77777777" w:rsidR="00936B32" w:rsidRDefault="00936B32" w:rsidP="00936B32">
      <w:pPr>
        <w:pStyle w:val="BodyText"/>
        <w:ind w:firstLine="0pt"/>
      </w:pPr>
      <w:r>
        <w:t>Therefore, minimum detectable number of complexes (</w:t>
      </w:r>
      <w:proofErr w:type="spellStart"/>
      <w:r>
        <w:t>x</w:t>
      </w:r>
      <w:r w:rsidRPr="001F04E9">
        <w:rPr>
          <w:vertAlign w:val="subscript"/>
        </w:rPr>
        <w:t>L</w:t>
      </w:r>
      <w:r>
        <w:rPr>
          <w:vertAlign w:val="subscript"/>
        </w:rPr>
        <w:t>O</w:t>
      </w:r>
      <w:r w:rsidRPr="001F04E9">
        <w:rPr>
          <w:vertAlign w:val="subscript"/>
        </w:rPr>
        <w:t>D</w:t>
      </w:r>
      <w:proofErr w:type="spellEnd"/>
      <w:r>
        <w:t>):</w:t>
      </w:r>
    </w:p>
    <w:p w14:paraId="77E02931" w14:textId="27941A5E" w:rsidR="00936B32" w:rsidRDefault="00936B32" w:rsidP="0041470F">
      <m:oMathPara>
        <m:oMath>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LoD</m:t>
              </m:r>
            </m:sub>
          </m:sSub>
          <m:r>
            <w:rPr>
              <w:rFonts w:ascii="Cambria Math" w:eastAsia="Times New Roman" w:hAnsi="Cambria Math"/>
            </w:rPr>
            <m:t xml:space="preserve"> =</m:t>
          </m:r>
          <m:f>
            <m:fPr>
              <m:ctrlPr>
                <w:rPr>
                  <w:rFonts w:ascii="Cambria Math" w:eastAsia="Times New Roman" w:hAnsi="Cambria Math"/>
                </w:rPr>
              </m:ctrlPr>
            </m:fPr>
            <m:num>
              <m:r>
                <w:rPr>
                  <w:rFonts w:ascii="Cambria Math" w:eastAsia="Times New Roman" w:hAnsi="Cambria Math"/>
                </w:rPr>
                <m:t>3 mV</m:t>
              </m:r>
            </m:num>
            <m:den>
              <m:r>
                <w:rPr>
                  <w:rFonts w:ascii="Cambria Math" w:eastAsia="Times New Roman" w:hAnsi="Cambria Math"/>
                </w:rPr>
                <m:t>0.21 mV/complex</m:t>
              </m:r>
            </m:den>
          </m:f>
          <m:r>
            <w:rPr>
              <w:rFonts w:ascii="Cambria Math" w:eastAsia="Times New Roman" w:hAnsi="Cambria Math"/>
            </w:rPr>
            <m:t xml:space="preserve"> </m:t>
          </m:r>
          <m:r>
            <w:rPr>
              <w:rFonts w:ascii="Cambria Math" w:eastAsia="Times New Roman"/>
            </w:rPr>
            <m:t xml:space="preserve">      </m:t>
          </m:r>
          <m:r>
            <w:rPr>
              <w:rFonts w:ascii="Cambria Math" w:eastAsia="Times New Roman" w:hAnsi="Cambria Math"/>
            </w:rPr>
            <m:t>≈14 complexes</m:t>
          </m:r>
          <m:r>
            <w:rPr>
              <w:rFonts w:ascii="Cambria Math" w:eastAsia="Times New Roman"/>
            </w:rPr>
            <m:t xml:space="preserve">                 </m:t>
          </m:r>
          <m:r>
            <w:rPr>
              <w:rFonts w:ascii="Cambria Math" w:eastAsia="Times New Roman"/>
            </w:rPr>
            <m:t xml:space="preserve">         </m:t>
          </m:r>
          <m:r>
            <w:rPr>
              <w:rFonts w:ascii="Cambria Math" w:eastAsia="Times New Roman"/>
            </w:rPr>
            <m:t>(10)</m:t>
          </m:r>
          <m:r>
            <w:rPr>
              <w:rFonts w:ascii="Cambria Math" w:eastAsia="Times New Roman" w:hAnsi="Cambria Math"/>
            </w:rPr>
            <m:t xml:space="preserve"> </m:t>
          </m:r>
        </m:oMath>
      </m:oMathPara>
    </w:p>
    <w:p w14:paraId="6D99410C" w14:textId="77777777" w:rsidR="00936B32" w:rsidRDefault="00936B32" w:rsidP="0041470F">
      <w:pPr>
        <w:pStyle w:val="BodyText"/>
        <w:spacing w:before="12pt"/>
        <w:ind w:firstLine="0pt"/>
      </w:pPr>
      <w:r w:rsidRPr="001F04E9">
        <w:t>Converting complexes into concentration:</w:t>
      </w:r>
    </w:p>
    <w:p w14:paraId="50CB65B3" w14:textId="77C460A3" w:rsidR="00936B32" w:rsidRDefault="00936B32" w:rsidP="0041470F">
      <m:oMathPara>
        <m:oMath>
          <m:sSub>
            <m:sSubPr>
              <m:ctrlPr>
                <w:rPr>
                  <w:rFonts w:ascii="Cambria Math" w:eastAsia="Times New Roman" w:hAnsi="Cambria Math"/>
                </w:rPr>
              </m:ctrlPr>
            </m:sSubPr>
            <m:e>
              <m:r>
                <w:rPr>
                  <w:rFonts w:ascii="Cambria Math" w:eastAsia="Times New Roman" w:hAnsi="Cambria Math"/>
                </w:rPr>
                <m:t>C</m:t>
              </m:r>
            </m:e>
            <m:sub>
              <m:r>
                <w:rPr>
                  <w:rFonts w:ascii="Cambria Math" w:eastAsia="Times New Roman" w:hAnsi="Cambria Math"/>
                </w:rPr>
                <m:t>LoD</m:t>
              </m:r>
            </m:sub>
          </m:sSub>
          <m:r>
            <w:rPr>
              <w:rFonts w:ascii="Cambria Math" w:eastAsia="Times New Roman" w:hAnsi="Cambria Math"/>
            </w:rPr>
            <m:t xml:space="preserve"> = </m:t>
          </m:r>
          <m:f>
            <m:fPr>
              <m:ctrlPr>
                <w:rPr>
                  <w:rFonts w:ascii="Cambria Math" w:eastAsia="Times New Roman" w:hAnsi="Cambria Math"/>
                </w:rPr>
              </m:ctrlPr>
            </m:fPr>
            <m:num>
              <m:r>
                <w:rPr>
                  <w:rFonts w:ascii="Cambria Math" w:eastAsia="Times New Roman" w:hAnsi="Cambria Math"/>
                </w:rPr>
                <m:t>14</m:t>
              </m:r>
            </m:num>
            <m:den>
              <m:r>
                <w:rPr>
                  <w:rFonts w:ascii="Cambria Math" w:eastAsia="Times New Roman" w:hAnsi="Cambria Math"/>
                </w:rPr>
                <m:t>300</m:t>
              </m:r>
            </m:den>
          </m:f>
          <m:r>
            <w:rPr>
              <w:rFonts w:ascii="Cambria Math" w:hAnsi="Cambria Math"/>
              <w:lang w:val="en"/>
            </w:rPr>
            <m:t>×</m:t>
          </m:r>
          <m:r>
            <w:rPr>
              <w:rFonts w:ascii="Cambria Math" w:eastAsia="Times New Roman" w:hAnsi="Cambria Math"/>
            </w:rPr>
            <m:t xml:space="preserve"> 4.66</m:t>
          </m:r>
          <m:f>
            <m:fPr>
              <m:ctrlPr>
                <w:rPr>
                  <w:rFonts w:ascii="Cambria Math" w:eastAsia="Times New Roman" w:hAnsi="Cambria Math"/>
                  <w:i/>
                </w:rPr>
              </m:ctrlPr>
            </m:fPr>
            <m:num>
              <m:r>
                <w:rPr>
                  <w:rFonts w:ascii="Cambria Math" w:eastAsia="Times New Roman" w:hAnsi="Cambria Math"/>
                </w:rPr>
                <m:t>ng</m:t>
              </m:r>
            </m:num>
            <m:den>
              <m:r>
                <w:rPr>
                  <w:rFonts w:ascii="Cambria Math" w:eastAsia="Times New Roman" w:hAnsi="Cambria Math"/>
                </w:rPr>
                <m:t>mL</m:t>
              </m:r>
            </m:den>
          </m:f>
          <m:r>
            <w:rPr>
              <w:rFonts w:ascii="Cambria Math" w:eastAsia="Times New Roman" w:hAnsi="Cambria Math"/>
            </w:rPr>
            <m:t>≈ 0.22</m:t>
          </m:r>
          <m:f>
            <m:fPr>
              <m:ctrlPr>
                <w:rPr>
                  <w:rFonts w:ascii="Cambria Math" w:eastAsia="Times New Roman" w:hAnsi="Cambria Math"/>
                  <w:i/>
                </w:rPr>
              </m:ctrlPr>
            </m:fPr>
            <m:num>
              <m:r>
                <w:rPr>
                  <w:rFonts w:ascii="Cambria Math" w:eastAsia="Times New Roman" w:hAnsi="Cambria Math"/>
                </w:rPr>
                <m:t>ng</m:t>
              </m:r>
            </m:num>
            <m:den>
              <m:r>
                <w:rPr>
                  <w:rFonts w:ascii="Cambria Math" w:eastAsia="Times New Roman" w:hAnsi="Cambria Math"/>
                </w:rPr>
                <m:t>mL</m:t>
              </m:r>
            </m:den>
          </m:f>
          <m:r>
            <w:rPr>
              <w:rFonts w:ascii="Cambria Math" w:eastAsia="Times New Roman" w:hAnsi="Cambria Math"/>
            </w:rPr>
            <m:t xml:space="preserve">      </m:t>
          </m:r>
          <m:r>
            <w:rPr>
              <w:rFonts w:ascii="Cambria Math" w:eastAsia="Times New Roman" w:hAnsi="Cambria Math"/>
            </w:rPr>
            <m:t xml:space="preserve">      </m:t>
          </m:r>
          <m:d>
            <m:dPr>
              <m:ctrlPr>
                <w:rPr>
                  <w:rFonts w:ascii="Cambria Math" w:eastAsia="Times New Roman" w:hAnsi="Cambria Math"/>
                  <w:i/>
                </w:rPr>
              </m:ctrlPr>
            </m:dPr>
            <m:e>
              <m:r>
                <w:rPr>
                  <w:rFonts w:ascii="Cambria Math" w:eastAsia="Times New Roman" w:hAnsi="Cambria Math"/>
                </w:rPr>
                <m:t>11</m:t>
              </m:r>
            </m:e>
          </m:d>
        </m:oMath>
      </m:oMathPara>
    </w:p>
    <w:p w14:paraId="26096955" w14:textId="77777777" w:rsidR="00936B32" w:rsidRDefault="00936B32" w:rsidP="0041470F">
      <w:pPr>
        <w:pStyle w:val="BodyText"/>
        <w:spacing w:before="12pt"/>
        <w:ind w:firstLine="0pt"/>
      </w:pPr>
      <w:r>
        <w:tab/>
        <w:t>Using e</w:t>
      </w:r>
      <w:r w:rsidRPr="00786B36">
        <w:t xml:space="preserve">quations (7–11), the LOD is ~0.22 ng/mL, equivalent to </w:t>
      </w:r>
      <w:r>
        <w:t xml:space="preserve"> </w:t>
      </w:r>
      <w:r w:rsidRPr="00786B36">
        <w:t>~14 Ab–Ag complexes. At this concentration, the simulated ΔV</w:t>
      </w:r>
      <w:r w:rsidRPr="00786B36">
        <w:rPr>
          <w:vertAlign w:val="subscript"/>
        </w:rPr>
        <w:t>Dirac</w:t>
      </w:r>
      <w:r w:rsidRPr="00786B36">
        <w:t xml:space="preserve"> is ~3 mV above baseline, which is resolvable within the simulation framework.</w:t>
      </w:r>
    </w:p>
    <w:p w14:paraId="521AAB88" w14:textId="77777777" w:rsidR="00936B32" w:rsidRDefault="00936B32" w:rsidP="00936B32">
      <w:pPr>
        <w:pStyle w:val="BodyText"/>
        <w:ind w:firstLine="0pt"/>
      </w:pPr>
      <w:r>
        <w:t>Converting LOD to M(mol/L):</w:t>
      </w:r>
    </w:p>
    <w:p w14:paraId="56A11C8E" w14:textId="09EB7889" w:rsidR="00936B32" w:rsidRDefault="00936B32" w:rsidP="0041470F">
      <m:oMathPara>
        <m:oMath>
          <m:r>
            <w:rPr>
              <w:rFonts w:ascii="Cambria Math" w:eastAsia="Times New Roman" w:hAnsi="Cambria Math"/>
            </w:rPr>
            <m:t xml:space="preserve">LOD =  </m:t>
          </m:r>
          <m:d>
            <m:dPr>
              <m:ctrlPr>
                <w:rPr>
                  <w:rFonts w:ascii="Cambria Math" w:eastAsia="Times New Roman" w:hAnsi="Cambria Math"/>
                  <w:i/>
                </w:rPr>
              </m:ctrlPr>
            </m:dPr>
            <m:e>
              <m:r>
                <w:rPr>
                  <w:rFonts w:ascii="Cambria Math" w:eastAsia="Times New Roman" w:hAnsi="Cambria Math"/>
                </w:rPr>
                <m:t>0.22</m:t>
              </m:r>
              <m:r>
                <w:rPr>
                  <w:rFonts w:ascii="Cambria Math" w:hAnsi="Cambria Math"/>
                  <w:lang w:val="en"/>
                </w:rPr>
                <m:t>×</m:t>
              </m:r>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-6</m:t>
                  </m:r>
                </m:sup>
              </m:sSup>
              <m:r>
                <w:rPr>
                  <w:rFonts w:ascii="Cambria Math" w:hAnsi="Cambria Math"/>
                  <w:lang w:val="en"/>
                </w:rPr>
                <m:t xml:space="preserve"> </m:t>
              </m:r>
              <m:f>
                <m:fPr>
                  <m:ctrlPr>
                    <w:rPr>
                      <w:rFonts w:ascii="Cambria Math" w:eastAsia="Times New Roman" w:hAnsi="Cambria Math"/>
                      <w:i/>
                    </w:rPr>
                  </m:ctrlPr>
                </m:fPr>
                <m:num>
                  <m:r>
                    <w:rPr>
                      <w:rFonts w:ascii="Cambria Math" w:eastAsia="Times New Roman" w:hAnsi="Cambria Math"/>
                    </w:rPr>
                    <m:t>g</m:t>
                  </m:r>
                </m:num>
                <m:den>
                  <m:r>
                    <w:rPr>
                      <w:rFonts w:ascii="Cambria Math" w:eastAsia="Times New Roman" w:hAnsi="Cambria Math"/>
                    </w:rPr>
                    <m:t>L</m:t>
                  </m:r>
                </m:den>
              </m:f>
            </m:e>
          </m:d>
          <m:r>
            <w:rPr>
              <w:rFonts w:ascii="Cambria Math" w:eastAsia="Times New Roman" w:hAnsi="Cambria Math"/>
            </w:rPr>
            <m:t>÷14,000</m:t>
          </m:r>
          <m:f>
            <m:fPr>
              <m:ctrlPr>
                <w:rPr>
                  <w:rFonts w:ascii="Cambria Math" w:eastAsia="Times New Roman" w:hAnsi="Cambria Math"/>
                  <w:i/>
                </w:rPr>
              </m:ctrlPr>
            </m:fPr>
            <m:num>
              <m:r>
                <w:rPr>
                  <w:rFonts w:ascii="Cambria Math" w:eastAsia="Times New Roman" w:hAnsi="Cambria Math"/>
                </w:rPr>
                <m:t>g</m:t>
              </m:r>
            </m:num>
            <m:den>
              <m:r>
                <w:rPr>
                  <w:rFonts w:ascii="Cambria Math" w:eastAsia="Times New Roman" w:hAnsi="Cambria Math"/>
                </w:rPr>
                <m:t>mol</m:t>
              </m:r>
            </m:den>
          </m:f>
          <m:r>
            <w:rPr>
              <w:rFonts w:ascii="Cambria Math" w:eastAsia="Times New Roman" w:hAnsi="Cambria Math"/>
            </w:rPr>
            <m:t xml:space="preserve">   =  15.71 pM </m:t>
          </m:r>
          <m:r>
            <w:rPr>
              <w:rFonts w:ascii="Cambria Math" w:eastAsia="Times New Roman" w:hAnsi="Cambria Math"/>
            </w:rPr>
            <m:t xml:space="preserve">                    </m:t>
          </m:r>
          <m:d>
            <m:dPr>
              <m:ctrlPr>
                <w:rPr>
                  <w:rFonts w:ascii="Cambria Math" w:eastAsia="Times New Roman" w:hAnsi="Cambria Math"/>
                  <w:i/>
                </w:rPr>
              </m:ctrlPr>
            </m:dPr>
            <m:e>
              <m:r>
                <w:rPr>
                  <w:rFonts w:ascii="Cambria Math" w:eastAsia="Times New Roman" w:hAnsi="Cambria Math"/>
                </w:rPr>
                <m:t>12</m:t>
              </m:r>
            </m:e>
          </m:d>
        </m:oMath>
      </m:oMathPara>
    </w:p>
    <w:p w14:paraId="126656DE" w14:textId="338A2B05" w:rsidR="00F23812" w:rsidRDefault="00351BFD" w:rsidP="0041470F">
      <w:pPr>
        <w:pStyle w:val="BodyText"/>
        <w:spacing w:before="12pt"/>
        <w:ind w:firstLine="0pt"/>
      </w:pPr>
      <w:r>
        <w:tab/>
      </w:r>
      <w:r>
        <w:rPr>
          <w:rFonts w:hint="eastAsia"/>
        </w:rPr>
        <w:t>In practice, however, the experimental LOD may be higher due to low-frequency flicker noise (~2</w:t>
      </w:r>
      <w:r>
        <w:rPr>
          <w:rFonts w:hint="eastAsia"/>
        </w:rPr>
        <w:t>–</w:t>
      </w:r>
      <w:r>
        <w:rPr>
          <w:rFonts w:hint="eastAsia"/>
        </w:rPr>
        <w:t>5 mV RMS in similar GFETs). Since the simulated threshold (</w:t>
      </w:r>
      <w:r>
        <w:rPr>
          <w:rFonts w:hint="eastAsia"/>
        </w:rPr>
        <w:t>≈</w:t>
      </w:r>
      <w:r>
        <w:rPr>
          <w:rFonts w:hint="eastAsia"/>
        </w:rPr>
        <w:t>3 mV) lies close to this noise floor, the reported LOD should be considered an optimistic lower boun</w:t>
      </w:r>
      <w:r>
        <w:t>d, with real devices expected to exhibit slightly reduced detectability.</w:t>
      </w:r>
    </w:p>
    <w:p w14:paraId="4DD9F647" w14:textId="0A5AEA92" w:rsidR="00D35778" w:rsidRPr="009E2526" w:rsidRDefault="00AB7B9B" w:rsidP="00351BFD">
      <w:pPr>
        <w:pStyle w:val="BodyText"/>
        <w:numPr>
          <w:ilvl w:val="0"/>
          <w:numId w:val="38"/>
        </w:numPr>
        <w:rPr>
          <w:bCs/>
        </w:rPr>
      </w:pPr>
      <w:r w:rsidRPr="00D35778">
        <w:rPr>
          <w:bCs/>
          <w:lang w:val="en"/>
        </w:rPr>
        <w:t>Linearity:</w:t>
      </w:r>
      <w:r w:rsidR="007538D2">
        <w:t xml:space="preserve"> </w:t>
      </w:r>
    </w:p>
    <w:p w14:paraId="3DC9DD6E" w14:textId="01788E01" w:rsidR="00D35778" w:rsidRPr="00AB7B9B" w:rsidRDefault="002F494D" w:rsidP="00D35778">
      <w:pPr>
        <w:pStyle w:val="BodyText"/>
        <w:ind w:firstLine="0pt"/>
        <w:rPr>
          <w:bCs/>
        </w:rPr>
      </w:pPr>
      <w:r>
        <w:rPr>
          <w:bCs/>
        </w:rPr>
        <w:tab/>
        <w:t>T</w:t>
      </w:r>
      <w:r w:rsidRPr="002F494D">
        <w:rPr>
          <w:bCs/>
        </w:rPr>
        <w:t>he ΔV</w:t>
      </w:r>
      <w:r w:rsidRPr="002F494D">
        <w:rPr>
          <w:bCs/>
          <w:vertAlign w:val="subscript"/>
        </w:rPr>
        <w:t>Dirac</w:t>
      </w:r>
      <w:r w:rsidRPr="002F494D">
        <w:rPr>
          <w:bCs/>
        </w:rPr>
        <w:t xml:space="preserve"> response shows nearly perfect proportionality to antigen concentration (R² = 0.9987) under 0.001× PBS, making quantitative calibration feasible. This high linearity is a modeled outcome; in real devices, deviations may occur due to receptor saturation, nonuniform coverage, or background drift.</w:t>
      </w:r>
    </w:p>
    <w:p w14:paraId="0440A46C" w14:textId="77777777" w:rsidR="00D35778" w:rsidRDefault="00D35778" w:rsidP="00D35778">
      <w:pPr>
        <w:pStyle w:val="BodyText"/>
        <w:numPr>
          <w:ilvl w:val="0"/>
          <w:numId w:val="38"/>
        </w:numPr>
        <w:rPr>
          <w:bCs/>
        </w:rPr>
      </w:pPr>
      <w:r w:rsidRPr="00AB7B9B">
        <w:rPr>
          <w:bCs/>
        </w:rPr>
        <w:t>Response Time</w:t>
      </w:r>
      <w:r>
        <w:rPr>
          <w:bCs/>
        </w:rPr>
        <w:t>:</w:t>
      </w:r>
    </w:p>
    <w:p w14:paraId="3EF08672" w14:textId="7814632A" w:rsidR="00D35778" w:rsidRDefault="00111C7E" w:rsidP="00111C7E">
      <w:pPr>
        <w:pStyle w:val="BodyText"/>
        <w:ind w:firstLine="0pt"/>
        <w:rPr>
          <w:bCs/>
        </w:rPr>
      </w:pPr>
      <w:r>
        <w:rPr>
          <w:bCs/>
        </w:rPr>
        <w:tab/>
      </w:r>
      <w:bookmarkStart w:id="5" w:name="_Hlk209381402"/>
      <w:r w:rsidR="00C45E4D" w:rsidRPr="00C45E4D">
        <w:rPr>
          <w:bCs/>
        </w:rPr>
        <w:t>Dynamic binding kinetics were not explicitly simulated. However, based on drift–diffusion timescales and reported antibody–antigen association rates, the estimated sensor response time is in the range of 5–10 s, consistent with experimental observations in GFET biosensors [18]. This represents an inferred value rather than a directly modeled parameter.</w:t>
      </w:r>
      <w:bookmarkEnd w:id="5"/>
    </w:p>
    <w:p w14:paraId="112D816C" w14:textId="71518DF3" w:rsidR="008F5466" w:rsidRDefault="00111C7E" w:rsidP="008F5466">
      <w:pPr>
        <w:pStyle w:val="BodyText"/>
        <w:numPr>
          <w:ilvl w:val="0"/>
          <w:numId w:val="38"/>
        </w:numPr>
        <w:rPr>
          <w:bCs/>
        </w:rPr>
      </w:pPr>
      <w:r w:rsidRPr="00111C7E">
        <w:rPr>
          <w:bCs/>
        </w:rPr>
        <w:t>Noise Analysis and Practical Detectability</w:t>
      </w:r>
      <w:r w:rsidR="008F5466">
        <w:rPr>
          <w:bCs/>
        </w:rPr>
        <w:t>:</w:t>
      </w:r>
    </w:p>
    <w:p w14:paraId="13D091CA" w14:textId="028DF86C" w:rsidR="00CC7669" w:rsidRPr="001E718B" w:rsidRDefault="00CC7669" w:rsidP="001E718B">
      <w:pPr>
        <w:pStyle w:val="BodyText"/>
        <w:rPr>
          <w:bCs/>
        </w:rPr>
      </w:pPr>
      <w:r w:rsidRPr="00CC7669">
        <w:rPr>
          <w:bCs/>
        </w:rPr>
        <w:t>Noise was not included in the TCAD framework, but literature suggests two primary contributions:</w:t>
      </w:r>
    </w:p>
    <w:p w14:paraId="2039ABBE" w14:textId="5DA0427D" w:rsidR="001E718B" w:rsidRDefault="00CC7669" w:rsidP="001E718B">
      <w:pPr>
        <w:pStyle w:val="BodyText"/>
        <w:numPr>
          <w:ilvl w:val="0"/>
          <w:numId w:val="39"/>
        </w:numPr>
        <w:rPr>
          <w:bCs/>
        </w:rPr>
      </w:pPr>
      <w:r w:rsidRPr="00CC7669">
        <w:rPr>
          <w:bCs/>
        </w:rPr>
        <w:t>Thermal noise: &lt;0.1 mV RMS in 1 Hz bandwidth, negligible compared to signal.</w:t>
      </w:r>
      <w:r w:rsidR="00A17C5F">
        <w:rPr>
          <w:bCs/>
        </w:rPr>
        <w:t>[21]</w:t>
      </w:r>
    </w:p>
    <w:p w14:paraId="64E915C6" w14:textId="318F1465" w:rsidR="00CC7669" w:rsidRPr="00D02989" w:rsidRDefault="00CC7669" w:rsidP="00D02989">
      <w:pPr>
        <w:pStyle w:val="BodyText"/>
        <w:numPr>
          <w:ilvl w:val="0"/>
          <w:numId w:val="39"/>
        </w:numPr>
        <w:rPr>
          <w:bCs/>
        </w:rPr>
      </w:pPr>
      <w:r w:rsidRPr="001E718B">
        <w:rPr>
          <w:bCs/>
        </w:rPr>
        <w:t>Low-frequency flicker noise (1/f): typically 2–5 mV RMS for GFETs of similar area, dominating the noise spectrum.</w:t>
      </w:r>
    </w:p>
    <w:p w14:paraId="12F0E093" w14:textId="636557B0" w:rsidR="00797AEB" w:rsidRDefault="00D02989" w:rsidP="00D35778">
      <w:pPr>
        <w:pStyle w:val="BodyText"/>
        <w:ind w:firstLine="0pt"/>
        <w:rPr>
          <w:bCs/>
        </w:rPr>
      </w:pPr>
      <w:r>
        <w:rPr>
          <w:bCs/>
        </w:rPr>
        <w:tab/>
      </w:r>
      <w:r w:rsidR="002E4DE9" w:rsidRPr="002E4DE9">
        <w:rPr>
          <w:bCs/>
        </w:rPr>
        <w:t>To contextualize detectability, it is important to compare the simulated signal magnitude against realistic device noise. In graphene FETs of comparable dimensions, low-frequency flicker noise typically ranges between 2–5 mV RMS [21], which is of the same order as the modeled Dirac voltage shift at the LOD (~3 mV). This proximity implies that practical detection will require noise-reduction strategies such as lock-in amplification, baseline stabilization, or differential referencing. Accordingly, the simulated LOD of ~0.22 ng/mL should be interpreted as an optimistic lower bound, with experimental devices expected to exhibit slightly reduced sensitivity due to noise floor limitations.</w:t>
      </w:r>
    </w:p>
    <w:p w14:paraId="6C911E66" w14:textId="75058280" w:rsidR="00721BA9" w:rsidRDefault="00721BA9" w:rsidP="00721BA9">
      <w:pPr>
        <w:pStyle w:val="Heading2"/>
      </w:pPr>
      <w:r w:rsidRPr="00721BA9">
        <w:t>Comparison with Experimental Malaria Biosensing Benchmarks</w:t>
      </w:r>
    </w:p>
    <w:p w14:paraId="61199B6C" w14:textId="3D7027F8" w:rsidR="00E94A21" w:rsidRDefault="007819AC" w:rsidP="00E448C2">
      <w:pPr>
        <w:spacing w:after="12pt"/>
        <w:ind w:firstLine="14.40pt"/>
        <w:jc w:val="both"/>
        <w:rPr>
          <w:bCs/>
        </w:rPr>
      </w:pPr>
      <w:r w:rsidRPr="007819AC">
        <w:rPr>
          <w:bCs/>
        </w:rPr>
        <w:t xml:space="preserve">Although our simulations align qualitatively with published GFET transfer curves, direct comparison with malaria biosensing is limited. Clinically, plasma PfHRP-2 levels in malaria patients can reach hundreds of ng/mL (mean ~840 ng/mL) in symptomatic cases </w:t>
      </w:r>
      <w:r w:rsidR="0042240F">
        <w:rPr>
          <w:bCs/>
        </w:rPr>
        <w:t>[23]</w:t>
      </w:r>
      <w:r w:rsidRPr="007819AC">
        <w:rPr>
          <w:bCs/>
        </w:rPr>
        <w:t xml:space="preserve">. In malaria immunosensors, a sandwich immunoassay format achieved an LOD of 2.14 ng/mL in buffer and ~36 </w:t>
      </w:r>
      <w:proofErr w:type="spellStart"/>
      <w:r w:rsidRPr="007819AC">
        <w:rPr>
          <w:bCs/>
        </w:rPr>
        <w:t>pg</w:t>
      </w:r>
      <w:proofErr w:type="spellEnd"/>
      <w:r w:rsidRPr="007819AC">
        <w:rPr>
          <w:bCs/>
        </w:rPr>
        <w:t>/mL after signal amplification</w:t>
      </w:r>
      <w:r w:rsidR="0030430C">
        <w:rPr>
          <w:bCs/>
        </w:rPr>
        <w:t xml:space="preserve"> [24]. </w:t>
      </w:r>
      <w:r w:rsidR="00E94A21" w:rsidRPr="007819AC">
        <w:rPr>
          <w:bCs/>
        </w:rPr>
        <w:t>Meanwhile, an ultra-sensitive plasmonic biosensor has reported detectio</w:t>
      </w:r>
      <w:r w:rsidR="00E94A21" w:rsidRPr="007819AC">
        <w:rPr>
          <w:rFonts w:hint="eastAsia"/>
          <w:bCs/>
        </w:rPr>
        <w:t xml:space="preserve">n limits below 1 </w:t>
      </w:r>
      <w:proofErr w:type="spellStart"/>
      <w:r w:rsidR="00E94A21" w:rsidRPr="007819AC">
        <w:rPr>
          <w:rFonts w:hint="eastAsia"/>
          <w:bCs/>
        </w:rPr>
        <w:t>pg</w:t>
      </w:r>
      <w:proofErr w:type="spellEnd"/>
      <w:r w:rsidR="00E94A21" w:rsidRPr="007819AC">
        <w:rPr>
          <w:rFonts w:hint="eastAsia"/>
          <w:bCs/>
        </w:rPr>
        <w:t xml:space="preserve">/mL (i.e., &lt;30 </w:t>
      </w:r>
      <w:proofErr w:type="spellStart"/>
      <w:r w:rsidR="00E94A21" w:rsidRPr="007819AC">
        <w:rPr>
          <w:rFonts w:hint="eastAsia"/>
          <w:bCs/>
        </w:rPr>
        <w:t>fM</w:t>
      </w:r>
      <w:proofErr w:type="spellEnd"/>
      <w:r w:rsidR="00E94A21" w:rsidRPr="007819AC">
        <w:rPr>
          <w:rFonts w:hint="eastAsia"/>
          <w:bCs/>
        </w:rPr>
        <w:t xml:space="preserve">) for PfHRP-2 </w:t>
      </w:r>
      <w:r w:rsidR="00E94A21">
        <w:rPr>
          <w:bCs/>
        </w:rPr>
        <w:t>[25]</w:t>
      </w:r>
      <w:r w:rsidR="00E94A21" w:rsidRPr="007819AC">
        <w:rPr>
          <w:rFonts w:hint="eastAsia"/>
          <w:bCs/>
        </w:rPr>
        <w:t>.</w:t>
      </w:r>
    </w:p>
    <w:p w14:paraId="6508B3CF" w14:textId="73090E11" w:rsidR="00E448C2" w:rsidRDefault="00E448C2" w:rsidP="0041470F">
      <w:pPr>
        <w:pStyle w:val="BodyText"/>
        <w:rPr>
          <w:bCs/>
        </w:rPr>
      </w:pPr>
      <w:r w:rsidRPr="007819AC">
        <w:rPr>
          <w:rFonts w:hint="eastAsia"/>
          <w:bCs/>
        </w:rPr>
        <w:t>Our simulated LOD of 0.22 ng/mL is competitive with many point-of-care assays but remains above the most sensitive lab</w:t>
      </w:r>
      <w:r w:rsidRPr="007819AC">
        <w:rPr>
          <w:rFonts w:hint="eastAsia"/>
          <w:bCs/>
        </w:rPr>
        <w:t>‐</w:t>
      </w:r>
      <w:r w:rsidRPr="007819AC">
        <w:rPr>
          <w:rFonts w:hint="eastAsia"/>
          <w:bCs/>
        </w:rPr>
        <w:t>scale methods; moreover, given the modeling simplifications, our v</w:t>
      </w:r>
      <w:r w:rsidRPr="007819AC">
        <w:rPr>
          <w:bCs/>
        </w:rPr>
        <w:t>alue should be viewed as a lower bound.</w:t>
      </w:r>
    </w:p>
    <w:p w14:paraId="522BFC47" w14:textId="56AE542B" w:rsidR="0041470F" w:rsidRPr="0041470F" w:rsidRDefault="0041470F" w:rsidP="0041470F">
      <w:pPr>
        <w:ind w:firstLine="14.40pt"/>
        <w:jc w:val="both"/>
      </w:pPr>
      <w:r w:rsidRPr="001861C8">
        <w:t>In addition to conventional benchmarks, recent advances in GFET biosensors further emphasize the translational relevance of this work. For instance, a modular microfluidic GFET platform combined with CRISPR/Cas12a was demonstrated to achieve amplification-free nucleic acid detection down to the femtomolar range with only a simplified three-step fabrication workflow [</w:t>
      </w:r>
      <w:r>
        <w:t>26</w:t>
      </w:r>
      <w:r w:rsidRPr="001861C8">
        <w:t xml:space="preserve">]. Similarly, an on-chip integrated graphene </w:t>
      </w:r>
      <w:proofErr w:type="spellStart"/>
      <w:r w:rsidRPr="001861C8">
        <w:t>apta</w:t>
      </w:r>
      <w:proofErr w:type="spellEnd"/>
      <w:r>
        <w:t>-</w:t>
      </w:r>
      <w:r w:rsidRPr="001861C8">
        <w:t>sensor</w:t>
      </w:r>
      <w:r>
        <w:t xml:space="preserve"> (biosensor using aptamers)</w:t>
      </w:r>
      <w:r w:rsidRPr="001861C8">
        <w:t xml:space="preserve"> with portable readout achieved sub-picomolar protein detection, highlighting the potential for rapid, label-free diagnostics in real samples [</w:t>
      </w:r>
      <w:r>
        <w:t>27</w:t>
      </w:r>
      <w:r w:rsidRPr="001861C8">
        <w:t>].</w:t>
      </w:r>
    </w:p>
    <w:p w14:paraId="649B2F1C" w14:textId="77777777" w:rsidR="00E94A21" w:rsidRPr="00797AEB" w:rsidRDefault="00E94A21" w:rsidP="00E448C2">
      <w:pPr>
        <w:pStyle w:val="tablehead"/>
      </w:pPr>
      <w:r w:rsidRPr="00797AEB">
        <w:t>Comparison of malaria detection methods</w:t>
      </w:r>
    </w:p>
    <w:tbl>
      <w:tblPr>
        <w:tblStyle w:val="TableGrid"/>
        <w:tblW w:w="242.80pt" w:type="dxa"/>
        <w:tblLook w:firstRow="0" w:lastRow="0" w:firstColumn="0" w:lastColumn="0" w:noHBand="0" w:noVBand="0"/>
      </w:tblPr>
      <w:tblGrid>
        <w:gridCol w:w="981"/>
        <w:gridCol w:w="1290"/>
        <w:gridCol w:w="1266"/>
        <w:gridCol w:w="1319"/>
      </w:tblGrid>
      <w:tr w:rsidR="00E94A21" w14:paraId="7386DA1F" w14:textId="77777777" w:rsidTr="0041470F">
        <w:trPr>
          <w:trHeight w:val="144"/>
        </w:trPr>
        <w:tc>
          <w:tcPr>
            <w:tcW w:w="49.05pt" w:type="dxa"/>
            <w:vAlign w:val="center"/>
          </w:tcPr>
          <w:p w14:paraId="306B3078" w14:textId="77777777" w:rsidR="00E94A21" w:rsidRPr="00797AEB" w:rsidRDefault="00E94A21" w:rsidP="00984CF8">
            <w:pPr>
              <w:widowControl w:val="0"/>
              <w:rPr>
                <w:rFonts w:eastAsia="Times New Roman"/>
                <w:b/>
                <w:bCs/>
                <w:color w:val="000000" w:themeColor="text1"/>
                <w:sz w:val="16"/>
                <w:szCs w:val="16"/>
              </w:rPr>
            </w:pPr>
            <w:r w:rsidRPr="00797AEB">
              <w:rPr>
                <w:b/>
                <w:bCs/>
                <w:sz w:val="16"/>
                <w:szCs w:val="16"/>
              </w:rPr>
              <w:t>Method</w:t>
            </w:r>
          </w:p>
        </w:tc>
        <w:tc>
          <w:tcPr>
            <w:tcW w:w="64.50pt" w:type="dxa"/>
            <w:vAlign w:val="center"/>
          </w:tcPr>
          <w:p w14:paraId="1B2F49A2" w14:textId="77777777" w:rsidR="00E94A21" w:rsidRPr="00797AEB" w:rsidRDefault="00E94A21" w:rsidP="00984CF8">
            <w:pPr>
              <w:widowControl w:val="0"/>
              <w:rPr>
                <w:rFonts w:eastAsia="Times New Roman"/>
                <w:b/>
                <w:bCs/>
                <w:color w:val="000000" w:themeColor="text1"/>
                <w:sz w:val="16"/>
                <w:szCs w:val="16"/>
              </w:rPr>
            </w:pPr>
            <w:r w:rsidRPr="00797AEB">
              <w:rPr>
                <w:b/>
                <w:bCs/>
                <w:sz w:val="16"/>
                <w:szCs w:val="16"/>
              </w:rPr>
              <w:t>Sensitivity (LOD)</w:t>
            </w:r>
          </w:p>
        </w:tc>
        <w:tc>
          <w:tcPr>
            <w:tcW w:w="63.30pt" w:type="dxa"/>
            <w:vAlign w:val="center"/>
          </w:tcPr>
          <w:p w14:paraId="00287DC2" w14:textId="77777777" w:rsidR="00E94A21" w:rsidRPr="00797AEB" w:rsidRDefault="00E94A21" w:rsidP="00984CF8">
            <w:pPr>
              <w:widowControl w:val="0"/>
              <w:rPr>
                <w:rFonts w:eastAsia="Times New Roman"/>
                <w:b/>
                <w:bCs/>
                <w:color w:val="000000" w:themeColor="text1"/>
                <w:sz w:val="16"/>
                <w:szCs w:val="16"/>
              </w:rPr>
            </w:pPr>
            <w:r w:rsidRPr="00797AEB">
              <w:rPr>
                <w:b/>
                <w:bCs/>
                <w:sz w:val="16"/>
                <w:szCs w:val="16"/>
              </w:rPr>
              <w:t>Advantages</w:t>
            </w:r>
          </w:p>
        </w:tc>
        <w:tc>
          <w:tcPr>
            <w:tcW w:w="65.95pt" w:type="dxa"/>
            <w:vAlign w:val="center"/>
          </w:tcPr>
          <w:p w14:paraId="2C6D2DE8" w14:textId="77777777" w:rsidR="00E94A21" w:rsidRPr="00797AEB" w:rsidRDefault="00E94A21" w:rsidP="00984CF8">
            <w:pPr>
              <w:widowControl w:val="0"/>
              <w:rPr>
                <w:rFonts w:eastAsia="Times New Roman"/>
                <w:b/>
                <w:bCs/>
                <w:color w:val="000000" w:themeColor="text1"/>
                <w:sz w:val="16"/>
                <w:szCs w:val="16"/>
                <w:lang w:val="en"/>
              </w:rPr>
            </w:pPr>
            <w:r w:rsidRPr="00797AEB">
              <w:rPr>
                <w:b/>
                <w:bCs/>
                <w:sz w:val="16"/>
                <w:szCs w:val="16"/>
              </w:rPr>
              <w:t>Limitations</w:t>
            </w:r>
          </w:p>
        </w:tc>
      </w:tr>
      <w:tr w:rsidR="00E94A21" w14:paraId="4E37F2B4" w14:textId="77777777" w:rsidTr="0041470F">
        <w:trPr>
          <w:trHeight w:val="144"/>
        </w:trPr>
        <w:tc>
          <w:tcPr>
            <w:tcW w:w="49.05pt" w:type="dxa"/>
            <w:vAlign w:val="center"/>
          </w:tcPr>
          <w:p w14:paraId="176AD25F" w14:textId="77777777" w:rsidR="00E94A21" w:rsidRPr="00797AEB" w:rsidRDefault="00E94A21" w:rsidP="00984CF8">
            <w:pPr>
              <w:widowControl w:val="0"/>
              <w:rPr>
                <w:rFonts w:eastAsia="Times New Roman"/>
                <w:color w:val="000000" w:themeColor="text1"/>
                <w:sz w:val="16"/>
                <w:szCs w:val="16"/>
              </w:rPr>
            </w:pPr>
            <w:r w:rsidRPr="00797AEB">
              <w:rPr>
                <w:sz w:val="16"/>
                <w:szCs w:val="16"/>
              </w:rPr>
              <w:t>Microscopy</w:t>
            </w:r>
          </w:p>
        </w:tc>
        <w:tc>
          <w:tcPr>
            <w:tcW w:w="64.50pt" w:type="dxa"/>
            <w:vAlign w:val="center"/>
          </w:tcPr>
          <w:p w14:paraId="78154AC5" w14:textId="4CB2293B" w:rsidR="00E94A21" w:rsidRPr="00797AEB" w:rsidRDefault="00E94A21" w:rsidP="00984CF8">
            <w:pPr>
              <w:widowControl w:val="0"/>
              <w:rPr>
                <w:rFonts w:eastAsia="Times New Roman"/>
                <w:color w:val="000000" w:themeColor="text1"/>
                <w:sz w:val="16"/>
                <w:szCs w:val="16"/>
              </w:rPr>
            </w:pPr>
            <w:r>
              <w:rPr>
                <w:sz w:val="16"/>
                <w:szCs w:val="16"/>
              </w:rPr>
              <w:t>&gt;=</w:t>
            </w:r>
            <w:r w:rsidRPr="00797AEB">
              <w:rPr>
                <w:sz w:val="16"/>
                <w:szCs w:val="16"/>
              </w:rPr>
              <w:t>50–100 parasites/µL [</w:t>
            </w:r>
            <w:r w:rsidR="009C1278">
              <w:rPr>
                <w:sz w:val="16"/>
                <w:szCs w:val="16"/>
              </w:rPr>
              <w:t>2</w:t>
            </w:r>
            <w:r w:rsidRPr="00797AEB">
              <w:rPr>
                <w:sz w:val="16"/>
                <w:szCs w:val="16"/>
              </w:rPr>
              <w:t>]</w:t>
            </w:r>
          </w:p>
        </w:tc>
        <w:tc>
          <w:tcPr>
            <w:tcW w:w="63.30pt" w:type="dxa"/>
            <w:vAlign w:val="center"/>
          </w:tcPr>
          <w:p w14:paraId="63E2539C" w14:textId="77777777" w:rsidR="00E94A21" w:rsidRPr="00797AEB" w:rsidRDefault="00E94A21" w:rsidP="00984CF8">
            <w:pPr>
              <w:widowControl w:val="0"/>
              <w:rPr>
                <w:rFonts w:eastAsia="Times New Roman"/>
                <w:color w:val="000000" w:themeColor="text1"/>
                <w:sz w:val="16"/>
                <w:szCs w:val="16"/>
              </w:rPr>
            </w:pPr>
            <w:r w:rsidRPr="00797AEB">
              <w:rPr>
                <w:sz w:val="16"/>
                <w:szCs w:val="16"/>
              </w:rPr>
              <w:t>Gold standard; low cost</w:t>
            </w:r>
          </w:p>
        </w:tc>
        <w:tc>
          <w:tcPr>
            <w:tcW w:w="65.95pt" w:type="dxa"/>
            <w:vAlign w:val="center"/>
          </w:tcPr>
          <w:p w14:paraId="7CAE852C" w14:textId="77777777" w:rsidR="00E94A21" w:rsidRPr="00797AEB" w:rsidRDefault="00E94A21" w:rsidP="00984CF8">
            <w:pPr>
              <w:widowControl w:val="0"/>
              <w:rPr>
                <w:rFonts w:eastAsia="Times New Roman"/>
                <w:color w:val="000000" w:themeColor="text1"/>
                <w:sz w:val="16"/>
                <w:szCs w:val="16"/>
                <w:lang w:val="en"/>
              </w:rPr>
            </w:pPr>
            <w:r w:rsidRPr="00797AEB">
              <w:rPr>
                <w:sz w:val="16"/>
                <w:szCs w:val="16"/>
              </w:rPr>
              <w:t>Needs expertise; misses low-density cases</w:t>
            </w:r>
          </w:p>
        </w:tc>
      </w:tr>
      <w:tr w:rsidR="00E94A21" w14:paraId="7CFAF64B" w14:textId="77777777" w:rsidTr="0041470F">
        <w:trPr>
          <w:trHeight w:val="144"/>
        </w:trPr>
        <w:tc>
          <w:tcPr>
            <w:tcW w:w="49.05pt" w:type="dxa"/>
            <w:vAlign w:val="center"/>
          </w:tcPr>
          <w:p w14:paraId="5366B7D5" w14:textId="77777777" w:rsidR="00E94A21" w:rsidRPr="00797AEB" w:rsidRDefault="00E94A21" w:rsidP="00984CF8">
            <w:pPr>
              <w:widowControl w:val="0"/>
              <w:rPr>
                <w:rFonts w:eastAsia="Times New Roman"/>
                <w:color w:val="000000" w:themeColor="text1"/>
                <w:sz w:val="16"/>
                <w:szCs w:val="16"/>
              </w:rPr>
            </w:pPr>
            <w:r w:rsidRPr="00797AEB">
              <w:rPr>
                <w:sz w:val="16"/>
                <w:szCs w:val="16"/>
              </w:rPr>
              <w:t>RDTs</w:t>
            </w:r>
          </w:p>
        </w:tc>
        <w:tc>
          <w:tcPr>
            <w:tcW w:w="64.50pt" w:type="dxa"/>
            <w:vAlign w:val="center"/>
          </w:tcPr>
          <w:p w14:paraId="26A75B6B" w14:textId="2BE1054E" w:rsidR="00E94A21" w:rsidRPr="00797AEB" w:rsidRDefault="00E94A21" w:rsidP="00984CF8">
            <w:pPr>
              <w:widowControl w:val="0"/>
              <w:rPr>
                <w:rFonts w:eastAsia="Times New Roman"/>
                <w:color w:val="000000" w:themeColor="text1"/>
                <w:sz w:val="16"/>
                <w:szCs w:val="16"/>
              </w:rPr>
            </w:pPr>
            <w:r w:rsidRPr="00797AEB">
              <w:rPr>
                <w:sz w:val="16"/>
                <w:szCs w:val="16"/>
              </w:rPr>
              <w:t>&lt;50% sensitivity at &lt;100 parasites/µL [</w:t>
            </w:r>
            <w:r w:rsidR="009C1278">
              <w:rPr>
                <w:sz w:val="16"/>
                <w:szCs w:val="16"/>
              </w:rPr>
              <w:t>3</w:t>
            </w:r>
            <w:r w:rsidRPr="00797AEB">
              <w:rPr>
                <w:sz w:val="16"/>
                <w:szCs w:val="16"/>
              </w:rPr>
              <w:t>]</w:t>
            </w:r>
          </w:p>
        </w:tc>
        <w:tc>
          <w:tcPr>
            <w:tcW w:w="63.30pt" w:type="dxa"/>
            <w:vAlign w:val="center"/>
          </w:tcPr>
          <w:p w14:paraId="7D6AE711" w14:textId="77777777" w:rsidR="00E94A21" w:rsidRPr="00797AEB" w:rsidRDefault="00E94A21" w:rsidP="00984CF8">
            <w:pPr>
              <w:widowControl w:val="0"/>
              <w:rPr>
                <w:rFonts w:eastAsia="Times New Roman"/>
                <w:color w:val="000000" w:themeColor="text1"/>
                <w:sz w:val="16"/>
                <w:szCs w:val="16"/>
              </w:rPr>
            </w:pPr>
            <w:r w:rsidRPr="00797AEB">
              <w:rPr>
                <w:sz w:val="16"/>
                <w:szCs w:val="16"/>
              </w:rPr>
              <w:t>Simple; rapid; no equipment</w:t>
            </w:r>
          </w:p>
        </w:tc>
        <w:tc>
          <w:tcPr>
            <w:tcW w:w="65.95pt" w:type="dxa"/>
            <w:vAlign w:val="center"/>
          </w:tcPr>
          <w:p w14:paraId="092F7728" w14:textId="77777777" w:rsidR="00E94A21" w:rsidRPr="00797AEB" w:rsidRDefault="00E94A21" w:rsidP="00984CF8">
            <w:pPr>
              <w:widowControl w:val="0"/>
              <w:rPr>
                <w:rFonts w:eastAsia="Times New Roman"/>
                <w:color w:val="000000" w:themeColor="text1"/>
                <w:sz w:val="16"/>
                <w:szCs w:val="16"/>
                <w:lang w:val="en"/>
              </w:rPr>
            </w:pPr>
            <w:r w:rsidRPr="00797AEB">
              <w:rPr>
                <w:sz w:val="16"/>
                <w:szCs w:val="16"/>
              </w:rPr>
              <w:t>False negatives; poor at low parasitemia</w:t>
            </w:r>
          </w:p>
        </w:tc>
      </w:tr>
      <w:tr w:rsidR="00E94A21" w14:paraId="0933EC21" w14:textId="77777777" w:rsidTr="0041470F">
        <w:trPr>
          <w:trHeight w:val="144"/>
        </w:trPr>
        <w:tc>
          <w:tcPr>
            <w:tcW w:w="49.05pt" w:type="dxa"/>
            <w:vAlign w:val="center"/>
          </w:tcPr>
          <w:p w14:paraId="42C7A75D" w14:textId="77777777" w:rsidR="00E94A21" w:rsidRPr="00797AEB" w:rsidRDefault="00E94A21" w:rsidP="00984CF8">
            <w:pPr>
              <w:widowControl w:val="0"/>
              <w:rPr>
                <w:rFonts w:eastAsia="Times New Roman"/>
                <w:color w:val="000000" w:themeColor="text1"/>
                <w:sz w:val="16"/>
                <w:szCs w:val="16"/>
              </w:rPr>
            </w:pPr>
            <w:r w:rsidRPr="00797AEB">
              <w:rPr>
                <w:sz w:val="16"/>
                <w:szCs w:val="16"/>
              </w:rPr>
              <w:t>PCR / NAATs</w:t>
            </w:r>
          </w:p>
        </w:tc>
        <w:tc>
          <w:tcPr>
            <w:tcW w:w="64.50pt" w:type="dxa"/>
            <w:vAlign w:val="center"/>
          </w:tcPr>
          <w:p w14:paraId="006C680A" w14:textId="77777777" w:rsidR="00E94A21" w:rsidRPr="00797AEB" w:rsidRDefault="00E94A21" w:rsidP="00984CF8">
            <w:pPr>
              <w:widowControl w:val="0"/>
              <w:rPr>
                <w:rFonts w:eastAsia="Times New Roman"/>
                <w:color w:val="000000" w:themeColor="text1"/>
                <w:sz w:val="16"/>
                <w:szCs w:val="16"/>
              </w:rPr>
            </w:pPr>
            <w:r w:rsidRPr="00797AEB">
              <w:rPr>
                <w:sz w:val="16"/>
                <w:szCs w:val="16"/>
              </w:rPr>
              <w:t>&lt;1</w:t>
            </w:r>
            <w:r>
              <w:rPr>
                <w:sz w:val="16"/>
                <w:szCs w:val="16"/>
              </w:rPr>
              <w:t xml:space="preserve"> </w:t>
            </w:r>
            <w:r w:rsidRPr="00797AEB">
              <w:rPr>
                <w:sz w:val="16"/>
                <w:szCs w:val="16"/>
              </w:rPr>
              <w:t>parasite/µL [5]</w:t>
            </w:r>
          </w:p>
        </w:tc>
        <w:tc>
          <w:tcPr>
            <w:tcW w:w="63.30pt" w:type="dxa"/>
            <w:vAlign w:val="center"/>
          </w:tcPr>
          <w:p w14:paraId="59E00586" w14:textId="77777777" w:rsidR="00E94A21" w:rsidRPr="00797AEB" w:rsidRDefault="00E94A21" w:rsidP="00984CF8">
            <w:pPr>
              <w:widowControl w:val="0"/>
              <w:rPr>
                <w:rFonts w:eastAsia="Times New Roman"/>
                <w:color w:val="000000" w:themeColor="text1"/>
                <w:sz w:val="16"/>
                <w:szCs w:val="16"/>
              </w:rPr>
            </w:pPr>
            <w:r w:rsidRPr="00797AEB">
              <w:rPr>
                <w:sz w:val="16"/>
                <w:szCs w:val="16"/>
              </w:rPr>
              <w:t>Ultra-sensitive; accurate</w:t>
            </w:r>
          </w:p>
        </w:tc>
        <w:tc>
          <w:tcPr>
            <w:tcW w:w="65.95pt" w:type="dxa"/>
            <w:vAlign w:val="center"/>
          </w:tcPr>
          <w:p w14:paraId="0240C0DF" w14:textId="77777777" w:rsidR="00E94A21" w:rsidRPr="00797AEB" w:rsidRDefault="00E94A21" w:rsidP="00984CF8">
            <w:pPr>
              <w:widowControl w:val="0"/>
              <w:rPr>
                <w:rFonts w:eastAsia="Times New Roman"/>
                <w:color w:val="000000" w:themeColor="text1"/>
                <w:sz w:val="16"/>
                <w:szCs w:val="16"/>
                <w:lang w:val="en"/>
              </w:rPr>
            </w:pPr>
            <w:r w:rsidRPr="00797AEB">
              <w:rPr>
                <w:sz w:val="16"/>
                <w:szCs w:val="16"/>
              </w:rPr>
              <w:t>Expensive; lab-dependent</w:t>
            </w:r>
          </w:p>
        </w:tc>
      </w:tr>
      <w:tr w:rsidR="00E94A21" w14:paraId="1A51BD2A" w14:textId="77777777" w:rsidTr="0041470F">
        <w:trPr>
          <w:trHeight w:val="144"/>
        </w:trPr>
        <w:tc>
          <w:tcPr>
            <w:tcW w:w="49.05pt" w:type="dxa"/>
            <w:vAlign w:val="center"/>
          </w:tcPr>
          <w:p w14:paraId="27F65B8C" w14:textId="77777777" w:rsidR="00E94A21" w:rsidRPr="00797AEB" w:rsidRDefault="00E94A21" w:rsidP="00984CF8">
            <w:pPr>
              <w:widowControl w:val="0"/>
              <w:rPr>
                <w:rFonts w:eastAsia="Times New Roman"/>
                <w:color w:val="000000" w:themeColor="text1"/>
                <w:sz w:val="16"/>
                <w:szCs w:val="16"/>
              </w:rPr>
            </w:pPr>
            <w:r w:rsidRPr="00797AEB">
              <w:rPr>
                <w:sz w:val="16"/>
                <w:szCs w:val="16"/>
              </w:rPr>
              <w:t>GFET (Sim.)</w:t>
            </w:r>
          </w:p>
        </w:tc>
        <w:tc>
          <w:tcPr>
            <w:tcW w:w="64.50pt" w:type="dxa"/>
            <w:vAlign w:val="center"/>
          </w:tcPr>
          <w:p w14:paraId="3122E51D" w14:textId="77777777" w:rsidR="00E94A21" w:rsidRPr="00797AEB" w:rsidRDefault="00E94A21" w:rsidP="00984CF8">
            <w:pPr>
              <w:widowControl w:val="0"/>
              <w:rPr>
                <w:rFonts w:eastAsia="Times New Roman"/>
                <w:color w:val="000000" w:themeColor="text1"/>
                <w:sz w:val="16"/>
                <w:szCs w:val="16"/>
              </w:rPr>
            </w:pPr>
            <w:r w:rsidRPr="00797AEB">
              <w:rPr>
                <w:sz w:val="16"/>
                <w:szCs w:val="16"/>
              </w:rPr>
              <w:t>~0.22 ng/mL (≈15 pM) [6]</w:t>
            </w:r>
          </w:p>
        </w:tc>
        <w:tc>
          <w:tcPr>
            <w:tcW w:w="63.30pt" w:type="dxa"/>
            <w:vAlign w:val="center"/>
          </w:tcPr>
          <w:p w14:paraId="22BC5D45" w14:textId="77777777" w:rsidR="00E94A21" w:rsidRPr="00797AEB" w:rsidRDefault="00E94A21" w:rsidP="00984CF8">
            <w:pPr>
              <w:widowControl w:val="0"/>
              <w:rPr>
                <w:rFonts w:eastAsia="Times New Roman"/>
                <w:color w:val="000000" w:themeColor="text1"/>
                <w:sz w:val="16"/>
                <w:szCs w:val="16"/>
              </w:rPr>
            </w:pPr>
            <w:r w:rsidRPr="00797AEB">
              <w:rPr>
                <w:sz w:val="16"/>
                <w:szCs w:val="16"/>
              </w:rPr>
              <w:t>Label-free; rapid; portable</w:t>
            </w:r>
          </w:p>
        </w:tc>
        <w:tc>
          <w:tcPr>
            <w:tcW w:w="65.95pt" w:type="dxa"/>
            <w:vAlign w:val="center"/>
          </w:tcPr>
          <w:p w14:paraId="2F52E617" w14:textId="77777777" w:rsidR="00E94A21" w:rsidRPr="00797AEB" w:rsidRDefault="00E94A21" w:rsidP="00984CF8">
            <w:pPr>
              <w:widowControl w:val="0"/>
              <w:rPr>
                <w:rFonts w:eastAsia="Times New Roman"/>
                <w:color w:val="000000" w:themeColor="text1"/>
                <w:sz w:val="16"/>
                <w:szCs w:val="16"/>
                <w:lang w:val="en"/>
              </w:rPr>
            </w:pPr>
            <w:r w:rsidRPr="00797AEB">
              <w:rPr>
                <w:sz w:val="16"/>
                <w:szCs w:val="16"/>
              </w:rPr>
              <w:t>Currently simulated; fabrication challenges</w:t>
            </w:r>
          </w:p>
        </w:tc>
      </w:tr>
    </w:tbl>
    <w:p w14:paraId="0F810B4C" w14:textId="78DFEB08" w:rsidR="00E94A21" w:rsidRDefault="0041470F" w:rsidP="00E94A21">
      <w:pPr>
        <w:ind w:firstLine="14.40pt"/>
        <w:jc w:val="both"/>
        <w:rPr>
          <w:bCs/>
        </w:rPr>
      </w:pPr>
      <w:r w:rsidRPr="001861C8">
        <w:lastRenderedPageBreak/>
        <w:t>These studies illustrate both fabrication-oriented and application-driven progress in the GFET field, underscoring that the proposed TCAD framework aligns with state-of-the-art efforts and can directly inform the design of next-generation malaria biosensors</w:t>
      </w:r>
    </w:p>
    <w:p w14:paraId="134BA308" w14:textId="42E52A35" w:rsidR="00721BA9" w:rsidRDefault="00721BA9" w:rsidP="00721BA9">
      <w:pPr>
        <w:pStyle w:val="Heading2"/>
      </w:pPr>
      <w:r>
        <w:t>Limitations</w:t>
      </w:r>
    </w:p>
    <w:p w14:paraId="75E25892" w14:textId="6AD1FC54" w:rsidR="00531764" w:rsidRPr="00531764" w:rsidRDefault="00531764" w:rsidP="00531764">
      <w:pPr>
        <w:pStyle w:val="BodyText"/>
        <w:rPr>
          <w:bCs/>
          <w:spacing w:val="0"/>
          <w:lang w:val="en-US" w:eastAsia="en-US"/>
        </w:rPr>
      </w:pPr>
      <w:r w:rsidRPr="00531764">
        <w:rPr>
          <w:bCs/>
          <w:spacing w:val="0"/>
          <w:lang w:val="en-US" w:eastAsia="en-US"/>
        </w:rPr>
        <w:t>This study demonstrates a systematic TCAD framework for BioGFET biosensors but employs several simplifying assumptions. Graphene was modeled using tuned polysilicon parameters, which reproduce ambipolar conduction but omit intrinsic features such as quantum capacitance, charge puddling, and edge effects. As a result, the reported sensitivity (~13.52 mV/ng·mL⁻¹) and limit of detection (~0.22 ng/mL) should be interpreted as optimistic upper bounds.</w:t>
      </w:r>
    </w:p>
    <w:p w14:paraId="74898045" w14:textId="24CA3070" w:rsidR="00531764" w:rsidRPr="00531764" w:rsidRDefault="00531764" w:rsidP="00531764">
      <w:pPr>
        <w:pStyle w:val="BodyText"/>
        <w:rPr>
          <w:bCs/>
          <w:spacing w:val="0"/>
          <w:lang w:val="en-US" w:eastAsia="en-US"/>
        </w:rPr>
      </w:pPr>
      <w:r w:rsidRPr="00531764">
        <w:rPr>
          <w:bCs/>
          <w:spacing w:val="0"/>
          <w:lang w:val="en-US" w:eastAsia="en-US"/>
        </w:rPr>
        <w:t>Antibodies and antigen–antibody complexes were represented as uniformly charged cuboids, disregarding conformational dynamics and heterogeneous charge distribution. While this abstraction enables tractable simulation, it likely overestimates gating efficiency compared to real biomolecular interfaces. Noise and device variability were also treated qualitatively. Although a preliminary variability analysis was performed through multiple random receptor placements, a full stochastic treatment of charge fluctuations and fabrication-induced variability was not included.</w:t>
      </w:r>
    </w:p>
    <w:p w14:paraId="58C56FB0" w14:textId="6A1A8FE2" w:rsidR="00136D4A" w:rsidRDefault="00531764" w:rsidP="00E94A21">
      <w:pPr>
        <w:pStyle w:val="BodyText"/>
        <w:rPr>
          <w:bCs/>
          <w:spacing w:val="0"/>
          <w:lang w:val="en-US" w:eastAsia="en-US"/>
        </w:rPr>
      </w:pPr>
      <w:r w:rsidRPr="00531764">
        <w:rPr>
          <w:bCs/>
          <w:spacing w:val="0"/>
          <w:lang w:val="en-US" w:eastAsia="en-US"/>
        </w:rPr>
        <w:t xml:space="preserve">Finally, while simulated transfer curves align with literature GFET trends, no direct benchmarking against malaria-specific BioGFET experimental devices was conducted beyond tabulated comparisons. This limits the immediate translational confidence of the </w:t>
      </w:r>
      <w:r>
        <w:rPr>
          <w:bCs/>
          <w:spacing w:val="0"/>
          <w:lang w:val="en-US" w:eastAsia="en-US"/>
        </w:rPr>
        <w:t>results.</w:t>
      </w:r>
    </w:p>
    <w:p w14:paraId="51E89E79" w14:textId="1BA2FF55" w:rsidR="00531764" w:rsidRDefault="00531764" w:rsidP="00531764">
      <w:pPr>
        <w:pStyle w:val="Heading2"/>
      </w:pPr>
      <w:r>
        <w:t>Future Directions</w:t>
      </w:r>
    </w:p>
    <w:p w14:paraId="345E1F7A" w14:textId="27875B48" w:rsidR="00952CE4" w:rsidRPr="00952CE4" w:rsidRDefault="00952CE4" w:rsidP="00952CE4">
      <w:pPr>
        <w:pStyle w:val="BodyText"/>
        <w:rPr>
          <w:bCs/>
          <w:spacing w:val="0"/>
          <w:lang w:val="en-US" w:eastAsia="en-US"/>
        </w:rPr>
      </w:pPr>
      <w:r w:rsidRPr="00952CE4">
        <w:rPr>
          <w:bCs/>
          <w:spacing w:val="0"/>
          <w:lang w:val="en-US" w:eastAsia="en-US"/>
        </w:rPr>
        <w:t>Several avenues exist to strengthen the framework. First, a comprehensive Monte Carlo–based variability analysis incorporating receptor placement randomness, charge fluctuations, and partial occupancy should be performed to capture device-to-device variation. Even preliminary stochastic modeling would enhance the robustness of sensitivity and LOD estimates.</w:t>
      </w:r>
    </w:p>
    <w:p w14:paraId="19EA6191" w14:textId="77777777" w:rsidR="00952CE4" w:rsidRPr="00952CE4" w:rsidRDefault="00952CE4" w:rsidP="00952CE4">
      <w:pPr>
        <w:pStyle w:val="BodyText"/>
        <w:rPr>
          <w:bCs/>
          <w:spacing w:val="0"/>
          <w:lang w:val="en-US" w:eastAsia="en-US"/>
        </w:rPr>
      </w:pPr>
      <w:r w:rsidRPr="00952CE4">
        <w:rPr>
          <w:bCs/>
          <w:spacing w:val="0"/>
          <w:lang w:val="en-US" w:eastAsia="en-US"/>
        </w:rPr>
        <w:t>Second, stronger alignment with experimental validation is essential. A clear roadmap can be defined that includes fabrication of CVD-graphene BioGFET prototypes, integration with microfluidics for buffer control, and benchmarking against clinically relevant malaria antigen concentrations. Outlining such workflows, even before lab execution, reassures the translational feasibility of the approach.</w:t>
      </w:r>
    </w:p>
    <w:p w14:paraId="183C0716" w14:textId="79942277" w:rsidR="00531764" w:rsidRPr="00F23812" w:rsidRDefault="00952CE4" w:rsidP="00F23812">
      <w:pPr>
        <w:pStyle w:val="BodyText"/>
      </w:pPr>
      <w:r w:rsidRPr="00952CE4">
        <w:rPr>
          <w:bCs/>
          <w:spacing w:val="0"/>
          <w:lang w:val="en-US" w:eastAsia="en-US"/>
        </w:rPr>
        <w:t xml:space="preserve">Finally, comparative positioning should be emphasized. While existing GFET biosensor studies focus primarily on fabricated prototypes, the proposed TCAD workflow serves as a bridge between computational modeling and experimental translation. By embedding design rules for receptor density, ionic environment, and channel geometry, it reduces costly trial-and-error, accelerates device development, and supports reproducibility—advantages that go beyond simple cost-saving. </w:t>
      </w:r>
    </w:p>
    <w:p w14:paraId="2C629AA2" w14:textId="77777777" w:rsidR="00D35778" w:rsidRDefault="00D35778" w:rsidP="00D35778">
      <w:pPr>
        <w:pStyle w:val="Heading1"/>
      </w:pPr>
      <w:r>
        <w:t>Conclusion</w:t>
      </w:r>
    </w:p>
    <w:p w14:paraId="3EFE40AB" w14:textId="14FF7FBF" w:rsidR="00952CE4" w:rsidRPr="00952CE4" w:rsidRDefault="00952CE4" w:rsidP="00952CE4">
      <w:pPr>
        <w:pStyle w:val="Heading5"/>
        <w:jc w:val="both"/>
        <w:rPr>
          <w:smallCaps w:val="0"/>
          <w:noProof w:val="0"/>
          <w:spacing w:val="-1"/>
          <w:lang w:val="x-none" w:eastAsia="x-none"/>
        </w:rPr>
      </w:pPr>
      <w:r>
        <w:rPr>
          <w:smallCaps w:val="0"/>
          <w:noProof w:val="0"/>
          <w:spacing w:val="-1"/>
          <w:lang w:val="x-none" w:eastAsia="x-none"/>
        </w:rPr>
        <w:tab/>
      </w:r>
      <w:r w:rsidRPr="00952CE4">
        <w:rPr>
          <w:smallCaps w:val="0"/>
          <w:noProof w:val="0"/>
          <w:spacing w:val="-1"/>
          <w:lang w:val="x-none" w:eastAsia="x-none"/>
        </w:rPr>
        <w:t>This work presents a systematic TCAD-based workflow for antibody-functionalized BioGFETs targeting malaria antigen detection. Simulations predict linear Dirac-point shifts (R² = 0.9987), an effective sensitivity of ~13.52 mV/ng·mL⁻¹, and an estimated LOD of ~0.22 ng/mL under dilute ionic conditions. These results provide actionable design guidelines for electrolyte engineering, receptor loading, and channel geometry, offering a predictive pre-fabrication strategy for biosensor development.</w:t>
      </w:r>
    </w:p>
    <w:p w14:paraId="17EB1096" w14:textId="243DA6D4" w:rsidR="00952CE4" w:rsidRPr="00952CE4" w:rsidRDefault="00952CE4" w:rsidP="00952CE4">
      <w:pPr>
        <w:pStyle w:val="Heading5"/>
        <w:jc w:val="both"/>
        <w:rPr>
          <w:smallCaps w:val="0"/>
          <w:noProof w:val="0"/>
          <w:spacing w:val="-1"/>
          <w:lang w:val="x-none" w:eastAsia="x-none"/>
        </w:rPr>
      </w:pPr>
      <w:r>
        <w:rPr>
          <w:smallCaps w:val="0"/>
          <w:noProof w:val="0"/>
          <w:spacing w:val="-1"/>
          <w:lang w:val="x-none" w:eastAsia="x-none"/>
        </w:rPr>
        <w:tab/>
      </w:r>
      <w:r w:rsidRPr="00952CE4">
        <w:rPr>
          <w:smallCaps w:val="0"/>
          <w:noProof w:val="0"/>
          <w:spacing w:val="-1"/>
          <w:lang w:val="x-none" w:eastAsia="x-none"/>
        </w:rPr>
        <w:t>The findings should be considered as upper-bound estimates due to simplifications in graphene modeling, receptor abstraction, and noise treatment. Nonetheless, the observed trends in Dirac voltage shift and Debye-length dependence remain robust and informative. Importantly, this framework is positioned not only as a cost-saving tool but as a bridge between computational design and experimental translation, enabling researchers to anticipate performance prior to fabrication.</w:t>
      </w:r>
    </w:p>
    <w:p w14:paraId="68684649" w14:textId="77777777" w:rsidR="00952CE4" w:rsidRDefault="00952CE4" w:rsidP="00952CE4">
      <w:pPr>
        <w:pStyle w:val="Heading5"/>
        <w:jc w:val="both"/>
        <w:rPr>
          <w:smallCaps w:val="0"/>
          <w:noProof w:val="0"/>
          <w:spacing w:val="-1"/>
          <w:lang w:val="x-none" w:eastAsia="x-none"/>
        </w:rPr>
      </w:pPr>
      <w:r>
        <w:rPr>
          <w:smallCaps w:val="0"/>
          <w:noProof w:val="0"/>
          <w:spacing w:val="-1"/>
          <w:lang w:val="x-none" w:eastAsia="x-none"/>
        </w:rPr>
        <w:tab/>
      </w:r>
      <w:r w:rsidRPr="00952CE4">
        <w:rPr>
          <w:smallCaps w:val="0"/>
          <w:noProof w:val="0"/>
          <w:spacing w:val="-1"/>
          <w:lang w:val="x-none" w:eastAsia="x-none"/>
        </w:rPr>
        <w:t>Future efforts will focus on extending variability analysis through Monte Carlo simulations, refining graphene physics in the TCAD model, and aligning simulations with experimental prototypes. By combining simulation-driven insights with fabrication workflows and microfluidic integration, this approach can accelerate the development of portable, low-cost malaria biosensors that approach the accuracy of laboratory diagnostics while enabling rapid point-of-care deployment in resource-limited settings.</w:t>
      </w:r>
    </w:p>
    <w:p w14:paraId="50D2638B" w14:textId="77777777" w:rsidR="00D35778" w:rsidRPr="005B520E" w:rsidRDefault="00D35778" w:rsidP="00D35778">
      <w:pPr>
        <w:pStyle w:val="Heading5"/>
      </w:pPr>
      <w:r w:rsidRPr="005B520E">
        <w:t>References</w:t>
      </w:r>
    </w:p>
    <w:p w14:paraId="7FB0E0C1" w14:textId="079DEE3F" w:rsidR="009C1278" w:rsidRDefault="00A72617" w:rsidP="00D35778">
      <w:pPr>
        <w:pStyle w:val="references"/>
        <w:ind w:start="17.70pt" w:hanging="17.70pt"/>
        <w:rPr>
          <w:lang w:val="en"/>
        </w:rPr>
      </w:pPr>
      <w:bookmarkStart w:id="6" w:name="_Hlk208932523"/>
      <w:r w:rsidRPr="00A72617">
        <w:rPr>
          <w:lang w:val="en"/>
        </w:rPr>
        <w:t>World Health Organization. (2024). World malaria report 2024: Addressing inequity in the global malaria response. World Health Organization.</w:t>
      </w:r>
    </w:p>
    <w:p w14:paraId="3241A15D" w14:textId="69E48AE2" w:rsidR="00D35778" w:rsidRDefault="00D35778" w:rsidP="00D35778">
      <w:pPr>
        <w:pStyle w:val="references"/>
        <w:ind w:start="17.70pt" w:hanging="17.70pt"/>
        <w:rPr>
          <w:lang w:val="en"/>
        </w:rPr>
      </w:pPr>
      <w:r w:rsidRPr="00A815D8">
        <w:rPr>
          <w:lang w:val="en"/>
        </w:rPr>
        <w:t xml:space="preserve">Wu, F., Singh, J., Thomas, P. A., Ge, Q., Kravets, V. G., Day, P. J., &amp; Grigorenko, A. N. (2020). Ultrasensitive and rapid detection of malaria using graphene-enhanced surface plasmon resonance. 2D Materials, 7(4), 045019. </w:t>
      </w:r>
      <w:hyperlink r:id="rId19" w:history="1">
        <w:r w:rsidRPr="003A120A">
          <w:rPr>
            <w:rStyle w:val="Hyperlink"/>
            <w:lang w:val="en"/>
          </w:rPr>
          <w:t>https://doi.org/10.1088/2053-1583/aba88e</w:t>
        </w:r>
      </w:hyperlink>
    </w:p>
    <w:p w14:paraId="1AD84CC5" w14:textId="77777777" w:rsidR="00D35778" w:rsidRDefault="00D35778" w:rsidP="00D35778">
      <w:pPr>
        <w:pStyle w:val="references"/>
        <w:ind w:start="17.70pt" w:hanging="17.70pt"/>
        <w:rPr>
          <w:lang w:val="en"/>
        </w:rPr>
      </w:pPr>
      <w:r w:rsidRPr="00A815D8">
        <w:rPr>
          <w:lang w:val="en"/>
        </w:rPr>
        <w:t xml:space="preserve">Ranadive, N., Kunene, S., Darteh, S., Ntshalintshali, N., Nhlabathi, N., Dlamini, N., Chitundu, S., Saini, M., Murphy, M., Soble, A., Schwartz, A., Greenhouse, B., &amp; Hsiang, M. S. (2017). Limitations of Rapid Diagnostic Testing in Patients with Suspected Malaria: A Diagnostic Accuracy Evaluation from Swaziland, a Low-Endemicity Country Aiming for Malaria Elimination. Clinical Infectious Diseases, 64(9), 1221–1227. </w:t>
      </w:r>
      <w:hyperlink r:id="rId20">
        <w:r w:rsidRPr="00A815D8">
          <w:rPr>
            <w:rStyle w:val="Hyperlink"/>
            <w:lang w:val="en"/>
          </w:rPr>
          <w:t>https://doi.org/10.1093/cid/cix131</w:t>
        </w:r>
      </w:hyperlink>
    </w:p>
    <w:p w14:paraId="39B60B89" w14:textId="4EA66A60" w:rsidR="00D35778" w:rsidRDefault="00D35778" w:rsidP="00D35778">
      <w:pPr>
        <w:pStyle w:val="references"/>
        <w:ind w:start="17.70pt" w:hanging="17.70pt"/>
        <w:rPr>
          <w:lang w:val="en"/>
        </w:rPr>
      </w:pPr>
      <w:r w:rsidRPr="00A815D8">
        <w:rPr>
          <w:lang w:val="en"/>
        </w:rPr>
        <w:t xml:space="preserve">Krishnan, S. K., Nataraj, N., Meyyappan, M., &amp; Pal, U. (2023). Graphene-Based Field-Effect Transistors in biosensing and Neural interfacing Applications: Recent Advances and Prospects. Analytical Chemistry, 95(5), 2590–2622. </w:t>
      </w:r>
    </w:p>
    <w:p w14:paraId="17E54D6E" w14:textId="77777777" w:rsidR="00D35778" w:rsidRDefault="00D35778" w:rsidP="00D35778">
      <w:pPr>
        <w:pStyle w:val="references"/>
        <w:ind w:start="17.70pt" w:hanging="17.70pt"/>
        <w:rPr>
          <w:lang w:val="en"/>
        </w:rPr>
      </w:pPr>
      <w:r w:rsidRPr="00A815D8">
        <w:rPr>
          <w:lang w:val="en"/>
        </w:rPr>
        <w:t xml:space="preserve">Chauhan, N., Maekawa, T., &amp; Kumar, D. N. S. (2017). Graphene based biosensors—Accelerating medical diagnostics to new-dimensions. </w:t>
      </w:r>
      <w:r w:rsidRPr="00A815D8">
        <w:rPr>
          <w:i/>
          <w:lang w:val="en"/>
        </w:rPr>
        <w:t>Journal of Materials Research/Pratt’s Guide to Venture Capital Sources</w:t>
      </w:r>
      <w:r w:rsidRPr="00A815D8">
        <w:rPr>
          <w:lang w:val="en"/>
        </w:rPr>
        <w:t xml:space="preserve">, </w:t>
      </w:r>
      <w:r w:rsidRPr="00A815D8">
        <w:rPr>
          <w:i/>
          <w:lang w:val="en"/>
        </w:rPr>
        <w:t>32</w:t>
      </w:r>
      <w:r w:rsidRPr="00A815D8">
        <w:rPr>
          <w:lang w:val="en"/>
        </w:rPr>
        <w:t xml:space="preserve">(15), 2860–2882. </w:t>
      </w:r>
      <w:hyperlink r:id="rId21" w:history="1">
        <w:r w:rsidRPr="00A815D8">
          <w:rPr>
            <w:rStyle w:val="Hyperlink"/>
            <w:lang w:val="en"/>
          </w:rPr>
          <w:t>https://doi.org/10.1557/jmr.2017.91</w:t>
        </w:r>
      </w:hyperlink>
    </w:p>
    <w:p w14:paraId="4DC94C20" w14:textId="77777777" w:rsidR="0071002B" w:rsidRDefault="00D35778" w:rsidP="00302F58">
      <w:pPr>
        <w:pStyle w:val="references"/>
        <w:ind w:start="17.70pt" w:hanging="17.70pt"/>
        <w:rPr>
          <w:lang w:val="en"/>
        </w:rPr>
      </w:pPr>
      <w:r w:rsidRPr="0071002B">
        <w:rPr>
          <w:lang w:val="en"/>
        </w:rPr>
        <w:t xml:space="preserve">Fuente-Zapico, E., Martínez-Mazon, P., Carlos Galdón, J., Márquez, C., Navarro, C., Donetti, L., Sampedro, C., &amp; Gamiz, F. (2023). Simulation of BioGFET sensors using TCAD. Solid-State Electronics, 208, 108761. </w:t>
      </w:r>
    </w:p>
    <w:p w14:paraId="4B3AAF59" w14:textId="1EC6DAEC" w:rsidR="00D35778" w:rsidRPr="001F179B" w:rsidRDefault="00D35778" w:rsidP="00302F58">
      <w:pPr>
        <w:pStyle w:val="references"/>
        <w:ind w:start="17.70pt" w:hanging="17.70pt"/>
        <w:rPr>
          <w:rStyle w:val="Hyperlink"/>
          <w:color w:val="auto"/>
          <w:u w:val="none"/>
          <w:lang w:val="en"/>
        </w:rPr>
      </w:pPr>
      <w:r w:rsidRPr="0071002B">
        <w:rPr>
          <w:lang w:val="en"/>
        </w:rPr>
        <w:t xml:space="preserve">Bai, J., Liao, L., Zhou, H., Cheng, R., Liu, L., Huang, Y., &amp; Duan, X. (2011). Top-Gated Chemical Vapor Deposition Grown Graphene Transistors with Current Saturation. Nano Letters, 11(6), 2555–2559. </w:t>
      </w:r>
      <w:hyperlink r:id="rId22">
        <w:r w:rsidRPr="0071002B">
          <w:rPr>
            <w:rStyle w:val="Hyperlink"/>
            <w:lang w:val="en"/>
          </w:rPr>
          <w:t>https://doi.org/10.1021/nl201331x</w:t>
        </w:r>
      </w:hyperlink>
    </w:p>
    <w:p w14:paraId="3B6CB14E" w14:textId="77777777" w:rsidR="001F179B" w:rsidRDefault="001F179B" w:rsidP="001F179B">
      <w:pPr>
        <w:pStyle w:val="references"/>
        <w:numPr>
          <w:ilvl w:val="0"/>
          <w:numId w:val="0"/>
        </w:numPr>
        <w:ind w:start="18pt" w:hanging="18pt"/>
        <w:rPr>
          <w:rStyle w:val="Hyperlink"/>
          <w:lang w:val="en"/>
        </w:rPr>
      </w:pPr>
    </w:p>
    <w:p w14:paraId="0F5235F1" w14:textId="77777777" w:rsidR="001F179B" w:rsidRDefault="001F179B" w:rsidP="001F179B">
      <w:pPr>
        <w:pStyle w:val="references"/>
        <w:numPr>
          <w:ilvl w:val="0"/>
          <w:numId w:val="0"/>
        </w:numPr>
        <w:ind w:start="18pt" w:hanging="18pt"/>
        <w:rPr>
          <w:rStyle w:val="Hyperlink"/>
          <w:lang w:val="en"/>
        </w:rPr>
      </w:pPr>
    </w:p>
    <w:p w14:paraId="013CA889" w14:textId="77777777" w:rsidR="001F179B" w:rsidRPr="0071002B" w:rsidRDefault="001F179B" w:rsidP="001F179B">
      <w:pPr>
        <w:pStyle w:val="references"/>
        <w:numPr>
          <w:ilvl w:val="0"/>
          <w:numId w:val="0"/>
        </w:numPr>
        <w:ind w:start="18pt" w:hanging="18pt"/>
        <w:rPr>
          <w:lang w:val="en"/>
        </w:rPr>
      </w:pPr>
    </w:p>
    <w:p w14:paraId="49EFCD43" w14:textId="77777777" w:rsidR="0001748C" w:rsidRPr="0001748C" w:rsidRDefault="00D35778" w:rsidP="00D35778">
      <w:pPr>
        <w:pStyle w:val="references"/>
        <w:ind w:start="17.70pt" w:hanging="17.70pt"/>
        <w:rPr>
          <w:rStyle w:val="Hyperlink"/>
          <w:color w:val="auto"/>
          <w:u w:val="none"/>
          <w:lang w:val="en"/>
        </w:rPr>
      </w:pPr>
      <w:r w:rsidRPr="0001748C">
        <w:rPr>
          <w:lang w:val="en"/>
        </w:rPr>
        <w:lastRenderedPageBreak/>
        <w:t xml:space="preserve">Sultan, S. M., De Planque, M. R. R., Ashburn, P., &amp; Chong, H. M. H. (2017). Effect of phosphate buffered saline solutions on Top-Down fabricated ZNO Nanowire Field Effect Transistor. Journal of Nanomaterials, 2017, 1–7. </w:t>
      </w:r>
      <w:hyperlink r:id="rId23">
        <w:r w:rsidRPr="0001748C">
          <w:rPr>
            <w:rStyle w:val="Hyperlink"/>
            <w:lang w:val="en"/>
          </w:rPr>
          <w:t>https://doi.org/10.1155/2017/5413705</w:t>
        </w:r>
      </w:hyperlink>
    </w:p>
    <w:p w14:paraId="4D1F9398" w14:textId="0E5E1246" w:rsidR="00D35778" w:rsidRPr="0001748C" w:rsidRDefault="00D35778" w:rsidP="00D35778">
      <w:pPr>
        <w:pStyle w:val="references"/>
        <w:ind w:start="17.70pt" w:hanging="17.70pt"/>
        <w:rPr>
          <w:lang w:val="en"/>
        </w:rPr>
      </w:pPr>
      <w:r w:rsidRPr="0001748C">
        <w:rPr>
          <w:lang w:val="en"/>
        </w:rPr>
        <w:t>SentaurusTM Device User Guide U-2022.12.</w:t>
      </w:r>
    </w:p>
    <w:p w14:paraId="4F6E0D61" w14:textId="77777777" w:rsidR="00D35778" w:rsidRDefault="00D35778" w:rsidP="00D35778">
      <w:pPr>
        <w:pStyle w:val="references"/>
        <w:ind w:start="17.70pt" w:hanging="17.70pt"/>
        <w:rPr>
          <w:lang w:val="en"/>
        </w:rPr>
      </w:pPr>
      <w:r w:rsidRPr="00A815D8">
        <w:rPr>
          <w:lang w:val="en"/>
        </w:rPr>
        <w:t xml:space="preserve">Experimental and simulated cycling of ISFET electric fields for drift reset. (2013, March 1). IEEE Journals &amp; Magazine | IEEE Xplore. </w:t>
      </w:r>
      <w:hyperlink r:id="rId24" w:history="1">
        <w:r w:rsidRPr="003A120A">
          <w:rPr>
            <w:rStyle w:val="Hyperlink"/>
            <w:lang w:val="en"/>
          </w:rPr>
          <w:t>https://ieeexplore.ieee.org/abstract/document/6463428</w:t>
        </w:r>
      </w:hyperlink>
    </w:p>
    <w:p w14:paraId="4C040FF0" w14:textId="400CEE08" w:rsidR="00D35778" w:rsidRDefault="00D35778" w:rsidP="00D35778">
      <w:pPr>
        <w:pStyle w:val="references"/>
        <w:ind w:start="17.70pt" w:hanging="17.70pt"/>
        <w:rPr>
          <w:lang w:val="en"/>
        </w:rPr>
      </w:pPr>
      <w:r w:rsidRPr="00A815D8">
        <w:rPr>
          <w:lang w:val="en"/>
        </w:rPr>
        <w:t>Ismail, M. A., Zaini, K. M. M., &amp; Syono, M. I. (2019). Graphene field-effect transistor simulation with TCAD on top-gate dielectric</w:t>
      </w:r>
      <w:r w:rsidR="00AD1AA9">
        <w:rPr>
          <w:lang w:val="en"/>
        </w:rPr>
        <w:t xml:space="preserve"> </w:t>
      </w:r>
      <w:r w:rsidRPr="00A815D8">
        <w:rPr>
          <w:lang w:val="en"/>
        </w:rPr>
        <w:t xml:space="preserve">influences. TELKOMNIKA (Telecommunication Computing Electronics and Control), 17(4), 1845. </w:t>
      </w:r>
    </w:p>
    <w:p w14:paraId="52E451E3" w14:textId="77777777" w:rsidR="00D35778" w:rsidRDefault="00D35778" w:rsidP="00D35778">
      <w:pPr>
        <w:pStyle w:val="references"/>
        <w:ind w:start="17.70pt" w:hanging="17.70pt"/>
        <w:rPr>
          <w:lang w:val="en"/>
        </w:rPr>
      </w:pPr>
      <w:r w:rsidRPr="00A815D8">
        <w:rPr>
          <w:lang w:val="en"/>
        </w:rPr>
        <w:t>Thingujam, T., Jolson, K., Kumar, M., &amp; Sarkar, S.K. (2017). TCAD based modeling and simulation of Graphene Nanostructured FET (GFET) for High Frequency Performance. ADBU Journal of Engineering Technology (AJET), 6.</w:t>
      </w:r>
    </w:p>
    <w:p w14:paraId="1C265A4B" w14:textId="77777777" w:rsidR="00D35778" w:rsidRDefault="00D35778" w:rsidP="00D35778">
      <w:pPr>
        <w:pStyle w:val="references"/>
        <w:ind w:start="17.70pt" w:hanging="17.70pt"/>
        <w:rPr>
          <w:lang w:val="en"/>
        </w:rPr>
      </w:pPr>
      <w:r w:rsidRPr="00A815D8">
        <w:rPr>
          <w:lang w:val="en"/>
        </w:rPr>
        <w:t>Hafsi, B., Boubaker, A., Ismaïl, N., Kalboussi, A., &amp; Lmimouni, K. (2015). TCAD Simulations of graphene field-effect transistors based on the quantum capacitance effect. Journal of the Korean Physical Society, 67(7), 1201–1207.</w:t>
      </w:r>
    </w:p>
    <w:p w14:paraId="0662A725" w14:textId="77777777" w:rsidR="00D35778" w:rsidRDefault="00D35778" w:rsidP="00D35778">
      <w:pPr>
        <w:pStyle w:val="references"/>
        <w:ind w:start="17.70pt" w:hanging="17.70pt"/>
        <w:rPr>
          <w:lang w:val="en"/>
        </w:rPr>
      </w:pPr>
      <w:r w:rsidRPr="00A815D8">
        <w:rPr>
          <w:lang w:val="en"/>
        </w:rPr>
        <w:t xml:space="preserve">Yeow, N., Tabor, R. F., &amp; Garnier, G. (2017). Mapping the distribution of specific antibody interaction forces on individual red blood cells. </w:t>
      </w:r>
      <w:r w:rsidRPr="00A815D8">
        <w:rPr>
          <w:i/>
          <w:lang w:val="en"/>
        </w:rPr>
        <w:t>Scientific Reports</w:t>
      </w:r>
      <w:r w:rsidRPr="00A815D8">
        <w:rPr>
          <w:lang w:val="en"/>
        </w:rPr>
        <w:t xml:space="preserve">, </w:t>
      </w:r>
      <w:r w:rsidRPr="00A815D8">
        <w:rPr>
          <w:i/>
          <w:lang w:val="en"/>
        </w:rPr>
        <w:t>7</w:t>
      </w:r>
      <w:r w:rsidRPr="00A815D8">
        <w:rPr>
          <w:lang w:val="en"/>
        </w:rPr>
        <w:t xml:space="preserve">(1). </w:t>
      </w:r>
      <w:hyperlink r:id="rId25" w:history="1">
        <w:r w:rsidRPr="00A815D8">
          <w:rPr>
            <w:rStyle w:val="Hyperlink"/>
            <w:lang w:val="en"/>
          </w:rPr>
          <w:t>https://doi.org/10.1038/srep41956</w:t>
        </w:r>
      </w:hyperlink>
    </w:p>
    <w:p w14:paraId="11B2FD40" w14:textId="77777777" w:rsidR="00D35778" w:rsidRDefault="00D35778" w:rsidP="00D35778">
      <w:pPr>
        <w:pStyle w:val="references"/>
        <w:ind w:start="17.70pt" w:hanging="17.70pt"/>
        <w:rPr>
          <w:lang w:val="en"/>
        </w:rPr>
      </w:pPr>
      <w:r w:rsidRPr="00A815D8">
        <w:rPr>
          <w:lang w:val="en"/>
        </w:rPr>
        <w:t xml:space="preserve">Yang, D., Kroe‑Barrett, R., Singh, S., &amp; Laue, T. (2019). </w:t>
      </w:r>
      <w:r w:rsidRPr="00A815D8">
        <w:rPr>
          <w:i/>
          <w:lang w:val="en"/>
        </w:rPr>
        <w:t>IgG Charge: Practical and Biological Implications</w:t>
      </w:r>
      <w:r w:rsidRPr="00A815D8">
        <w:rPr>
          <w:lang w:val="en"/>
        </w:rPr>
        <w:t xml:space="preserve">. </w:t>
      </w:r>
      <w:r w:rsidRPr="00A815D8">
        <w:rPr>
          <w:i/>
          <w:lang w:val="en"/>
        </w:rPr>
        <w:t>Antibodies, 8</w:t>
      </w:r>
      <w:r w:rsidRPr="00A815D8">
        <w:rPr>
          <w:lang w:val="en"/>
        </w:rPr>
        <w:t xml:space="preserve">(1), 24. </w:t>
      </w:r>
      <w:hyperlink r:id="rId26">
        <w:r w:rsidRPr="00A815D8">
          <w:rPr>
            <w:rStyle w:val="Hyperlink"/>
            <w:lang w:val="en"/>
          </w:rPr>
          <w:t>https://doi.org/10.3390/antib8010024</w:t>
        </w:r>
      </w:hyperlink>
    </w:p>
    <w:p w14:paraId="1AAA4CAE" w14:textId="77777777" w:rsidR="00D35778" w:rsidRDefault="00D35778" w:rsidP="00D35778">
      <w:pPr>
        <w:pStyle w:val="references"/>
        <w:ind w:start="17.70pt" w:hanging="17.70pt"/>
        <w:rPr>
          <w:lang w:val="en"/>
        </w:rPr>
      </w:pPr>
      <w:r w:rsidRPr="00A815D8">
        <w:rPr>
          <w:lang w:val="en"/>
        </w:rPr>
        <w:t xml:space="preserve">Nair, M., Hinds, M. G., Coley, A. M., Hodder, A. N., Foley, M., Anders, R. F., &amp; Norton, R. S. (2002). Structure of Domain III of the Blood-stage Malaria Vaccine Candidate, Plasmodium falciparum Apical Membrane Antigen 1 (AMA1). Journal of Molecular Biology, 322(4), 741–753. </w:t>
      </w:r>
      <w:hyperlink r:id="rId27">
        <w:r w:rsidRPr="00A815D8">
          <w:rPr>
            <w:rStyle w:val="Hyperlink"/>
            <w:lang w:val="en"/>
          </w:rPr>
          <w:t>https://doi.org/10.1016/s0022-2836(02)00806-9</w:t>
        </w:r>
      </w:hyperlink>
    </w:p>
    <w:p w14:paraId="124C6D2E" w14:textId="77777777" w:rsidR="00D35778" w:rsidRPr="00A815D8" w:rsidRDefault="00D35778" w:rsidP="00D35778">
      <w:pPr>
        <w:pStyle w:val="references"/>
        <w:ind w:start="17.70pt" w:hanging="17.70pt"/>
      </w:pPr>
      <w:r w:rsidRPr="00A815D8">
        <w:rPr>
          <w:lang w:val="en"/>
        </w:rPr>
        <w:t xml:space="preserve">Gauglitz, G. (2017). Analytical evaluation of sensor measurements. Analytical and Bioanalytical Chemistry, 410(1), 5–13. </w:t>
      </w:r>
      <w:hyperlink r:id="rId28">
        <w:r w:rsidRPr="00A815D8">
          <w:rPr>
            <w:rStyle w:val="Hyperlink"/>
            <w:lang w:val="en"/>
          </w:rPr>
          <w:t>https://doi.org/10.1007/s00216-017-0624-z</w:t>
        </w:r>
      </w:hyperlink>
    </w:p>
    <w:p w14:paraId="19053982" w14:textId="614BB319" w:rsidR="00D35778" w:rsidRPr="00CB759C" w:rsidRDefault="00D35778" w:rsidP="00D35778">
      <w:pPr>
        <w:pStyle w:val="references"/>
        <w:ind w:start="17.70pt" w:hanging="17.70pt"/>
        <w:rPr>
          <w:rStyle w:val="Hyperlink"/>
          <w:color w:val="auto"/>
          <w:u w:val="none"/>
        </w:rPr>
      </w:pPr>
      <w:r w:rsidRPr="00A815D8">
        <w:rPr>
          <w:lang w:val="en"/>
        </w:rPr>
        <w:t xml:space="preserve">Xu, S., Zhan, J., Man, B., Jiang, S., Yue, W., Gao, S., Guo, C., Liu, H., Li, Z., Wang, J., &amp; Zhou, Y. (2017). Real-time reliable determination of binding kinetics of DNA hybridization using a multi-channel graphene biosensor. Nature Communications, 8(1). </w:t>
      </w:r>
      <w:bookmarkEnd w:id="6"/>
    </w:p>
    <w:p w14:paraId="787BE1C0" w14:textId="77777777" w:rsidR="00D35778" w:rsidRDefault="00D35778" w:rsidP="00D35778">
      <w:pPr>
        <w:pStyle w:val="references"/>
        <w:ind w:start="17.70pt" w:hanging="17.70pt"/>
      </w:pPr>
      <w:r w:rsidRPr="00CB759C">
        <w:t xml:space="preserve">Akbari, M., Shahbazzadeh, M. J., La Spada, L., &amp; Khajehzadeh, A. (2021). The Graphene Field Effect Transistor Modeling Based on an Optimized Ambipolar Virtual Source Model for DNA Detection. Applied Sciences, 11(17), 8114. </w:t>
      </w:r>
      <w:hyperlink r:id="rId29" w:history="1">
        <w:r w:rsidRPr="003567A7">
          <w:rPr>
            <w:rStyle w:val="Hyperlink"/>
          </w:rPr>
          <w:t>https://doi.org/10.3390/app11178114</w:t>
        </w:r>
      </w:hyperlink>
    </w:p>
    <w:p w14:paraId="4390856D" w14:textId="3F014881" w:rsidR="00D35778" w:rsidRPr="00A17C5F" w:rsidRDefault="00D35778" w:rsidP="00D35778">
      <w:pPr>
        <w:pStyle w:val="references"/>
        <w:rPr>
          <w:rStyle w:val="Hyperlink"/>
          <w:color w:val="auto"/>
          <w:u w:val="none"/>
        </w:rPr>
      </w:pPr>
      <w:r w:rsidRPr="00990B3F">
        <w:t xml:space="preserve">Kwong Hong Tsang, D., Lieberthal, T. J., Watts, C., Dunlop, I. E., Ramadan, S., Del Rio Hernandez, A. E., &amp; Klein, N. (2019). Chemically Functionalised Graphene FET Biosensor for the Label-free Sensing of Exosomes. Scientific reports, 9(1), 13946. </w:t>
      </w:r>
    </w:p>
    <w:p w14:paraId="6E707663" w14:textId="061604FD" w:rsidR="00A17C5F" w:rsidRDefault="00A17C5F" w:rsidP="00D35778">
      <w:pPr>
        <w:pStyle w:val="references"/>
      </w:pPr>
      <w:r w:rsidRPr="00A17C5F">
        <w:t xml:space="preserve">Mavredakis, N., Pacheco-Sanchez, A., Sakalas, P., Wei, W., Pallecchi, E., Happy, H., &amp; Jimenez, D. (2021). Bias-Dependent intrinsic RF thermal noise modeling and characterization of Single-Layer graphene FETs. IEEE Transactions on Microwave Theory and Techniques, 69(11), 4639–4646. </w:t>
      </w:r>
      <w:hyperlink r:id="rId30" w:history="1">
        <w:r w:rsidRPr="00424900">
          <w:rPr>
            <w:rStyle w:val="Hyperlink"/>
          </w:rPr>
          <w:t>https://doi.org/10.1109/tmtt.2021.3105672</w:t>
        </w:r>
      </w:hyperlink>
    </w:p>
    <w:p w14:paraId="458648C8" w14:textId="29216C48" w:rsidR="00A17C5F" w:rsidRDefault="003A2DF1" w:rsidP="00D35778">
      <w:pPr>
        <w:pStyle w:val="references"/>
      </w:pPr>
      <w:r w:rsidRPr="003A2DF1">
        <w:t xml:space="preserve">Zhang, Y., Mendez, E. E., &amp; Du, X. (2011). Mobility-Dependent Low-Frequency noise in graphene Field-Effect transistors. ACS Nano, 5(10), 8124–8130. </w:t>
      </w:r>
      <w:hyperlink r:id="rId31" w:history="1">
        <w:r w:rsidR="007819AC" w:rsidRPr="0087622F">
          <w:rPr>
            <w:rStyle w:val="Hyperlink"/>
          </w:rPr>
          <w:t>https://doi.org/10.1021/nn202749z</w:t>
        </w:r>
      </w:hyperlink>
    </w:p>
    <w:p w14:paraId="6F40F729" w14:textId="16340B3A" w:rsidR="007819AC" w:rsidRDefault="0042240F" w:rsidP="00D35778">
      <w:pPr>
        <w:pStyle w:val="references"/>
      </w:pPr>
      <w:r w:rsidRPr="0042240F">
        <w:t>Manning, L. et al. (2011). Plasma Plasmodium falciparum histidine-rich protein-2. Clinical Infectious Diseases, 52(4), 440-445.</w:t>
      </w:r>
    </w:p>
    <w:p w14:paraId="2EFFC06E" w14:textId="5758559E" w:rsidR="0042240F" w:rsidRDefault="0042240F" w:rsidP="00D35778">
      <w:pPr>
        <w:pStyle w:val="references"/>
      </w:pPr>
      <w:r w:rsidRPr="0042240F">
        <w:t xml:space="preserve">Hemben, A., Ashley, J., &amp; Tothill, I. (2017). Development of an immunosensor for PFHRP 2 as a biomarker for malaria detection. Biosensors, 7(3), 28. </w:t>
      </w:r>
      <w:hyperlink r:id="rId32" w:history="1">
        <w:r w:rsidRPr="0087622F">
          <w:rPr>
            <w:rStyle w:val="Hyperlink"/>
          </w:rPr>
          <w:t>https://doi.org/10.3390/bios7030028</w:t>
        </w:r>
      </w:hyperlink>
    </w:p>
    <w:p w14:paraId="58BDB14F" w14:textId="3022B833" w:rsidR="0042240F" w:rsidRDefault="0030430C" w:rsidP="00D35778">
      <w:pPr>
        <w:pStyle w:val="references"/>
      </w:pPr>
      <w:r w:rsidRPr="0030430C">
        <w:t xml:space="preserve">Minopoli, A., Della Ventura, B., Lenyk, B., Gentile, F., Tanner, J. A., Offenhäusser, A., Mayer, D., &amp; Velotta, R. (2020). Ultrasensitive antibody-aptamer plasmonic biosensor for malaria biomarker detection in whole blood. Nature Communications, 11(1). </w:t>
      </w:r>
    </w:p>
    <w:p w14:paraId="574E9A2C" w14:textId="635445F1" w:rsidR="001861C8" w:rsidRDefault="001861C8" w:rsidP="001861C8">
      <w:pPr>
        <w:pStyle w:val="references"/>
      </w:pPr>
      <w:r>
        <w:t>Chen, X. et al. (2024). Modular fabrication of microfluidic graphene field-effect transistors for nucleic acids biosensing. Advanced Science, 11(30), 2401796. https://doi.org/10.1002/advs.202401796</w:t>
      </w:r>
    </w:p>
    <w:p w14:paraId="45649202" w14:textId="2C98AA12" w:rsidR="001861C8" w:rsidRDefault="001861C8" w:rsidP="001861C8">
      <w:pPr>
        <w:pStyle w:val="references"/>
      </w:pPr>
      <w:r>
        <w:t>Shao, W. et al. (2022). On-chip integrated graphene aptasensor with portable readout for fast and label-free COVID-19 detection. Sensors &amp; Diagnostics, 1(2), 322–331. https://doi.org/10.1039/D2SD00076H</w:t>
      </w:r>
    </w:p>
    <w:p w14:paraId="6C40EC4B" w14:textId="757E6942" w:rsidR="00F762E0" w:rsidRDefault="00F762E0" w:rsidP="00AD1AA9">
      <w:pPr>
        <w:pStyle w:val="references"/>
        <w:numPr>
          <w:ilvl w:val="0"/>
          <w:numId w:val="0"/>
        </w:numPr>
      </w:pPr>
    </w:p>
    <w:sectPr w:rsidR="00F762E0" w:rsidSect="00351BFD">
      <w:headerReference w:type="default" r:id="rId33"/>
      <w:footerReference w:type="default" r:id="rId3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3E4D5132" w14:textId="77777777" w:rsidR="00971445" w:rsidRDefault="00971445" w:rsidP="001A3B3D">
      <w:r>
        <w:separator/>
      </w:r>
    </w:p>
  </w:endnote>
  <w:endnote w:type="continuationSeparator" w:id="0">
    <w:p w14:paraId="64F7098D" w14:textId="77777777" w:rsidR="00971445" w:rsidRDefault="0097144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dxa"/>
      <w:tblLayout w:type="fixed"/>
      <w:tblLook w:firstRow="1" w:lastRow="0" w:firstColumn="1" w:lastColumn="0" w:noHBand="1" w:noVBand="1"/>
    </w:tblPr>
    <w:tblGrid>
      <w:gridCol w:w="3370"/>
      <w:gridCol w:w="3370"/>
      <w:gridCol w:w="3370"/>
    </w:tblGrid>
    <w:tr w:rsidR="3A8A91EA" w14:paraId="41E0295E" w14:textId="77777777" w:rsidTr="3A8A91EA">
      <w:trPr>
        <w:trHeight w:val="300"/>
      </w:trPr>
      <w:tc>
        <w:tcPr>
          <w:tcW w:w="168.50pt" w:type="dxa"/>
        </w:tcPr>
        <w:p w14:paraId="45CE1EBC" w14:textId="5C3D1FB0" w:rsidR="3A8A91EA" w:rsidRDefault="3A8A91EA" w:rsidP="3A8A91EA">
          <w:pPr>
            <w:pStyle w:val="Header"/>
            <w:ind w:start="0.25pt"/>
            <w:jc w:val="start"/>
          </w:pPr>
        </w:p>
      </w:tc>
      <w:tc>
        <w:tcPr>
          <w:tcW w:w="168.50pt" w:type="dxa"/>
        </w:tcPr>
        <w:p w14:paraId="624A84E5" w14:textId="2F146F04" w:rsidR="3A8A91EA" w:rsidRDefault="3A8A91EA" w:rsidP="3A8A91EA">
          <w:pPr>
            <w:pStyle w:val="Header"/>
          </w:pPr>
        </w:p>
      </w:tc>
      <w:tc>
        <w:tcPr>
          <w:tcW w:w="168.50pt" w:type="dxa"/>
        </w:tcPr>
        <w:p w14:paraId="689CB888" w14:textId="62E0E313" w:rsidR="3A8A91EA" w:rsidRDefault="3A8A91EA" w:rsidP="3A8A91EA">
          <w:pPr>
            <w:pStyle w:val="Header"/>
            <w:ind w:end="0.25pt"/>
            <w:jc w:val="end"/>
          </w:pPr>
        </w:p>
      </w:tc>
    </w:tr>
  </w:tbl>
  <w:p w14:paraId="7AB98E6A" w14:textId="4E5AFD48" w:rsidR="3A8A91EA" w:rsidRDefault="3A8A91EA" w:rsidP="3A8A91EA">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dxa"/>
      <w:tblLayout w:type="fixed"/>
      <w:tblLook w:firstRow="1" w:lastRow="0" w:firstColumn="1" w:lastColumn="0" w:noHBand="1" w:noVBand="1"/>
    </w:tblPr>
    <w:tblGrid>
      <w:gridCol w:w="3370"/>
      <w:gridCol w:w="3370"/>
      <w:gridCol w:w="3370"/>
    </w:tblGrid>
    <w:tr w:rsidR="3A8A91EA" w14:paraId="3F07658D" w14:textId="77777777" w:rsidTr="3A8A91EA">
      <w:trPr>
        <w:trHeight w:val="300"/>
      </w:trPr>
      <w:tc>
        <w:tcPr>
          <w:tcW w:w="168.50pt" w:type="dxa"/>
        </w:tcPr>
        <w:p w14:paraId="745F13B0" w14:textId="60B44458" w:rsidR="3A8A91EA" w:rsidRDefault="3A8A91EA" w:rsidP="3A8A91EA">
          <w:pPr>
            <w:pStyle w:val="Header"/>
            <w:ind w:start="0.25pt"/>
            <w:jc w:val="start"/>
          </w:pPr>
        </w:p>
      </w:tc>
      <w:tc>
        <w:tcPr>
          <w:tcW w:w="168.50pt" w:type="dxa"/>
        </w:tcPr>
        <w:p w14:paraId="02846E53" w14:textId="05793E9A" w:rsidR="3A8A91EA" w:rsidRDefault="3A8A91EA" w:rsidP="3A8A91EA">
          <w:pPr>
            <w:pStyle w:val="Header"/>
          </w:pPr>
        </w:p>
      </w:tc>
      <w:tc>
        <w:tcPr>
          <w:tcW w:w="168.50pt" w:type="dxa"/>
        </w:tcPr>
        <w:p w14:paraId="2BB9096B" w14:textId="10D9B942" w:rsidR="3A8A91EA" w:rsidRDefault="3A8A91EA" w:rsidP="3A8A91EA">
          <w:pPr>
            <w:pStyle w:val="Header"/>
            <w:ind w:end="0.25pt"/>
            <w:jc w:val="end"/>
          </w:pPr>
        </w:p>
      </w:tc>
    </w:tr>
  </w:tbl>
  <w:p w14:paraId="174FF6B2" w14:textId="66EC405E" w:rsidR="3A8A91EA" w:rsidRDefault="3A8A91EA" w:rsidP="3A8A91EA">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dxa"/>
      <w:tblLayout w:type="fixed"/>
      <w:tblLook w:firstRow="1" w:lastRow="0" w:firstColumn="1" w:lastColumn="0" w:noHBand="1" w:noVBand="1"/>
    </w:tblPr>
    <w:tblGrid>
      <w:gridCol w:w="3370"/>
      <w:gridCol w:w="3370"/>
      <w:gridCol w:w="3370"/>
    </w:tblGrid>
    <w:tr w:rsidR="3A8A91EA" w14:paraId="03E7B8B5" w14:textId="77777777" w:rsidTr="3A8A91EA">
      <w:trPr>
        <w:trHeight w:val="300"/>
      </w:trPr>
      <w:tc>
        <w:tcPr>
          <w:tcW w:w="168.50pt" w:type="dxa"/>
        </w:tcPr>
        <w:p w14:paraId="15D1E360" w14:textId="12457209" w:rsidR="3A8A91EA" w:rsidRDefault="3A8A91EA" w:rsidP="3A8A91EA">
          <w:pPr>
            <w:pStyle w:val="Header"/>
            <w:ind w:start="0.25pt"/>
            <w:jc w:val="start"/>
          </w:pPr>
        </w:p>
      </w:tc>
      <w:tc>
        <w:tcPr>
          <w:tcW w:w="168.50pt" w:type="dxa"/>
        </w:tcPr>
        <w:p w14:paraId="048B0296" w14:textId="151F5D9C" w:rsidR="3A8A91EA" w:rsidRDefault="3A8A91EA" w:rsidP="3A8A91EA">
          <w:pPr>
            <w:pStyle w:val="Header"/>
          </w:pPr>
        </w:p>
      </w:tc>
      <w:tc>
        <w:tcPr>
          <w:tcW w:w="168.50pt" w:type="dxa"/>
        </w:tcPr>
        <w:p w14:paraId="4D101F75" w14:textId="40EAFEDF" w:rsidR="3A8A91EA" w:rsidRDefault="3A8A91EA" w:rsidP="3A8A91EA">
          <w:pPr>
            <w:pStyle w:val="Header"/>
            <w:ind w:end="0.25pt"/>
            <w:jc w:val="end"/>
          </w:pPr>
        </w:p>
      </w:tc>
    </w:tr>
  </w:tbl>
  <w:p w14:paraId="5E07D15A" w14:textId="1551FBF2" w:rsidR="3A8A91EA" w:rsidRDefault="3A8A91EA" w:rsidP="3A8A91EA">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267C4BB" w14:textId="77777777" w:rsidR="00971445" w:rsidRDefault="00971445" w:rsidP="001A3B3D">
      <w:r>
        <w:separator/>
      </w:r>
    </w:p>
  </w:footnote>
  <w:footnote w:type="continuationSeparator" w:id="0">
    <w:p w14:paraId="1655B894" w14:textId="77777777" w:rsidR="00971445" w:rsidRDefault="00971445"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dxa"/>
      <w:tblLayout w:type="fixed"/>
      <w:tblLook w:firstRow="1" w:lastRow="0" w:firstColumn="1" w:lastColumn="0" w:noHBand="1" w:noVBand="1"/>
    </w:tblPr>
    <w:tblGrid>
      <w:gridCol w:w="3370"/>
      <w:gridCol w:w="3370"/>
      <w:gridCol w:w="3370"/>
    </w:tblGrid>
    <w:tr w:rsidR="3A8A91EA" w14:paraId="5AAAF3FE" w14:textId="77777777" w:rsidTr="3A8A91EA">
      <w:trPr>
        <w:trHeight w:val="300"/>
      </w:trPr>
      <w:tc>
        <w:tcPr>
          <w:tcW w:w="168.50pt" w:type="dxa"/>
        </w:tcPr>
        <w:p w14:paraId="4046EAC0" w14:textId="12CD7B11" w:rsidR="3A8A91EA" w:rsidRDefault="3A8A91EA" w:rsidP="3A8A91EA">
          <w:pPr>
            <w:pStyle w:val="Header"/>
            <w:ind w:start="0.25pt"/>
            <w:jc w:val="start"/>
          </w:pPr>
        </w:p>
      </w:tc>
      <w:tc>
        <w:tcPr>
          <w:tcW w:w="168.50pt" w:type="dxa"/>
        </w:tcPr>
        <w:p w14:paraId="14B003E7" w14:textId="76420A2F" w:rsidR="3A8A91EA" w:rsidRDefault="3A8A91EA" w:rsidP="3A8A91EA">
          <w:pPr>
            <w:pStyle w:val="Header"/>
          </w:pPr>
        </w:p>
      </w:tc>
      <w:tc>
        <w:tcPr>
          <w:tcW w:w="168.50pt" w:type="dxa"/>
        </w:tcPr>
        <w:p w14:paraId="7854184C" w14:textId="1C40ED98" w:rsidR="3A8A91EA" w:rsidRDefault="3A8A91EA" w:rsidP="3A8A91EA">
          <w:pPr>
            <w:pStyle w:val="Header"/>
            <w:ind w:end="0.25pt"/>
            <w:jc w:val="end"/>
          </w:pPr>
        </w:p>
      </w:tc>
    </w:tr>
  </w:tbl>
  <w:p w14:paraId="4542DDE5" w14:textId="353D34B8" w:rsidR="3A8A91EA" w:rsidRDefault="3A8A91EA" w:rsidP="3A8A91EA">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dxa"/>
      <w:tblLayout w:type="fixed"/>
      <w:tblLook w:firstRow="1" w:lastRow="0" w:firstColumn="1" w:lastColumn="0" w:noHBand="1" w:noVBand="1"/>
    </w:tblPr>
    <w:tblGrid>
      <w:gridCol w:w="3370"/>
      <w:gridCol w:w="3370"/>
      <w:gridCol w:w="3370"/>
    </w:tblGrid>
    <w:tr w:rsidR="3A8A91EA" w14:paraId="5DA0D06D" w14:textId="77777777" w:rsidTr="3A8A91EA">
      <w:trPr>
        <w:trHeight w:val="300"/>
      </w:trPr>
      <w:tc>
        <w:tcPr>
          <w:tcW w:w="168.50pt" w:type="dxa"/>
        </w:tcPr>
        <w:p w14:paraId="07177BFF" w14:textId="384CD4C6" w:rsidR="3A8A91EA" w:rsidRDefault="3A8A91EA" w:rsidP="3A8A91EA">
          <w:pPr>
            <w:pStyle w:val="Header"/>
            <w:ind w:start="0.25pt"/>
            <w:jc w:val="start"/>
          </w:pPr>
        </w:p>
      </w:tc>
      <w:tc>
        <w:tcPr>
          <w:tcW w:w="168.50pt" w:type="dxa"/>
        </w:tcPr>
        <w:p w14:paraId="22B4E7C3" w14:textId="0A37E3A8" w:rsidR="3A8A91EA" w:rsidRDefault="3A8A91EA" w:rsidP="3A8A91EA">
          <w:pPr>
            <w:pStyle w:val="Header"/>
          </w:pPr>
        </w:p>
      </w:tc>
      <w:tc>
        <w:tcPr>
          <w:tcW w:w="168.50pt" w:type="dxa"/>
        </w:tcPr>
        <w:p w14:paraId="72869208" w14:textId="2529B45A" w:rsidR="3A8A91EA" w:rsidRDefault="3A8A91EA" w:rsidP="3A8A91EA">
          <w:pPr>
            <w:pStyle w:val="Header"/>
            <w:ind w:end="0.25pt"/>
            <w:jc w:val="end"/>
          </w:pPr>
        </w:p>
      </w:tc>
    </w:tr>
  </w:tbl>
  <w:p w14:paraId="0E7C2A6B" w14:textId="6AE08FF5" w:rsidR="3A8A91EA" w:rsidRDefault="3A8A91EA" w:rsidP="3A8A91EA">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0pt" w:type="dxa"/>
      <w:tblLayout w:type="fixed"/>
      <w:tblLook w:firstRow="1" w:lastRow="0" w:firstColumn="1" w:lastColumn="0" w:noHBand="1" w:noVBand="1"/>
    </w:tblPr>
    <w:tblGrid>
      <w:gridCol w:w="3370"/>
      <w:gridCol w:w="3370"/>
      <w:gridCol w:w="3370"/>
    </w:tblGrid>
    <w:tr w:rsidR="3A8A91EA" w14:paraId="7D0CB5FA" w14:textId="77777777" w:rsidTr="3A8A91EA">
      <w:trPr>
        <w:trHeight w:val="300"/>
      </w:trPr>
      <w:tc>
        <w:tcPr>
          <w:tcW w:w="168.50pt" w:type="dxa"/>
        </w:tcPr>
        <w:p w14:paraId="3BD4DEB8" w14:textId="0D19B098" w:rsidR="3A8A91EA" w:rsidRDefault="3A8A91EA" w:rsidP="3A8A91EA">
          <w:pPr>
            <w:pStyle w:val="Header"/>
            <w:ind w:start="0.25pt"/>
            <w:jc w:val="start"/>
          </w:pPr>
        </w:p>
      </w:tc>
      <w:tc>
        <w:tcPr>
          <w:tcW w:w="168.50pt" w:type="dxa"/>
        </w:tcPr>
        <w:p w14:paraId="0446CB21" w14:textId="04A1CD34" w:rsidR="3A8A91EA" w:rsidRDefault="3A8A91EA" w:rsidP="3A8A91EA">
          <w:pPr>
            <w:pStyle w:val="Header"/>
          </w:pPr>
        </w:p>
      </w:tc>
      <w:tc>
        <w:tcPr>
          <w:tcW w:w="168.50pt" w:type="dxa"/>
        </w:tcPr>
        <w:p w14:paraId="68D88B64" w14:textId="0C685F75" w:rsidR="3A8A91EA" w:rsidRDefault="3A8A91EA" w:rsidP="3A8A91EA">
          <w:pPr>
            <w:pStyle w:val="Header"/>
            <w:ind w:end="0.25pt"/>
            <w:jc w:val="end"/>
          </w:pPr>
        </w:p>
      </w:tc>
    </w:tr>
  </w:tbl>
  <w:p w14:paraId="4923DBD1" w14:textId="7FA1114B" w:rsidR="3A8A91EA" w:rsidRDefault="3A8A91EA" w:rsidP="3A8A91EA">
    <w:pPr>
      <w:pStyle w:val="Header"/>
    </w:pPr>
  </w:p>
</w:hdr>
</file>

<file path=word/intelligence2.xml><?xml version="1.0" encoding="utf-8"?>
<int2:intelligence xmlns:int2="http://schemas.microsoft.com/office/intelligence/2020/intelligence" xmlns:oel="http://schemas.microsoft.com/office/2019/extlst">
  <int2:observations>
    <int2:textHash int2:hashCode="ge7Fm0c5x+EHzC" int2:id="K7NWPBDV">
      <int2:state int2:value="Rejected" int2:type="spell"/>
    </int2:textHash>
    <int2:textHash int2:hashCode="/O8Pi1Rs9+TvgB" int2:id="j4EPyp1p">
      <int2:state int2:value="Rejected" int2:type="spell"/>
    </int2:textHash>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783CD1"/>
    <w:multiLevelType w:val="hybridMultilevel"/>
    <w:tmpl w:val="40A08778"/>
    <w:lvl w:ilvl="0" w:tplc="95A2D97C">
      <w:start w:val="1"/>
      <w:numFmt w:val="lowerLetter"/>
      <w:lvlText w:val="(%1)"/>
      <w:lvlJc w:val="start"/>
      <w:pPr>
        <w:ind w:start="18pt" w:hanging="18pt"/>
      </w:pPr>
    </w:lvl>
    <w:lvl w:ilvl="1" w:tplc="F9BE8504">
      <w:start w:val="1"/>
      <w:numFmt w:val="lowerLetter"/>
      <w:lvlText w:val="%2."/>
      <w:lvlJc w:val="start"/>
      <w:pPr>
        <w:ind w:start="54pt" w:hanging="18pt"/>
      </w:pPr>
    </w:lvl>
    <w:lvl w:ilvl="2" w:tplc="7478C382">
      <w:start w:val="1"/>
      <w:numFmt w:val="lowerRoman"/>
      <w:lvlText w:val="%3."/>
      <w:lvlJc w:val="end"/>
      <w:pPr>
        <w:ind w:start="90pt" w:hanging="9pt"/>
      </w:pPr>
    </w:lvl>
    <w:lvl w:ilvl="3" w:tplc="E6700236">
      <w:start w:val="1"/>
      <w:numFmt w:val="decimal"/>
      <w:lvlText w:val="%4."/>
      <w:lvlJc w:val="start"/>
      <w:pPr>
        <w:ind w:start="126pt" w:hanging="18pt"/>
      </w:pPr>
    </w:lvl>
    <w:lvl w:ilvl="4" w:tplc="25022358">
      <w:start w:val="1"/>
      <w:numFmt w:val="lowerLetter"/>
      <w:lvlText w:val="%5."/>
      <w:lvlJc w:val="start"/>
      <w:pPr>
        <w:ind w:start="162pt" w:hanging="18pt"/>
      </w:pPr>
    </w:lvl>
    <w:lvl w:ilvl="5" w:tplc="3320C4CC">
      <w:start w:val="1"/>
      <w:numFmt w:val="lowerRoman"/>
      <w:lvlText w:val="%6."/>
      <w:lvlJc w:val="end"/>
      <w:pPr>
        <w:ind w:start="198pt" w:hanging="9pt"/>
      </w:pPr>
    </w:lvl>
    <w:lvl w:ilvl="6" w:tplc="62F2656E">
      <w:start w:val="1"/>
      <w:numFmt w:val="decimal"/>
      <w:lvlText w:val="%7."/>
      <w:lvlJc w:val="start"/>
      <w:pPr>
        <w:ind w:start="234pt" w:hanging="18pt"/>
      </w:pPr>
    </w:lvl>
    <w:lvl w:ilvl="7" w:tplc="9D068BD4">
      <w:start w:val="1"/>
      <w:numFmt w:val="lowerLetter"/>
      <w:lvlText w:val="%8."/>
      <w:lvlJc w:val="start"/>
      <w:pPr>
        <w:ind w:start="270pt" w:hanging="18pt"/>
      </w:pPr>
    </w:lvl>
    <w:lvl w:ilvl="8" w:tplc="BEE84F14">
      <w:start w:val="1"/>
      <w:numFmt w:val="lowerRoman"/>
      <w:lvlText w:val="%9."/>
      <w:lvlJc w:val="end"/>
      <w:pPr>
        <w:ind w:start="306pt" w:hanging="9pt"/>
      </w:pPr>
    </w:lvl>
  </w:abstractNum>
  <w:abstractNum w:abstractNumId="12" w15:restartNumberingAfterBreak="0">
    <w:nsid w:val="0AFEA914"/>
    <w:multiLevelType w:val="hybridMultilevel"/>
    <w:tmpl w:val="D0500F9C"/>
    <w:lvl w:ilvl="0" w:tplc="3AC05C3E">
      <w:start w:val="1"/>
      <w:numFmt w:val="bullet"/>
      <w:lvlText w:val=""/>
      <w:lvlJc w:val="start"/>
      <w:pPr>
        <w:ind w:start="18pt" w:hanging="18pt"/>
      </w:pPr>
      <w:rPr>
        <w:rFonts w:ascii="Symbol" w:hAnsi="Symbol" w:hint="default"/>
      </w:rPr>
    </w:lvl>
    <w:lvl w:ilvl="1" w:tplc="3FD6891E">
      <w:start w:val="1"/>
      <w:numFmt w:val="bullet"/>
      <w:lvlText w:val="o"/>
      <w:lvlJc w:val="start"/>
      <w:pPr>
        <w:ind w:start="54pt" w:hanging="18pt"/>
      </w:pPr>
      <w:rPr>
        <w:rFonts w:ascii="Courier New" w:hAnsi="Courier New" w:hint="default"/>
      </w:rPr>
    </w:lvl>
    <w:lvl w:ilvl="2" w:tplc="D37236CE">
      <w:start w:val="1"/>
      <w:numFmt w:val="bullet"/>
      <w:lvlText w:val=""/>
      <w:lvlJc w:val="start"/>
      <w:pPr>
        <w:ind w:start="90pt" w:hanging="18pt"/>
      </w:pPr>
      <w:rPr>
        <w:rFonts w:ascii="Wingdings" w:hAnsi="Wingdings" w:hint="default"/>
      </w:rPr>
    </w:lvl>
    <w:lvl w:ilvl="3" w:tplc="0BA4E104">
      <w:start w:val="1"/>
      <w:numFmt w:val="bullet"/>
      <w:lvlText w:val=""/>
      <w:lvlJc w:val="start"/>
      <w:pPr>
        <w:ind w:start="126pt" w:hanging="18pt"/>
      </w:pPr>
      <w:rPr>
        <w:rFonts w:ascii="Symbol" w:hAnsi="Symbol" w:hint="default"/>
      </w:rPr>
    </w:lvl>
    <w:lvl w:ilvl="4" w:tplc="1B98E2EC">
      <w:start w:val="1"/>
      <w:numFmt w:val="bullet"/>
      <w:lvlText w:val="o"/>
      <w:lvlJc w:val="start"/>
      <w:pPr>
        <w:ind w:start="162pt" w:hanging="18pt"/>
      </w:pPr>
      <w:rPr>
        <w:rFonts w:ascii="Courier New" w:hAnsi="Courier New" w:hint="default"/>
      </w:rPr>
    </w:lvl>
    <w:lvl w:ilvl="5" w:tplc="15E44C28">
      <w:start w:val="1"/>
      <w:numFmt w:val="bullet"/>
      <w:lvlText w:val=""/>
      <w:lvlJc w:val="start"/>
      <w:pPr>
        <w:ind w:start="198pt" w:hanging="18pt"/>
      </w:pPr>
      <w:rPr>
        <w:rFonts w:ascii="Wingdings" w:hAnsi="Wingdings" w:hint="default"/>
      </w:rPr>
    </w:lvl>
    <w:lvl w:ilvl="6" w:tplc="203038C4">
      <w:start w:val="1"/>
      <w:numFmt w:val="bullet"/>
      <w:lvlText w:val=""/>
      <w:lvlJc w:val="start"/>
      <w:pPr>
        <w:ind w:start="234pt" w:hanging="18pt"/>
      </w:pPr>
      <w:rPr>
        <w:rFonts w:ascii="Symbol" w:hAnsi="Symbol" w:hint="default"/>
      </w:rPr>
    </w:lvl>
    <w:lvl w:ilvl="7" w:tplc="2C38DF66">
      <w:start w:val="1"/>
      <w:numFmt w:val="bullet"/>
      <w:lvlText w:val="o"/>
      <w:lvlJc w:val="start"/>
      <w:pPr>
        <w:ind w:start="270pt" w:hanging="18pt"/>
      </w:pPr>
      <w:rPr>
        <w:rFonts w:ascii="Courier New" w:hAnsi="Courier New" w:hint="default"/>
      </w:rPr>
    </w:lvl>
    <w:lvl w:ilvl="8" w:tplc="EE0AB904">
      <w:start w:val="1"/>
      <w:numFmt w:val="bullet"/>
      <w:lvlText w:val=""/>
      <w:lvlJc w:val="start"/>
      <w:pPr>
        <w:ind w:start="306pt" w:hanging="18pt"/>
      </w:pPr>
      <w:rPr>
        <w:rFonts w:ascii="Wingdings" w:hAnsi="Wingdings" w:hint="default"/>
      </w:rPr>
    </w:lvl>
  </w:abstractNum>
  <w:abstractNum w:abstractNumId="13" w15:restartNumberingAfterBreak="0">
    <w:nsid w:val="0D948FB2"/>
    <w:multiLevelType w:val="hybridMultilevel"/>
    <w:tmpl w:val="6F046B9C"/>
    <w:lvl w:ilvl="0" w:tplc="A1C0F2EC">
      <w:start w:val="1"/>
      <w:numFmt w:val="upperRoman"/>
      <w:lvlText w:val="TABLE %1. "/>
      <w:lvlJc w:val="start"/>
      <w:pPr>
        <w:ind w:start="36pt" w:hanging="18pt"/>
      </w:pPr>
    </w:lvl>
    <w:lvl w:ilvl="1" w:tplc="F9A856C2">
      <w:start w:val="1"/>
      <w:numFmt w:val="lowerLetter"/>
      <w:lvlText w:val="%2."/>
      <w:lvlJc w:val="start"/>
      <w:pPr>
        <w:ind w:start="72pt" w:hanging="18pt"/>
      </w:pPr>
    </w:lvl>
    <w:lvl w:ilvl="2" w:tplc="B3D81B20">
      <w:start w:val="1"/>
      <w:numFmt w:val="lowerRoman"/>
      <w:lvlText w:val="%3."/>
      <w:lvlJc w:val="end"/>
      <w:pPr>
        <w:ind w:start="108pt" w:hanging="9pt"/>
      </w:pPr>
    </w:lvl>
    <w:lvl w:ilvl="3" w:tplc="10226A16">
      <w:start w:val="1"/>
      <w:numFmt w:val="decimal"/>
      <w:lvlText w:val="%4."/>
      <w:lvlJc w:val="start"/>
      <w:pPr>
        <w:ind w:start="144pt" w:hanging="18pt"/>
      </w:pPr>
    </w:lvl>
    <w:lvl w:ilvl="4" w:tplc="4F8AB838">
      <w:start w:val="1"/>
      <w:numFmt w:val="lowerLetter"/>
      <w:lvlText w:val="%5."/>
      <w:lvlJc w:val="start"/>
      <w:pPr>
        <w:ind w:start="180pt" w:hanging="18pt"/>
      </w:pPr>
    </w:lvl>
    <w:lvl w:ilvl="5" w:tplc="BA18D1E0">
      <w:start w:val="1"/>
      <w:numFmt w:val="lowerRoman"/>
      <w:lvlText w:val="%6."/>
      <w:lvlJc w:val="end"/>
      <w:pPr>
        <w:ind w:start="216pt" w:hanging="9pt"/>
      </w:pPr>
    </w:lvl>
    <w:lvl w:ilvl="6" w:tplc="3828E4A6">
      <w:start w:val="1"/>
      <w:numFmt w:val="decimal"/>
      <w:lvlText w:val="%7."/>
      <w:lvlJc w:val="start"/>
      <w:pPr>
        <w:ind w:start="252pt" w:hanging="18pt"/>
      </w:pPr>
    </w:lvl>
    <w:lvl w:ilvl="7" w:tplc="5C14F716">
      <w:start w:val="1"/>
      <w:numFmt w:val="lowerLetter"/>
      <w:lvlText w:val="%8."/>
      <w:lvlJc w:val="start"/>
      <w:pPr>
        <w:ind w:start="288pt" w:hanging="18pt"/>
      </w:pPr>
    </w:lvl>
    <w:lvl w:ilvl="8" w:tplc="BFBC0308">
      <w:start w:val="1"/>
      <w:numFmt w:val="lowerRoman"/>
      <w:lvlText w:val="%9."/>
      <w:lvlJc w:val="end"/>
      <w:pPr>
        <w:ind w:start="324pt" w:hanging="9pt"/>
      </w:pPr>
    </w:lvl>
  </w:abstractNum>
  <w:abstractNum w:abstractNumId="14" w15:restartNumberingAfterBreak="0">
    <w:nsid w:val="0FA4C002"/>
    <w:multiLevelType w:val="hybridMultilevel"/>
    <w:tmpl w:val="E46206CC"/>
    <w:lvl w:ilvl="0" w:tplc="47A61BAE">
      <w:start w:val="1"/>
      <w:numFmt w:val="decimal"/>
      <w:lvlText w:val="Fig. %1."/>
      <w:lvlJc w:val="start"/>
      <w:pPr>
        <w:ind w:start="0pt" w:hanging="18pt"/>
      </w:pPr>
      <w:rPr>
        <w:sz w:val="16"/>
        <w:szCs w:val="16"/>
      </w:rPr>
    </w:lvl>
    <w:lvl w:ilvl="1" w:tplc="47A61BAE">
      <w:start w:val="1"/>
      <w:numFmt w:val="decimal"/>
      <w:lvlText w:val="Fig. %2."/>
      <w:lvlJc w:val="start"/>
      <w:pPr>
        <w:ind w:start="36pt" w:hanging="18pt"/>
      </w:pPr>
      <w:rPr>
        <w:sz w:val="16"/>
        <w:szCs w:val="16"/>
      </w:rPr>
    </w:lvl>
    <w:lvl w:ilvl="2" w:tplc="F758A106">
      <w:start w:val="1"/>
      <w:numFmt w:val="lowerRoman"/>
      <w:lvlText w:val="%3."/>
      <w:lvlJc w:val="end"/>
      <w:pPr>
        <w:ind w:start="72pt" w:hanging="9pt"/>
      </w:pPr>
    </w:lvl>
    <w:lvl w:ilvl="3" w:tplc="D0C48FD0">
      <w:start w:val="1"/>
      <w:numFmt w:val="decimal"/>
      <w:lvlText w:val="%4."/>
      <w:lvlJc w:val="start"/>
      <w:pPr>
        <w:ind w:start="108pt" w:hanging="18pt"/>
      </w:pPr>
    </w:lvl>
    <w:lvl w:ilvl="4" w:tplc="8A380C26">
      <w:start w:val="1"/>
      <w:numFmt w:val="lowerLetter"/>
      <w:lvlText w:val="%5."/>
      <w:lvlJc w:val="start"/>
      <w:pPr>
        <w:ind w:start="144pt" w:hanging="18pt"/>
      </w:pPr>
    </w:lvl>
    <w:lvl w:ilvl="5" w:tplc="60703E0C">
      <w:start w:val="1"/>
      <w:numFmt w:val="lowerRoman"/>
      <w:lvlText w:val="%6."/>
      <w:lvlJc w:val="end"/>
      <w:pPr>
        <w:ind w:start="180pt" w:hanging="9pt"/>
      </w:pPr>
    </w:lvl>
    <w:lvl w:ilvl="6" w:tplc="DF88F7F6">
      <w:start w:val="1"/>
      <w:numFmt w:val="decimal"/>
      <w:lvlText w:val="%7."/>
      <w:lvlJc w:val="start"/>
      <w:pPr>
        <w:ind w:start="216pt" w:hanging="18pt"/>
      </w:pPr>
    </w:lvl>
    <w:lvl w:ilvl="7" w:tplc="1E760AD4">
      <w:start w:val="1"/>
      <w:numFmt w:val="lowerLetter"/>
      <w:lvlText w:val="%8."/>
      <w:lvlJc w:val="start"/>
      <w:pPr>
        <w:ind w:start="252pt" w:hanging="18pt"/>
      </w:pPr>
    </w:lvl>
    <w:lvl w:ilvl="8" w:tplc="AD4489BE">
      <w:start w:val="1"/>
      <w:numFmt w:val="lowerRoman"/>
      <w:lvlText w:val="%9."/>
      <w:lvlJc w:val="end"/>
      <w:pPr>
        <w:ind w:start="288pt" w:hanging="9pt"/>
      </w:pPr>
    </w:lvl>
  </w:abstractNum>
  <w:abstractNum w:abstractNumId="15" w15:restartNumberingAfterBreak="0">
    <w:nsid w:val="12C7F14E"/>
    <w:multiLevelType w:val="hybridMultilevel"/>
    <w:tmpl w:val="2D9E7744"/>
    <w:lvl w:ilvl="0" w:tplc="DD8616C8">
      <w:start w:val="1"/>
      <w:numFmt w:val="lowerLetter"/>
      <w:lvlText w:val="%1."/>
      <w:lvlJc w:val="end"/>
      <w:pPr>
        <w:ind w:start="20.90pt" w:hanging="18pt"/>
      </w:pPr>
      <w:rPr>
        <w:rFonts w:ascii="Times New Roman" w:hAnsi="Times New Roman" w:hint="default"/>
      </w:rPr>
    </w:lvl>
    <w:lvl w:ilvl="1" w:tplc="5F36262E">
      <w:start w:val="1"/>
      <w:numFmt w:val="lowerLetter"/>
      <w:lvlText w:val="%2."/>
      <w:lvlJc w:val="start"/>
      <w:pPr>
        <w:ind w:start="72pt" w:hanging="18pt"/>
      </w:pPr>
    </w:lvl>
    <w:lvl w:ilvl="2" w:tplc="F91E86B0">
      <w:start w:val="1"/>
      <w:numFmt w:val="lowerRoman"/>
      <w:lvlText w:val="%3."/>
      <w:lvlJc w:val="end"/>
      <w:pPr>
        <w:ind w:start="108pt" w:hanging="9pt"/>
      </w:pPr>
    </w:lvl>
    <w:lvl w:ilvl="3" w:tplc="9A6217EA">
      <w:start w:val="1"/>
      <w:numFmt w:val="decimal"/>
      <w:lvlText w:val="%4."/>
      <w:lvlJc w:val="start"/>
      <w:pPr>
        <w:ind w:start="144pt" w:hanging="18pt"/>
      </w:pPr>
    </w:lvl>
    <w:lvl w:ilvl="4" w:tplc="EC60AA40">
      <w:start w:val="1"/>
      <w:numFmt w:val="lowerLetter"/>
      <w:lvlText w:val="%5."/>
      <w:lvlJc w:val="start"/>
      <w:pPr>
        <w:ind w:start="180pt" w:hanging="18pt"/>
      </w:pPr>
    </w:lvl>
    <w:lvl w:ilvl="5" w:tplc="0CA2F9FC">
      <w:start w:val="1"/>
      <w:numFmt w:val="lowerRoman"/>
      <w:lvlText w:val="%6."/>
      <w:lvlJc w:val="end"/>
      <w:pPr>
        <w:ind w:start="216pt" w:hanging="9pt"/>
      </w:pPr>
    </w:lvl>
    <w:lvl w:ilvl="6" w:tplc="F968BC40">
      <w:start w:val="1"/>
      <w:numFmt w:val="decimal"/>
      <w:lvlText w:val="%7."/>
      <w:lvlJc w:val="start"/>
      <w:pPr>
        <w:ind w:start="252pt" w:hanging="18pt"/>
      </w:pPr>
    </w:lvl>
    <w:lvl w:ilvl="7" w:tplc="7444BAD2">
      <w:start w:val="1"/>
      <w:numFmt w:val="lowerLetter"/>
      <w:lvlText w:val="%8."/>
      <w:lvlJc w:val="start"/>
      <w:pPr>
        <w:ind w:start="288pt" w:hanging="18pt"/>
      </w:pPr>
    </w:lvl>
    <w:lvl w:ilvl="8" w:tplc="838655A6">
      <w:start w:val="1"/>
      <w:numFmt w:val="lowerRoman"/>
      <w:lvlText w:val="%9."/>
      <w:lvlJc w:val="end"/>
      <w:pPr>
        <w:ind w:start="324pt" w:hanging="9pt"/>
      </w:pPr>
    </w:lvl>
  </w:abstractNum>
  <w:abstractNum w:abstractNumId="16" w15:restartNumberingAfterBreak="0">
    <w:nsid w:val="1A1B46E9"/>
    <w:multiLevelType w:val="hybridMultilevel"/>
    <w:tmpl w:val="0E88CE1C"/>
    <w:lvl w:ilvl="0" w:tplc="86B2FC8E">
      <w:start w:val="1"/>
      <w:numFmt w:val="decimal"/>
      <w:lvlText w:val="Fig. %1."/>
      <w:lvlJc w:val="start"/>
      <w:pPr>
        <w:ind w:start="50.40pt" w:hanging="18pt"/>
      </w:pPr>
    </w:lvl>
    <w:lvl w:ilvl="1" w:tplc="9692C5F2">
      <w:start w:val="1"/>
      <w:numFmt w:val="lowerLetter"/>
      <w:lvlText w:val="%2."/>
      <w:lvlJc w:val="start"/>
      <w:pPr>
        <w:ind w:start="86.40pt" w:hanging="18pt"/>
      </w:pPr>
    </w:lvl>
    <w:lvl w:ilvl="2" w:tplc="58FC4370">
      <w:start w:val="1"/>
      <w:numFmt w:val="lowerRoman"/>
      <w:lvlText w:val="%3."/>
      <w:lvlJc w:val="end"/>
      <w:pPr>
        <w:ind w:start="122.40pt" w:hanging="9pt"/>
      </w:pPr>
    </w:lvl>
    <w:lvl w:ilvl="3" w:tplc="7970230A">
      <w:start w:val="1"/>
      <w:numFmt w:val="decimal"/>
      <w:lvlText w:val="%4."/>
      <w:lvlJc w:val="start"/>
      <w:pPr>
        <w:ind w:start="158.40pt" w:hanging="18pt"/>
      </w:pPr>
    </w:lvl>
    <w:lvl w:ilvl="4" w:tplc="A3104B6E">
      <w:start w:val="1"/>
      <w:numFmt w:val="lowerLetter"/>
      <w:lvlText w:val="%5."/>
      <w:lvlJc w:val="start"/>
      <w:pPr>
        <w:ind w:start="194.40pt" w:hanging="18pt"/>
      </w:pPr>
    </w:lvl>
    <w:lvl w:ilvl="5" w:tplc="3A5AEBF2">
      <w:start w:val="1"/>
      <w:numFmt w:val="lowerRoman"/>
      <w:lvlText w:val="%6."/>
      <w:lvlJc w:val="end"/>
      <w:pPr>
        <w:ind w:start="230.40pt" w:hanging="9pt"/>
      </w:pPr>
    </w:lvl>
    <w:lvl w:ilvl="6" w:tplc="4F8C0916">
      <w:start w:val="1"/>
      <w:numFmt w:val="decimal"/>
      <w:lvlText w:val="%7."/>
      <w:lvlJc w:val="start"/>
      <w:pPr>
        <w:ind w:start="266.40pt" w:hanging="18pt"/>
      </w:pPr>
    </w:lvl>
    <w:lvl w:ilvl="7" w:tplc="CEF076DE">
      <w:start w:val="1"/>
      <w:numFmt w:val="lowerLetter"/>
      <w:lvlText w:val="%8."/>
      <w:lvlJc w:val="start"/>
      <w:pPr>
        <w:ind w:start="302.40pt" w:hanging="18pt"/>
      </w:pPr>
    </w:lvl>
    <w:lvl w:ilvl="8" w:tplc="9168AFA0">
      <w:start w:val="1"/>
      <w:numFmt w:val="lowerRoman"/>
      <w:lvlText w:val="%9."/>
      <w:lvlJc w:val="end"/>
      <w:pPr>
        <w:ind w:start="338.40pt" w:hanging="9pt"/>
      </w:pPr>
    </w:lvl>
  </w:abstractNum>
  <w:abstractNum w:abstractNumId="17" w15:restartNumberingAfterBreak="0">
    <w:nsid w:val="1DE74EF6"/>
    <w:multiLevelType w:val="hybridMultilevel"/>
    <w:tmpl w:val="908EFB0C"/>
    <w:lvl w:ilvl="0" w:tplc="8E8ABE84">
      <w:start w:val="1"/>
      <w:numFmt w:val="upperRoman"/>
      <w:lvlText w:val="TABLE %1. "/>
      <w:lvlJc w:val="start"/>
      <w:pPr>
        <w:ind w:start="36pt" w:hanging="18pt"/>
      </w:pPr>
      <w:rPr>
        <w:rFonts w:ascii="Times New Roman" w:hAnsi="Times New Roman" w:hint="default"/>
      </w:rPr>
    </w:lvl>
    <w:lvl w:ilvl="1" w:tplc="8604EFDE">
      <w:start w:val="1"/>
      <w:numFmt w:val="lowerLetter"/>
      <w:lvlText w:val="%2."/>
      <w:lvlJc w:val="start"/>
      <w:pPr>
        <w:ind w:start="72pt" w:hanging="18pt"/>
      </w:pPr>
    </w:lvl>
    <w:lvl w:ilvl="2" w:tplc="D2C8F404">
      <w:start w:val="1"/>
      <w:numFmt w:val="lowerRoman"/>
      <w:lvlText w:val="%3."/>
      <w:lvlJc w:val="end"/>
      <w:pPr>
        <w:ind w:start="108pt" w:hanging="9pt"/>
      </w:pPr>
    </w:lvl>
    <w:lvl w:ilvl="3" w:tplc="BDB8DE98">
      <w:start w:val="1"/>
      <w:numFmt w:val="decimal"/>
      <w:lvlText w:val="%4."/>
      <w:lvlJc w:val="start"/>
      <w:pPr>
        <w:ind w:start="144pt" w:hanging="18pt"/>
      </w:pPr>
    </w:lvl>
    <w:lvl w:ilvl="4" w:tplc="10503C40">
      <w:start w:val="1"/>
      <w:numFmt w:val="lowerLetter"/>
      <w:lvlText w:val="%5."/>
      <w:lvlJc w:val="start"/>
      <w:pPr>
        <w:ind w:start="180pt" w:hanging="18pt"/>
      </w:pPr>
    </w:lvl>
    <w:lvl w:ilvl="5" w:tplc="C6E26164">
      <w:start w:val="1"/>
      <w:numFmt w:val="lowerRoman"/>
      <w:lvlText w:val="%6."/>
      <w:lvlJc w:val="end"/>
      <w:pPr>
        <w:ind w:start="216pt" w:hanging="9pt"/>
      </w:pPr>
    </w:lvl>
    <w:lvl w:ilvl="6" w:tplc="95767788">
      <w:start w:val="1"/>
      <w:numFmt w:val="decimal"/>
      <w:lvlText w:val="%7."/>
      <w:lvlJc w:val="start"/>
      <w:pPr>
        <w:ind w:start="252pt" w:hanging="18pt"/>
      </w:pPr>
    </w:lvl>
    <w:lvl w:ilvl="7" w:tplc="0EF637A8">
      <w:start w:val="1"/>
      <w:numFmt w:val="lowerLetter"/>
      <w:lvlText w:val="%8."/>
      <w:lvlJc w:val="start"/>
      <w:pPr>
        <w:ind w:start="288pt" w:hanging="18pt"/>
      </w:pPr>
    </w:lvl>
    <w:lvl w:ilvl="8" w:tplc="B7A6D9A4">
      <w:start w:val="1"/>
      <w:numFmt w:val="lowerRoman"/>
      <w:lvlText w:val="%9."/>
      <w:lvlJc w:val="end"/>
      <w:pPr>
        <w:ind w:start="324pt" w:hanging="9pt"/>
      </w:pPr>
    </w:lvl>
  </w:abstractNum>
  <w:abstractNum w:abstractNumId="18"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9"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1948A68"/>
    <w:multiLevelType w:val="hybridMultilevel"/>
    <w:tmpl w:val="5E8EEA72"/>
    <w:lvl w:ilvl="0" w:tplc="BE6247B0">
      <w:start w:val="1"/>
      <w:numFmt w:val="upperRoman"/>
      <w:lvlText w:val="TABLE %1. "/>
      <w:lvlJc w:val="start"/>
      <w:pPr>
        <w:ind w:start="18pt" w:hanging="18pt"/>
      </w:pPr>
    </w:lvl>
    <w:lvl w:ilvl="1" w:tplc="BE3A6B92">
      <w:start w:val="1"/>
      <w:numFmt w:val="lowerLetter"/>
      <w:lvlText w:val="%2."/>
      <w:lvlJc w:val="start"/>
      <w:pPr>
        <w:ind w:start="54pt" w:hanging="18pt"/>
      </w:pPr>
    </w:lvl>
    <w:lvl w:ilvl="2" w:tplc="2D8EE8F2">
      <w:start w:val="1"/>
      <w:numFmt w:val="lowerRoman"/>
      <w:lvlText w:val="%3."/>
      <w:lvlJc w:val="end"/>
      <w:pPr>
        <w:ind w:start="90pt" w:hanging="9pt"/>
      </w:pPr>
    </w:lvl>
    <w:lvl w:ilvl="3" w:tplc="15D02EE8">
      <w:start w:val="1"/>
      <w:numFmt w:val="decimal"/>
      <w:lvlText w:val="%4."/>
      <w:lvlJc w:val="start"/>
      <w:pPr>
        <w:ind w:start="126pt" w:hanging="18pt"/>
      </w:pPr>
    </w:lvl>
    <w:lvl w:ilvl="4" w:tplc="E76A5530">
      <w:start w:val="1"/>
      <w:numFmt w:val="lowerLetter"/>
      <w:lvlText w:val="%5."/>
      <w:lvlJc w:val="start"/>
      <w:pPr>
        <w:ind w:start="162pt" w:hanging="18pt"/>
      </w:pPr>
    </w:lvl>
    <w:lvl w:ilvl="5" w:tplc="6E424398">
      <w:start w:val="1"/>
      <w:numFmt w:val="lowerRoman"/>
      <w:lvlText w:val="%6."/>
      <w:lvlJc w:val="end"/>
      <w:pPr>
        <w:ind w:start="198pt" w:hanging="9pt"/>
      </w:pPr>
    </w:lvl>
    <w:lvl w:ilvl="6" w:tplc="823CCD28">
      <w:start w:val="1"/>
      <w:numFmt w:val="decimal"/>
      <w:lvlText w:val="%7."/>
      <w:lvlJc w:val="start"/>
      <w:pPr>
        <w:ind w:start="234pt" w:hanging="18pt"/>
      </w:pPr>
    </w:lvl>
    <w:lvl w:ilvl="7" w:tplc="375E99FC">
      <w:start w:val="1"/>
      <w:numFmt w:val="lowerLetter"/>
      <w:lvlText w:val="%8."/>
      <w:lvlJc w:val="start"/>
      <w:pPr>
        <w:ind w:start="270pt" w:hanging="18pt"/>
      </w:pPr>
    </w:lvl>
    <w:lvl w:ilvl="8" w:tplc="EB06F782">
      <w:start w:val="1"/>
      <w:numFmt w:val="lowerRoman"/>
      <w:lvlText w:val="%9."/>
      <w:lvlJc w:val="end"/>
      <w:pPr>
        <w:ind w:start="306pt" w:hanging="9pt"/>
      </w:pPr>
    </w:lvl>
  </w:abstractNum>
  <w:abstractNum w:abstractNumId="21"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29000EE9"/>
    <w:multiLevelType w:val="hybridMultilevel"/>
    <w:tmpl w:val="CCB493CA"/>
    <w:lvl w:ilvl="0" w:tplc="114E35E0">
      <w:start w:val="1"/>
      <w:numFmt w:val="decimal"/>
      <w:lvlText w:val="Fig. %1."/>
      <w:lvlJc w:val="start"/>
      <w:pPr>
        <w:ind w:start="32.40pt" w:hanging="18pt"/>
      </w:pPr>
    </w:lvl>
    <w:lvl w:ilvl="1" w:tplc="47A04852">
      <w:start w:val="1"/>
      <w:numFmt w:val="lowerLetter"/>
      <w:lvlText w:val="%2."/>
      <w:lvlJc w:val="start"/>
      <w:pPr>
        <w:ind w:start="68.40pt" w:hanging="18pt"/>
      </w:pPr>
    </w:lvl>
    <w:lvl w:ilvl="2" w:tplc="BDA25FA2">
      <w:start w:val="1"/>
      <w:numFmt w:val="lowerRoman"/>
      <w:lvlText w:val="%3."/>
      <w:lvlJc w:val="end"/>
      <w:pPr>
        <w:ind w:start="104.40pt" w:hanging="9pt"/>
      </w:pPr>
    </w:lvl>
    <w:lvl w:ilvl="3" w:tplc="5F7C964A">
      <w:start w:val="1"/>
      <w:numFmt w:val="decimal"/>
      <w:lvlText w:val="%4."/>
      <w:lvlJc w:val="start"/>
      <w:pPr>
        <w:ind w:start="140.40pt" w:hanging="18pt"/>
      </w:pPr>
    </w:lvl>
    <w:lvl w:ilvl="4" w:tplc="FC669DB6">
      <w:start w:val="1"/>
      <w:numFmt w:val="lowerLetter"/>
      <w:lvlText w:val="%5."/>
      <w:lvlJc w:val="start"/>
      <w:pPr>
        <w:ind w:start="176.40pt" w:hanging="18pt"/>
      </w:pPr>
    </w:lvl>
    <w:lvl w:ilvl="5" w:tplc="E6B09524">
      <w:start w:val="1"/>
      <w:numFmt w:val="lowerRoman"/>
      <w:lvlText w:val="%6."/>
      <w:lvlJc w:val="end"/>
      <w:pPr>
        <w:ind w:start="212.40pt" w:hanging="9pt"/>
      </w:pPr>
    </w:lvl>
    <w:lvl w:ilvl="6" w:tplc="0CCEA5E8">
      <w:start w:val="1"/>
      <w:numFmt w:val="decimal"/>
      <w:lvlText w:val="%7."/>
      <w:lvlJc w:val="start"/>
      <w:pPr>
        <w:ind w:start="248.40pt" w:hanging="18pt"/>
      </w:pPr>
    </w:lvl>
    <w:lvl w:ilvl="7" w:tplc="4392BB4A">
      <w:start w:val="1"/>
      <w:numFmt w:val="lowerLetter"/>
      <w:lvlText w:val="%8."/>
      <w:lvlJc w:val="start"/>
      <w:pPr>
        <w:ind w:start="284.40pt" w:hanging="18pt"/>
      </w:pPr>
    </w:lvl>
    <w:lvl w:ilvl="8" w:tplc="B6206F3C">
      <w:start w:val="1"/>
      <w:numFmt w:val="lowerRoman"/>
      <w:lvlText w:val="%9."/>
      <w:lvlJc w:val="end"/>
      <w:pPr>
        <w:ind w:start="320.40pt" w:hanging="9pt"/>
      </w:pPr>
    </w:lvl>
  </w:abstractNum>
  <w:abstractNum w:abstractNumId="23" w15:restartNumberingAfterBreak="0">
    <w:nsid w:val="32C12D2D"/>
    <w:multiLevelType w:val="hybridMultilevel"/>
    <w:tmpl w:val="70E69A06"/>
    <w:lvl w:ilvl="0" w:tplc="7A50AEBA">
      <w:start w:val="1"/>
      <w:numFmt w:val="decimal"/>
      <w:lvlText w:val="Fig. %1."/>
      <w:lvlJc w:val="start"/>
      <w:pPr>
        <w:ind w:start="18pt" w:hanging="18pt"/>
      </w:pPr>
    </w:lvl>
    <w:lvl w:ilvl="1" w:tplc="8E0001DA">
      <w:start w:val="1"/>
      <w:numFmt w:val="lowerLetter"/>
      <w:lvlText w:val="%2."/>
      <w:lvlJc w:val="start"/>
      <w:pPr>
        <w:ind w:start="54pt" w:hanging="18pt"/>
      </w:pPr>
    </w:lvl>
    <w:lvl w:ilvl="2" w:tplc="7442984E">
      <w:start w:val="1"/>
      <w:numFmt w:val="lowerRoman"/>
      <w:lvlText w:val="%3."/>
      <w:lvlJc w:val="end"/>
      <w:pPr>
        <w:ind w:start="90pt" w:hanging="9pt"/>
      </w:pPr>
    </w:lvl>
    <w:lvl w:ilvl="3" w:tplc="62363386">
      <w:start w:val="1"/>
      <w:numFmt w:val="decimal"/>
      <w:lvlText w:val="%4."/>
      <w:lvlJc w:val="start"/>
      <w:pPr>
        <w:ind w:start="126pt" w:hanging="18pt"/>
      </w:pPr>
    </w:lvl>
    <w:lvl w:ilvl="4" w:tplc="E6BC54D0">
      <w:start w:val="1"/>
      <w:numFmt w:val="lowerLetter"/>
      <w:lvlText w:val="%5."/>
      <w:lvlJc w:val="start"/>
      <w:pPr>
        <w:ind w:start="162pt" w:hanging="18pt"/>
      </w:pPr>
    </w:lvl>
    <w:lvl w:ilvl="5" w:tplc="01402C40">
      <w:start w:val="1"/>
      <w:numFmt w:val="lowerRoman"/>
      <w:lvlText w:val="%6."/>
      <w:lvlJc w:val="end"/>
      <w:pPr>
        <w:ind w:start="198pt" w:hanging="9pt"/>
      </w:pPr>
    </w:lvl>
    <w:lvl w:ilvl="6" w:tplc="091484E8">
      <w:start w:val="1"/>
      <w:numFmt w:val="decimal"/>
      <w:lvlText w:val="%7."/>
      <w:lvlJc w:val="start"/>
      <w:pPr>
        <w:ind w:start="234pt" w:hanging="18pt"/>
      </w:pPr>
    </w:lvl>
    <w:lvl w:ilvl="7" w:tplc="3952815C">
      <w:start w:val="1"/>
      <w:numFmt w:val="lowerLetter"/>
      <w:lvlText w:val="%8."/>
      <w:lvlJc w:val="start"/>
      <w:pPr>
        <w:ind w:start="270pt" w:hanging="18pt"/>
      </w:pPr>
    </w:lvl>
    <w:lvl w:ilvl="8" w:tplc="4C62DC2C">
      <w:start w:val="1"/>
      <w:numFmt w:val="lowerRoman"/>
      <w:lvlText w:val="%9."/>
      <w:lvlJc w:val="end"/>
      <w:pPr>
        <w:ind w:start="306pt" w:hanging="9pt"/>
      </w:pPr>
    </w:lvl>
  </w:abstractNum>
  <w:abstractNum w:abstractNumId="2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6" w15:restartNumberingAfterBreak="0">
    <w:nsid w:val="3A4E1248"/>
    <w:multiLevelType w:val="hybridMultilevel"/>
    <w:tmpl w:val="225A2A1A"/>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8" w15:restartNumberingAfterBreak="0">
    <w:nsid w:val="42520029"/>
    <w:multiLevelType w:val="hybridMultilevel"/>
    <w:tmpl w:val="B936FB80"/>
    <w:lvl w:ilvl="0" w:tplc="04090011">
      <w:start w:val="1"/>
      <w:numFmt w:val="decimal"/>
      <w:lvlText w:val="%1)"/>
      <w:lvlJc w:val="start"/>
      <w:pPr>
        <w:ind w:start="18pt" w:hanging="18pt"/>
      </w:p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29" w15:restartNumberingAfterBreak="0">
    <w:nsid w:val="470061CC"/>
    <w:multiLevelType w:val="hybridMultilevel"/>
    <w:tmpl w:val="7DE41280"/>
    <w:lvl w:ilvl="0" w:tplc="204C5484">
      <w:start w:val="1"/>
      <w:numFmt w:val="upperRoman"/>
      <w:lvlText w:val="TABLE %1. "/>
      <w:lvlJc w:val="end"/>
      <w:pPr>
        <w:ind w:start="54pt" w:hanging="18pt"/>
      </w:pPr>
    </w:lvl>
    <w:lvl w:ilvl="1" w:tplc="B80884CC">
      <w:start w:val="1"/>
      <w:numFmt w:val="lowerLetter"/>
      <w:lvlText w:val="%2."/>
      <w:lvlJc w:val="start"/>
      <w:pPr>
        <w:ind w:start="90pt" w:hanging="18pt"/>
      </w:pPr>
    </w:lvl>
    <w:lvl w:ilvl="2" w:tplc="F0DA6516">
      <w:start w:val="1"/>
      <w:numFmt w:val="lowerRoman"/>
      <w:lvlText w:val="%3."/>
      <w:lvlJc w:val="end"/>
      <w:pPr>
        <w:ind w:start="126pt" w:hanging="9pt"/>
      </w:pPr>
    </w:lvl>
    <w:lvl w:ilvl="3" w:tplc="90CC6B12">
      <w:start w:val="1"/>
      <w:numFmt w:val="decimal"/>
      <w:lvlText w:val="%4."/>
      <w:lvlJc w:val="start"/>
      <w:pPr>
        <w:ind w:start="162pt" w:hanging="18pt"/>
      </w:pPr>
    </w:lvl>
    <w:lvl w:ilvl="4" w:tplc="20B6355E">
      <w:start w:val="1"/>
      <w:numFmt w:val="lowerLetter"/>
      <w:lvlText w:val="%5."/>
      <w:lvlJc w:val="start"/>
      <w:pPr>
        <w:ind w:start="198pt" w:hanging="18pt"/>
      </w:pPr>
    </w:lvl>
    <w:lvl w:ilvl="5" w:tplc="C4D26950">
      <w:start w:val="1"/>
      <w:numFmt w:val="lowerRoman"/>
      <w:lvlText w:val="%6."/>
      <w:lvlJc w:val="end"/>
      <w:pPr>
        <w:ind w:start="234pt" w:hanging="9pt"/>
      </w:pPr>
    </w:lvl>
    <w:lvl w:ilvl="6" w:tplc="AA7A8912">
      <w:start w:val="1"/>
      <w:numFmt w:val="decimal"/>
      <w:lvlText w:val="%7."/>
      <w:lvlJc w:val="start"/>
      <w:pPr>
        <w:ind w:start="270pt" w:hanging="18pt"/>
      </w:pPr>
    </w:lvl>
    <w:lvl w:ilvl="7" w:tplc="053E76F6">
      <w:start w:val="1"/>
      <w:numFmt w:val="lowerLetter"/>
      <w:lvlText w:val="%8."/>
      <w:lvlJc w:val="start"/>
      <w:pPr>
        <w:ind w:start="306pt" w:hanging="18pt"/>
      </w:pPr>
    </w:lvl>
    <w:lvl w:ilvl="8" w:tplc="4C9098D0">
      <w:start w:val="1"/>
      <w:numFmt w:val="lowerRoman"/>
      <w:lvlText w:val="%9."/>
      <w:lvlJc w:val="end"/>
      <w:pPr>
        <w:ind w:start="342pt" w:hanging="9pt"/>
      </w:pPr>
    </w:lvl>
  </w:abstractNum>
  <w:abstractNum w:abstractNumId="3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2" w15:restartNumberingAfterBreak="0">
    <w:nsid w:val="61077DF0"/>
    <w:multiLevelType w:val="hybridMultilevel"/>
    <w:tmpl w:val="9724C8AC"/>
    <w:lvl w:ilvl="0" w:tplc="E3B2A90E">
      <w:start w:val="1"/>
      <w:numFmt w:val="upperRoman"/>
      <w:lvlText w:val="TABLE %1. "/>
      <w:lvlJc w:val="end"/>
      <w:pPr>
        <w:ind w:start="36pt" w:hanging="18pt"/>
      </w:pPr>
    </w:lvl>
    <w:lvl w:ilvl="1" w:tplc="0010A7C4">
      <w:start w:val="1"/>
      <w:numFmt w:val="lowerLetter"/>
      <w:lvlText w:val="%2."/>
      <w:lvlJc w:val="start"/>
      <w:pPr>
        <w:ind w:start="72pt" w:hanging="18pt"/>
      </w:pPr>
    </w:lvl>
    <w:lvl w:ilvl="2" w:tplc="8B769A9C">
      <w:start w:val="1"/>
      <w:numFmt w:val="lowerRoman"/>
      <w:lvlText w:val="%3."/>
      <w:lvlJc w:val="end"/>
      <w:pPr>
        <w:ind w:start="108pt" w:hanging="9pt"/>
      </w:pPr>
    </w:lvl>
    <w:lvl w:ilvl="3" w:tplc="B7B89610">
      <w:start w:val="1"/>
      <w:numFmt w:val="decimal"/>
      <w:lvlText w:val="%4."/>
      <w:lvlJc w:val="start"/>
      <w:pPr>
        <w:ind w:start="144pt" w:hanging="18pt"/>
      </w:pPr>
    </w:lvl>
    <w:lvl w:ilvl="4" w:tplc="8DBA973A">
      <w:start w:val="1"/>
      <w:numFmt w:val="lowerLetter"/>
      <w:lvlText w:val="%5."/>
      <w:lvlJc w:val="start"/>
      <w:pPr>
        <w:ind w:start="180pt" w:hanging="18pt"/>
      </w:pPr>
    </w:lvl>
    <w:lvl w:ilvl="5" w:tplc="018CB3D4">
      <w:start w:val="1"/>
      <w:numFmt w:val="lowerRoman"/>
      <w:lvlText w:val="%6."/>
      <w:lvlJc w:val="end"/>
      <w:pPr>
        <w:ind w:start="216pt" w:hanging="9pt"/>
      </w:pPr>
    </w:lvl>
    <w:lvl w:ilvl="6" w:tplc="61020902">
      <w:start w:val="1"/>
      <w:numFmt w:val="decimal"/>
      <w:lvlText w:val="%7."/>
      <w:lvlJc w:val="start"/>
      <w:pPr>
        <w:ind w:start="252pt" w:hanging="18pt"/>
      </w:pPr>
    </w:lvl>
    <w:lvl w:ilvl="7" w:tplc="F3BABAD0">
      <w:start w:val="1"/>
      <w:numFmt w:val="lowerLetter"/>
      <w:lvlText w:val="%8."/>
      <w:lvlJc w:val="start"/>
      <w:pPr>
        <w:ind w:start="288pt" w:hanging="18pt"/>
      </w:pPr>
    </w:lvl>
    <w:lvl w:ilvl="8" w:tplc="2D627DB2">
      <w:start w:val="1"/>
      <w:numFmt w:val="lowerRoman"/>
      <w:lvlText w:val="%9."/>
      <w:lvlJc w:val="end"/>
      <w:pPr>
        <w:ind w:start="324pt" w:hanging="9pt"/>
      </w:pPr>
    </w:lvl>
  </w:abstractNum>
  <w:abstractNum w:abstractNumId="33" w15:restartNumberingAfterBreak="0">
    <w:nsid w:val="633EED5E"/>
    <w:multiLevelType w:val="hybridMultilevel"/>
    <w:tmpl w:val="C48240A8"/>
    <w:lvl w:ilvl="0" w:tplc="DFA2FBF6">
      <w:start w:val="1"/>
      <w:numFmt w:val="upperRoman"/>
      <w:lvlText w:val="TABLE %1. "/>
      <w:lvlJc w:val="start"/>
      <w:pPr>
        <w:ind w:start="18pt" w:hanging="18pt"/>
      </w:pPr>
    </w:lvl>
    <w:lvl w:ilvl="1" w:tplc="BC7A2240">
      <w:start w:val="1"/>
      <w:numFmt w:val="lowerLetter"/>
      <w:lvlText w:val="%2."/>
      <w:lvlJc w:val="start"/>
      <w:pPr>
        <w:ind w:start="54pt" w:hanging="18pt"/>
      </w:pPr>
    </w:lvl>
    <w:lvl w:ilvl="2" w:tplc="3BF45CDE">
      <w:start w:val="1"/>
      <w:numFmt w:val="lowerRoman"/>
      <w:lvlText w:val="%3."/>
      <w:lvlJc w:val="end"/>
      <w:pPr>
        <w:ind w:start="90pt" w:hanging="9pt"/>
      </w:pPr>
    </w:lvl>
    <w:lvl w:ilvl="3" w:tplc="2C681578">
      <w:start w:val="1"/>
      <w:numFmt w:val="decimal"/>
      <w:lvlText w:val="%4."/>
      <w:lvlJc w:val="start"/>
      <w:pPr>
        <w:ind w:start="126pt" w:hanging="18pt"/>
      </w:pPr>
    </w:lvl>
    <w:lvl w:ilvl="4" w:tplc="E744DB2A">
      <w:start w:val="1"/>
      <w:numFmt w:val="lowerLetter"/>
      <w:lvlText w:val="%5."/>
      <w:lvlJc w:val="start"/>
      <w:pPr>
        <w:ind w:start="162pt" w:hanging="18pt"/>
      </w:pPr>
    </w:lvl>
    <w:lvl w:ilvl="5" w:tplc="64EAC256">
      <w:start w:val="1"/>
      <w:numFmt w:val="lowerRoman"/>
      <w:lvlText w:val="%6."/>
      <w:lvlJc w:val="end"/>
      <w:pPr>
        <w:ind w:start="198pt" w:hanging="9pt"/>
      </w:pPr>
    </w:lvl>
    <w:lvl w:ilvl="6" w:tplc="E29C3F40">
      <w:start w:val="1"/>
      <w:numFmt w:val="decimal"/>
      <w:lvlText w:val="%7."/>
      <w:lvlJc w:val="start"/>
      <w:pPr>
        <w:ind w:start="234pt" w:hanging="18pt"/>
      </w:pPr>
    </w:lvl>
    <w:lvl w:ilvl="7" w:tplc="C9FE9CAA">
      <w:start w:val="1"/>
      <w:numFmt w:val="lowerLetter"/>
      <w:lvlText w:val="%8."/>
      <w:lvlJc w:val="start"/>
      <w:pPr>
        <w:ind w:start="270pt" w:hanging="18pt"/>
      </w:pPr>
    </w:lvl>
    <w:lvl w:ilvl="8" w:tplc="D41CBCEE">
      <w:start w:val="1"/>
      <w:numFmt w:val="lowerRoman"/>
      <w:lvlText w:val="%9."/>
      <w:lvlJc w:val="end"/>
      <w:pPr>
        <w:ind w:start="306pt" w:hanging="9pt"/>
      </w:pPr>
    </w:lvl>
  </w:abstractNum>
  <w:abstractNum w:abstractNumId="34" w15:restartNumberingAfterBreak="0">
    <w:nsid w:val="66C31ED9"/>
    <w:multiLevelType w:val="hybridMultilevel"/>
    <w:tmpl w:val="41641C1C"/>
    <w:lvl w:ilvl="0" w:tplc="0C6E2D44">
      <w:start w:val="1"/>
      <w:numFmt w:val="upperRoman"/>
      <w:pStyle w:val="tablehead"/>
      <w:lvlText w:val="TABLE %1. "/>
      <w:lvlJc w:val="center"/>
      <w:pPr>
        <w:ind w:start="36pt" w:hanging="18pt"/>
      </w:pPr>
      <w:rPr>
        <w:rFonts w:hint="default"/>
        <w:b w:val="0"/>
        <w:bCs w:val="0"/>
        <w:i w:val="0"/>
        <w:iCs w:val="0"/>
        <w:sz w:val="16"/>
        <w:szCs w:val="16"/>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6" w15:restartNumberingAfterBreak="0">
    <w:nsid w:val="6CD32DA8"/>
    <w:multiLevelType w:val="singleLevel"/>
    <w:tmpl w:val="2BBA0DE6"/>
    <w:lvl w:ilvl="0">
      <w:start w:val="1"/>
      <w:numFmt w:val="upperRoman"/>
      <w:lvlText w:val="TABLE %1. "/>
      <w:lvlJc w:val="center"/>
      <w:pPr>
        <w:ind w:start="36pt" w:hanging="18pt"/>
      </w:pPr>
      <w:rPr>
        <w:rFonts w:hint="default"/>
        <w:b w:val="0"/>
        <w:bCs w:val="0"/>
        <w:i w:val="0"/>
        <w:iCs w:val="0"/>
        <w:sz w:val="16"/>
        <w:szCs w:val="16"/>
      </w:rPr>
    </w:lvl>
  </w:abstractNum>
  <w:num w:numId="1" w16cid:durableId="1220896823">
    <w:abstractNumId w:val="11"/>
  </w:num>
  <w:num w:numId="2" w16cid:durableId="2033873649">
    <w:abstractNumId w:val="32"/>
  </w:num>
  <w:num w:numId="3" w16cid:durableId="44836559">
    <w:abstractNumId w:val="20"/>
  </w:num>
  <w:num w:numId="4" w16cid:durableId="1899591319">
    <w:abstractNumId w:val="33"/>
  </w:num>
  <w:num w:numId="5" w16cid:durableId="829516845">
    <w:abstractNumId w:val="12"/>
  </w:num>
  <w:num w:numId="6" w16cid:durableId="1477382234">
    <w:abstractNumId w:val="14"/>
  </w:num>
  <w:num w:numId="7" w16cid:durableId="433941325">
    <w:abstractNumId w:val="22"/>
  </w:num>
  <w:num w:numId="8" w16cid:durableId="2119597625">
    <w:abstractNumId w:val="29"/>
  </w:num>
  <w:num w:numId="9" w16cid:durableId="1774545364">
    <w:abstractNumId w:val="13"/>
  </w:num>
  <w:num w:numId="10" w16cid:durableId="1529296674">
    <w:abstractNumId w:val="15"/>
  </w:num>
  <w:num w:numId="11" w16cid:durableId="1200243831">
    <w:abstractNumId w:val="17"/>
  </w:num>
  <w:num w:numId="12" w16cid:durableId="646275943">
    <w:abstractNumId w:val="23"/>
  </w:num>
  <w:num w:numId="13" w16cid:durableId="382752163">
    <w:abstractNumId w:val="16"/>
  </w:num>
  <w:num w:numId="14" w16cid:durableId="1369909383">
    <w:abstractNumId w:val="24"/>
  </w:num>
  <w:num w:numId="15" w16cid:durableId="568543031">
    <w:abstractNumId w:val="35"/>
  </w:num>
  <w:num w:numId="16" w16cid:durableId="1207790780">
    <w:abstractNumId w:val="21"/>
  </w:num>
  <w:num w:numId="17" w16cid:durableId="629168631">
    <w:abstractNumId w:val="27"/>
  </w:num>
  <w:num w:numId="18" w16cid:durableId="1032806882">
    <w:abstractNumId w:val="27"/>
  </w:num>
  <w:num w:numId="19" w16cid:durableId="1614826021">
    <w:abstractNumId w:val="27"/>
  </w:num>
  <w:num w:numId="20" w16cid:durableId="1871990542">
    <w:abstractNumId w:val="27"/>
  </w:num>
  <w:num w:numId="21" w16cid:durableId="2088458160">
    <w:abstractNumId w:val="31"/>
  </w:num>
  <w:num w:numId="22" w16cid:durableId="231694775">
    <w:abstractNumId w:val="36"/>
  </w:num>
  <w:num w:numId="23" w16cid:durableId="2126189682">
    <w:abstractNumId w:val="25"/>
  </w:num>
  <w:num w:numId="24" w16cid:durableId="771515552">
    <w:abstractNumId w:val="19"/>
  </w:num>
  <w:num w:numId="25" w16cid:durableId="1603688421">
    <w:abstractNumId w:val="18"/>
  </w:num>
  <w:num w:numId="26" w16cid:durableId="308025467">
    <w:abstractNumId w:val="0"/>
  </w:num>
  <w:num w:numId="27" w16cid:durableId="915015855">
    <w:abstractNumId w:val="10"/>
  </w:num>
  <w:num w:numId="28" w16cid:durableId="124853704">
    <w:abstractNumId w:val="8"/>
  </w:num>
  <w:num w:numId="29" w16cid:durableId="378433823">
    <w:abstractNumId w:val="7"/>
  </w:num>
  <w:num w:numId="30" w16cid:durableId="178550123">
    <w:abstractNumId w:val="6"/>
  </w:num>
  <w:num w:numId="31" w16cid:durableId="1882938436">
    <w:abstractNumId w:val="5"/>
  </w:num>
  <w:num w:numId="32" w16cid:durableId="1292051459">
    <w:abstractNumId w:val="9"/>
  </w:num>
  <w:num w:numId="33" w16cid:durableId="439644133">
    <w:abstractNumId w:val="4"/>
  </w:num>
  <w:num w:numId="34" w16cid:durableId="277882354">
    <w:abstractNumId w:val="3"/>
  </w:num>
  <w:num w:numId="35" w16cid:durableId="85808594">
    <w:abstractNumId w:val="2"/>
  </w:num>
  <w:num w:numId="36" w16cid:durableId="306714086">
    <w:abstractNumId w:val="1"/>
  </w:num>
  <w:num w:numId="37" w16cid:durableId="276639338">
    <w:abstractNumId w:val="30"/>
  </w:num>
  <w:num w:numId="38" w16cid:durableId="1408917455">
    <w:abstractNumId w:val="28"/>
  </w:num>
  <w:num w:numId="39" w16cid:durableId="444157494">
    <w:abstractNumId w:val="26"/>
  </w:num>
  <w:num w:numId="40" w16cid:durableId="1479028421">
    <w:abstractNumId w:val="36"/>
    <w:lvlOverride w:ilvl="0">
      <w:startOverride w:val="1"/>
    </w:lvlOverride>
  </w:num>
  <w:num w:numId="41" w16cid:durableId="1582251096">
    <w:abstractNumId w:val="36"/>
    <w:lvlOverride w:ilvl="0">
      <w:startOverride w:val="1"/>
    </w:lvlOverride>
  </w:num>
  <w:num w:numId="42" w16cid:durableId="488711904">
    <w:abstractNumId w:val="36"/>
    <w:lvlOverride w:ilvl="0">
      <w:startOverride w:val="1"/>
    </w:lvlOverride>
  </w:num>
  <w:num w:numId="43" w16cid:durableId="1776443738">
    <w:abstractNumId w:val="36"/>
    <w:lvlOverride w:ilvl="0">
      <w:startOverride w:val="1"/>
    </w:lvlOverride>
  </w:num>
  <w:num w:numId="44" w16cid:durableId="392773094">
    <w:abstractNumId w:val="3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48C"/>
    <w:rsid w:val="00027195"/>
    <w:rsid w:val="00036360"/>
    <w:rsid w:val="00045ED6"/>
    <w:rsid w:val="0004781E"/>
    <w:rsid w:val="0006504B"/>
    <w:rsid w:val="0008758A"/>
    <w:rsid w:val="000909E5"/>
    <w:rsid w:val="0009493F"/>
    <w:rsid w:val="000C1E68"/>
    <w:rsid w:val="000C7050"/>
    <w:rsid w:val="00111C7E"/>
    <w:rsid w:val="00115E6E"/>
    <w:rsid w:val="00135A05"/>
    <w:rsid w:val="00136D4A"/>
    <w:rsid w:val="00162FBD"/>
    <w:rsid w:val="001861C8"/>
    <w:rsid w:val="001A2EFD"/>
    <w:rsid w:val="001A3B3D"/>
    <w:rsid w:val="001B3581"/>
    <w:rsid w:val="001B5718"/>
    <w:rsid w:val="001B67DC"/>
    <w:rsid w:val="001C0188"/>
    <w:rsid w:val="001E718B"/>
    <w:rsid w:val="001F04E9"/>
    <w:rsid w:val="001F179B"/>
    <w:rsid w:val="002254A9"/>
    <w:rsid w:val="00233D97"/>
    <w:rsid w:val="002347A2"/>
    <w:rsid w:val="00271650"/>
    <w:rsid w:val="002850E3"/>
    <w:rsid w:val="002A1ABB"/>
    <w:rsid w:val="002B1F00"/>
    <w:rsid w:val="002D03EC"/>
    <w:rsid w:val="002E4DE9"/>
    <w:rsid w:val="002F2E8E"/>
    <w:rsid w:val="002F494D"/>
    <w:rsid w:val="0030430C"/>
    <w:rsid w:val="00351BFD"/>
    <w:rsid w:val="00354FCF"/>
    <w:rsid w:val="00360453"/>
    <w:rsid w:val="003A08AC"/>
    <w:rsid w:val="003A19E2"/>
    <w:rsid w:val="003A1D68"/>
    <w:rsid w:val="003A2DF1"/>
    <w:rsid w:val="003A6808"/>
    <w:rsid w:val="003B1583"/>
    <w:rsid w:val="003B2B40"/>
    <w:rsid w:val="003B4E04"/>
    <w:rsid w:val="003B75BD"/>
    <w:rsid w:val="003C0590"/>
    <w:rsid w:val="003D497D"/>
    <w:rsid w:val="003E6095"/>
    <w:rsid w:val="003F5A08"/>
    <w:rsid w:val="003F6429"/>
    <w:rsid w:val="003F7552"/>
    <w:rsid w:val="00401618"/>
    <w:rsid w:val="0041470F"/>
    <w:rsid w:val="00420716"/>
    <w:rsid w:val="0042240F"/>
    <w:rsid w:val="004325FB"/>
    <w:rsid w:val="004432BA"/>
    <w:rsid w:val="0044407E"/>
    <w:rsid w:val="004450BD"/>
    <w:rsid w:val="00447BB9"/>
    <w:rsid w:val="00451D2C"/>
    <w:rsid w:val="0046031D"/>
    <w:rsid w:val="00473AC9"/>
    <w:rsid w:val="0048728D"/>
    <w:rsid w:val="0049691E"/>
    <w:rsid w:val="004A3B17"/>
    <w:rsid w:val="004B1055"/>
    <w:rsid w:val="004C4C38"/>
    <w:rsid w:val="004D09F0"/>
    <w:rsid w:val="004D72B5"/>
    <w:rsid w:val="005030A8"/>
    <w:rsid w:val="005158CC"/>
    <w:rsid w:val="00527D91"/>
    <w:rsid w:val="00531764"/>
    <w:rsid w:val="00536D99"/>
    <w:rsid w:val="00542395"/>
    <w:rsid w:val="005456D0"/>
    <w:rsid w:val="00551B7F"/>
    <w:rsid w:val="0056610F"/>
    <w:rsid w:val="00567B07"/>
    <w:rsid w:val="00575BCA"/>
    <w:rsid w:val="00577EB0"/>
    <w:rsid w:val="00581149"/>
    <w:rsid w:val="005A5A5E"/>
    <w:rsid w:val="005AFB31"/>
    <w:rsid w:val="005B0344"/>
    <w:rsid w:val="005B520E"/>
    <w:rsid w:val="005C4A38"/>
    <w:rsid w:val="005C7E5C"/>
    <w:rsid w:val="005E2800"/>
    <w:rsid w:val="00605825"/>
    <w:rsid w:val="0063159D"/>
    <w:rsid w:val="00645D22"/>
    <w:rsid w:val="00651A08"/>
    <w:rsid w:val="00654204"/>
    <w:rsid w:val="00656736"/>
    <w:rsid w:val="0066748A"/>
    <w:rsid w:val="00670434"/>
    <w:rsid w:val="006A5D82"/>
    <w:rsid w:val="006B6B66"/>
    <w:rsid w:val="006C2BE1"/>
    <w:rsid w:val="006F6D3D"/>
    <w:rsid w:val="006F7EA1"/>
    <w:rsid w:val="0071002B"/>
    <w:rsid w:val="00715BEA"/>
    <w:rsid w:val="00721BA9"/>
    <w:rsid w:val="00740EEA"/>
    <w:rsid w:val="007538D2"/>
    <w:rsid w:val="00756F4A"/>
    <w:rsid w:val="00761AC8"/>
    <w:rsid w:val="0076699B"/>
    <w:rsid w:val="007819AC"/>
    <w:rsid w:val="00786B36"/>
    <w:rsid w:val="00794804"/>
    <w:rsid w:val="00794D79"/>
    <w:rsid w:val="00797AEB"/>
    <w:rsid w:val="007A6DFD"/>
    <w:rsid w:val="007B33F1"/>
    <w:rsid w:val="007B6DDA"/>
    <w:rsid w:val="007C0308"/>
    <w:rsid w:val="007C2FF2"/>
    <w:rsid w:val="007D2971"/>
    <w:rsid w:val="007D3ADD"/>
    <w:rsid w:val="007D6232"/>
    <w:rsid w:val="007F1F99"/>
    <w:rsid w:val="007F768F"/>
    <w:rsid w:val="0080791D"/>
    <w:rsid w:val="008147B5"/>
    <w:rsid w:val="00821BD0"/>
    <w:rsid w:val="00835018"/>
    <w:rsid w:val="00836367"/>
    <w:rsid w:val="0087002B"/>
    <w:rsid w:val="00873603"/>
    <w:rsid w:val="00877B09"/>
    <w:rsid w:val="008A2C7D"/>
    <w:rsid w:val="008A5E61"/>
    <w:rsid w:val="008B6524"/>
    <w:rsid w:val="008C4B23"/>
    <w:rsid w:val="008D681D"/>
    <w:rsid w:val="008E7BB0"/>
    <w:rsid w:val="008F512C"/>
    <w:rsid w:val="008F5466"/>
    <w:rsid w:val="008F6E2C"/>
    <w:rsid w:val="00907100"/>
    <w:rsid w:val="00916347"/>
    <w:rsid w:val="009303D9"/>
    <w:rsid w:val="00933C64"/>
    <w:rsid w:val="00936B32"/>
    <w:rsid w:val="00952CE4"/>
    <w:rsid w:val="00971445"/>
    <w:rsid w:val="00972203"/>
    <w:rsid w:val="00982A7D"/>
    <w:rsid w:val="00990B3F"/>
    <w:rsid w:val="0099327D"/>
    <w:rsid w:val="009A534C"/>
    <w:rsid w:val="009A7B6B"/>
    <w:rsid w:val="009A7C4E"/>
    <w:rsid w:val="009B1393"/>
    <w:rsid w:val="009C1278"/>
    <w:rsid w:val="009D7CD3"/>
    <w:rsid w:val="009E2526"/>
    <w:rsid w:val="009F1D79"/>
    <w:rsid w:val="00A059B3"/>
    <w:rsid w:val="00A12233"/>
    <w:rsid w:val="00A1425A"/>
    <w:rsid w:val="00A17C5F"/>
    <w:rsid w:val="00A45318"/>
    <w:rsid w:val="00A51BED"/>
    <w:rsid w:val="00A6769B"/>
    <w:rsid w:val="00A709A6"/>
    <w:rsid w:val="00A72617"/>
    <w:rsid w:val="00A815D8"/>
    <w:rsid w:val="00AB7B9B"/>
    <w:rsid w:val="00AD1AA9"/>
    <w:rsid w:val="00AE1AC4"/>
    <w:rsid w:val="00AE3409"/>
    <w:rsid w:val="00AE7FF7"/>
    <w:rsid w:val="00B02357"/>
    <w:rsid w:val="00B06460"/>
    <w:rsid w:val="00B11A60"/>
    <w:rsid w:val="00B1451D"/>
    <w:rsid w:val="00B22613"/>
    <w:rsid w:val="00B22CAE"/>
    <w:rsid w:val="00B44A76"/>
    <w:rsid w:val="00B768D1"/>
    <w:rsid w:val="00B85307"/>
    <w:rsid w:val="00B928E9"/>
    <w:rsid w:val="00B953B4"/>
    <w:rsid w:val="00BA1025"/>
    <w:rsid w:val="00BB0BD5"/>
    <w:rsid w:val="00BB222C"/>
    <w:rsid w:val="00BC3420"/>
    <w:rsid w:val="00BD12ED"/>
    <w:rsid w:val="00BD670B"/>
    <w:rsid w:val="00BE7D3C"/>
    <w:rsid w:val="00BF02B4"/>
    <w:rsid w:val="00BF5B0C"/>
    <w:rsid w:val="00BF5F52"/>
    <w:rsid w:val="00BF5FF6"/>
    <w:rsid w:val="00C0207F"/>
    <w:rsid w:val="00C11FF5"/>
    <w:rsid w:val="00C14929"/>
    <w:rsid w:val="00C16117"/>
    <w:rsid w:val="00C3075A"/>
    <w:rsid w:val="00C40FD6"/>
    <w:rsid w:val="00C45E4D"/>
    <w:rsid w:val="00C651E6"/>
    <w:rsid w:val="00C81EC8"/>
    <w:rsid w:val="00C919A4"/>
    <w:rsid w:val="00CA4392"/>
    <w:rsid w:val="00CB7523"/>
    <w:rsid w:val="00CB759C"/>
    <w:rsid w:val="00CC393F"/>
    <w:rsid w:val="00CC7669"/>
    <w:rsid w:val="00CF508A"/>
    <w:rsid w:val="00D02989"/>
    <w:rsid w:val="00D2176E"/>
    <w:rsid w:val="00D34A3A"/>
    <w:rsid w:val="00D35778"/>
    <w:rsid w:val="00D36F29"/>
    <w:rsid w:val="00D430EE"/>
    <w:rsid w:val="00D45BFF"/>
    <w:rsid w:val="00D464E2"/>
    <w:rsid w:val="00D61402"/>
    <w:rsid w:val="00D632BE"/>
    <w:rsid w:val="00D72D06"/>
    <w:rsid w:val="00D7522C"/>
    <w:rsid w:val="00D7536F"/>
    <w:rsid w:val="00D76668"/>
    <w:rsid w:val="00DC267A"/>
    <w:rsid w:val="00DD5502"/>
    <w:rsid w:val="00E00C55"/>
    <w:rsid w:val="00E06903"/>
    <w:rsid w:val="00E07383"/>
    <w:rsid w:val="00E0D35B"/>
    <w:rsid w:val="00E165BC"/>
    <w:rsid w:val="00E448C2"/>
    <w:rsid w:val="00E57D27"/>
    <w:rsid w:val="00E61E12"/>
    <w:rsid w:val="00E62A5A"/>
    <w:rsid w:val="00E7596C"/>
    <w:rsid w:val="00E878F2"/>
    <w:rsid w:val="00E94A21"/>
    <w:rsid w:val="00EB1B1D"/>
    <w:rsid w:val="00EB27D5"/>
    <w:rsid w:val="00ED0149"/>
    <w:rsid w:val="00ED3D19"/>
    <w:rsid w:val="00ED73F6"/>
    <w:rsid w:val="00EF7DE3"/>
    <w:rsid w:val="00F03103"/>
    <w:rsid w:val="00F23812"/>
    <w:rsid w:val="00F271DE"/>
    <w:rsid w:val="00F30CFF"/>
    <w:rsid w:val="00F538BC"/>
    <w:rsid w:val="00F627DA"/>
    <w:rsid w:val="00F7288F"/>
    <w:rsid w:val="00F73397"/>
    <w:rsid w:val="00F762E0"/>
    <w:rsid w:val="00F847A6"/>
    <w:rsid w:val="00F9441B"/>
    <w:rsid w:val="00FA4C32"/>
    <w:rsid w:val="00FB7EA2"/>
    <w:rsid w:val="00FBA116"/>
    <w:rsid w:val="00FC5B89"/>
    <w:rsid w:val="00FD2518"/>
    <w:rsid w:val="00FD7D8F"/>
    <w:rsid w:val="00FE7114"/>
    <w:rsid w:val="00FF63AF"/>
    <w:rsid w:val="01EC2AA8"/>
    <w:rsid w:val="01F28694"/>
    <w:rsid w:val="025291E9"/>
    <w:rsid w:val="02718E07"/>
    <w:rsid w:val="0279F59C"/>
    <w:rsid w:val="02B4307B"/>
    <w:rsid w:val="02F769E4"/>
    <w:rsid w:val="032FD01E"/>
    <w:rsid w:val="033E9FE4"/>
    <w:rsid w:val="03642A31"/>
    <w:rsid w:val="037E4B91"/>
    <w:rsid w:val="04A5159B"/>
    <w:rsid w:val="06EBD22F"/>
    <w:rsid w:val="0809455A"/>
    <w:rsid w:val="08282602"/>
    <w:rsid w:val="0832F867"/>
    <w:rsid w:val="0843BE3D"/>
    <w:rsid w:val="0907233C"/>
    <w:rsid w:val="096C4D9F"/>
    <w:rsid w:val="098212A0"/>
    <w:rsid w:val="0AC695EC"/>
    <w:rsid w:val="0BAEFF09"/>
    <w:rsid w:val="0C2BBC4C"/>
    <w:rsid w:val="0C763E36"/>
    <w:rsid w:val="0CBBC176"/>
    <w:rsid w:val="0D00D456"/>
    <w:rsid w:val="0DA6F1F5"/>
    <w:rsid w:val="0DBB0608"/>
    <w:rsid w:val="0E2672E1"/>
    <w:rsid w:val="0E875EDA"/>
    <w:rsid w:val="0F127699"/>
    <w:rsid w:val="0FCFE371"/>
    <w:rsid w:val="10301EC5"/>
    <w:rsid w:val="10DCBB2D"/>
    <w:rsid w:val="112A1817"/>
    <w:rsid w:val="132F6CA3"/>
    <w:rsid w:val="13AF5B64"/>
    <w:rsid w:val="13E3DEEE"/>
    <w:rsid w:val="14640942"/>
    <w:rsid w:val="154FFDF9"/>
    <w:rsid w:val="16773F84"/>
    <w:rsid w:val="1714A10D"/>
    <w:rsid w:val="17527C8F"/>
    <w:rsid w:val="17B963C3"/>
    <w:rsid w:val="18CB2894"/>
    <w:rsid w:val="18E2E642"/>
    <w:rsid w:val="18E50C63"/>
    <w:rsid w:val="1989CB6A"/>
    <w:rsid w:val="1A3E6D8C"/>
    <w:rsid w:val="1A45B407"/>
    <w:rsid w:val="1ACBD522"/>
    <w:rsid w:val="1B4ABA2E"/>
    <w:rsid w:val="1C503C9F"/>
    <w:rsid w:val="1CF48E0F"/>
    <w:rsid w:val="1FE9EA4C"/>
    <w:rsid w:val="20FDF62C"/>
    <w:rsid w:val="2158E428"/>
    <w:rsid w:val="2186838F"/>
    <w:rsid w:val="221F963F"/>
    <w:rsid w:val="222F84AC"/>
    <w:rsid w:val="225877DB"/>
    <w:rsid w:val="22701630"/>
    <w:rsid w:val="22912F34"/>
    <w:rsid w:val="229654A6"/>
    <w:rsid w:val="23D14D9B"/>
    <w:rsid w:val="240C3AEE"/>
    <w:rsid w:val="24866E63"/>
    <w:rsid w:val="24BA64F7"/>
    <w:rsid w:val="26775282"/>
    <w:rsid w:val="27137ED2"/>
    <w:rsid w:val="274762FE"/>
    <w:rsid w:val="27CFF880"/>
    <w:rsid w:val="29DC94EB"/>
    <w:rsid w:val="2A09FC7B"/>
    <w:rsid w:val="2A601B92"/>
    <w:rsid w:val="2A9DBC7E"/>
    <w:rsid w:val="2AE094DD"/>
    <w:rsid w:val="2AFE3CC6"/>
    <w:rsid w:val="2B0A0981"/>
    <w:rsid w:val="2BE10170"/>
    <w:rsid w:val="2C5A7C99"/>
    <w:rsid w:val="2CC30A19"/>
    <w:rsid w:val="2D314476"/>
    <w:rsid w:val="2D3DB1F8"/>
    <w:rsid w:val="2D81E451"/>
    <w:rsid w:val="2DD9C46B"/>
    <w:rsid w:val="2EBFD72E"/>
    <w:rsid w:val="2F0CF5F9"/>
    <w:rsid w:val="2F26D1A6"/>
    <w:rsid w:val="2F8817F8"/>
    <w:rsid w:val="2FE429D1"/>
    <w:rsid w:val="30AC52D6"/>
    <w:rsid w:val="3184FB41"/>
    <w:rsid w:val="31D4B869"/>
    <w:rsid w:val="3266A21E"/>
    <w:rsid w:val="326B964D"/>
    <w:rsid w:val="3287542B"/>
    <w:rsid w:val="3297EDB6"/>
    <w:rsid w:val="32AAFFDE"/>
    <w:rsid w:val="336115EE"/>
    <w:rsid w:val="33861BBC"/>
    <w:rsid w:val="338BB24C"/>
    <w:rsid w:val="33B6D8EC"/>
    <w:rsid w:val="349199F0"/>
    <w:rsid w:val="34C8A58A"/>
    <w:rsid w:val="34CA2794"/>
    <w:rsid w:val="35174D72"/>
    <w:rsid w:val="35D306C0"/>
    <w:rsid w:val="3606B229"/>
    <w:rsid w:val="365017DB"/>
    <w:rsid w:val="370806A9"/>
    <w:rsid w:val="372C1763"/>
    <w:rsid w:val="37AFFA28"/>
    <w:rsid w:val="37FBFDE0"/>
    <w:rsid w:val="38458FD7"/>
    <w:rsid w:val="3859803F"/>
    <w:rsid w:val="39613160"/>
    <w:rsid w:val="3978414D"/>
    <w:rsid w:val="3978E351"/>
    <w:rsid w:val="3A4F38A2"/>
    <w:rsid w:val="3A5C9BD3"/>
    <w:rsid w:val="3A66BD58"/>
    <w:rsid w:val="3A68CCD5"/>
    <w:rsid w:val="3A8A91EA"/>
    <w:rsid w:val="3B542DD8"/>
    <w:rsid w:val="3B5C7016"/>
    <w:rsid w:val="3BD4F945"/>
    <w:rsid w:val="3BEAFEA1"/>
    <w:rsid w:val="3BF381DA"/>
    <w:rsid w:val="3C04A742"/>
    <w:rsid w:val="3C554B45"/>
    <w:rsid w:val="3C879527"/>
    <w:rsid w:val="3D63EF24"/>
    <w:rsid w:val="3DA6753E"/>
    <w:rsid w:val="3DDF7319"/>
    <w:rsid w:val="3E7E5F5C"/>
    <w:rsid w:val="3F797EBC"/>
    <w:rsid w:val="3FE4FDA5"/>
    <w:rsid w:val="40C58B1C"/>
    <w:rsid w:val="40F2C860"/>
    <w:rsid w:val="41575612"/>
    <w:rsid w:val="41A0D4DA"/>
    <w:rsid w:val="41F038FC"/>
    <w:rsid w:val="423CDE83"/>
    <w:rsid w:val="42C2E0F0"/>
    <w:rsid w:val="42ECFCA2"/>
    <w:rsid w:val="4310F492"/>
    <w:rsid w:val="4331B4C2"/>
    <w:rsid w:val="44580A93"/>
    <w:rsid w:val="4466E18F"/>
    <w:rsid w:val="455DA7C1"/>
    <w:rsid w:val="45BADBEC"/>
    <w:rsid w:val="46776A19"/>
    <w:rsid w:val="46B17F58"/>
    <w:rsid w:val="475C598A"/>
    <w:rsid w:val="47D279EA"/>
    <w:rsid w:val="47F790D2"/>
    <w:rsid w:val="48143157"/>
    <w:rsid w:val="48A6EFCF"/>
    <w:rsid w:val="48B8C79E"/>
    <w:rsid w:val="48D100F0"/>
    <w:rsid w:val="48D5FAD9"/>
    <w:rsid w:val="48E244B5"/>
    <w:rsid w:val="4974F046"/>
    <w:rsid w:val="497AA9EA"/>
    <w:rsid w:val="49863351"/>
    <w:rsid w:val="49EC560C"/>
    <w:rsid w:val="4B072312"/>
    <w:rsid w:val="4B1E81B3"/>
    <w:rsid w:val="4B254657"/>
    <w:rsid w:val="4BF19037"/>
    <w:rsid w:val="4C37C2FA"/>
    <w:rsid w:val="4C9CB6C4"/>
    <w:rsid w:val="4CCF6B69"/>
    <w:rsid w:val="4CDC5B72"/>
    <w:rsid w:val="4F3D39E7"/>
    <w:rsid w:val="4F9AB864"/>
    <w:rsid w:val="4FB36E99"/>
    <w:rsid w:val="504181A8"/>
    <w:rsid w:val="506B9489"/>
    <w:rsid w:val="510E1A4A"/>
    <w:rsid w:val="521F866A"/>
    <w:rsid w:val="53FC8668"/>
    <w:rsid w:val="53FED1C5"/>
    <w:rsid w:val="541E7E57"/>
    <w:rsid w:val="547CC03E"/>
    <w:rsid w:val="5482251A"/>
    <w:rsid w:val="549A20AA"/>
    <w:rsid w:val="54B5D0A7"/>
    <w:rsid w:val="54ED4F78"/>
    <w:rsid w:val="550A8A5E"/>
    <w:rsid w:val="555C01FE"/>
    <w:rsid w:val="55B6A135"/>
    <w:rsid w:val="55C28051"/>
    <w:rsid w:val="56345D5A"/>
    <w:rsid w:val="5667EA25"/>
    <w:rsid w:val="56D22E90"/>
    <w:rsid w:val="5743FEAF"/>
    <w:rsid w:val="57BB75C3"/>
    <w:rsid w:val="57D4AE42"/>
    <w:rsid w:val="57ECE7E9"/>
    <w:rsid w:val="581E2DEA"/>
    <w:rsid w:val="598A861E"/>
    <w:rsid w:val="59ACE413"/>
    <w:rsid w:val="59FA49C7"/>
    <w:rsid w:val="5A288B6F"/>
    <w:rsid w:val="5A5BA817"/>
    <w:rsid w:val="5AE29664"/>
    <w:rsid w:val="5B1D89F0"/>
    <w:rsid w:val="5B41C019"/>
    <w:rsid w:val="5B5E91DC"/>
    <w:rsid w:val="5B8FF3D6"/>
    <w:rsid w:val="5BA01654"/>
    <w:rsid w:val="5BBD9222"/>
    <w:rsid w:val="5C1A8CC7"/>
    <w:rsid w:val="5CE8E9E8"/>
    <w:rsid w:val="5D885545"/>
    <w:rsid w:val="5DC68FE4"/>
    <w:rsid w:val="5DFF652B"/>
    <w:rsid w:val="5E2F4CBB"/>
    <w:rsid w:val="5E6304C7"/>
    <w:rsid w:val="5E6EB547"/>
    <w:rsid w:val="5EA64D64"/>
    <w:rsid w:val="5EB4A77F"/>
    <w:rsid w:val="5FAC99CA"/>
    <w:rsid w:val="5FD8FAC9"/>
    <w:rsid w:val="6049FDED"/>
    <w:rsid w:val="607E2D73"/>
    <w:rsid w:val="60B9C412"/>
    <w:rsid w:val="60DD347E"/>
    <w:rsid w:val="60FD3B66"/>
    <w:rsid w:val="62117C75"/>
    <w:rsid w:val="625E747C"/>
    <w:rsid w:val="629FF681"/>
    <w:rsid w:val="62DBD17D"/>
    <w:rsid w:val="63267B87"/>
    <w:rsid w:val="63332F13"/>
    <w:rsid w:val="634F294A"/>
    <w:rsid w:val="6374467B"/>
    <w:rsid w:val="63FBAD1F"/>
    <w:rsid w:val="648B5F1A"/>
    <w:rsid w:val="6579A392"/>
    <w:rsid w:val="65CE5E1B"/>
    <w:rsid w:val="672E0CFA"/>
    <w:rsid w:val="67B870C1"/>
    <w:rsid w:val="67BADAE9"/>
    <w:rsid w:val="67D29F77"/>
    <w:rsid w:val="68B0346F"/>
    <w:rsid w:val="68D0BE06"/>
    <w:rsid w:val="68DB0E2D"/>
    <w:rsid w:val="68E530A5"/>
    <w:rsid w:val="69A3EEE8"/>
    <w:rsid w:val="69C4E127"/>
    <w:rsid w:val="69D073E1"/>
    <w:rsid w:val="6A1A1799"/>
    <w:rsid w:val="6A4DF7EA"/>
    <w:rsid w:val="6A99A6AA"/>
    <w:rsid w:val="6AC2C49B"/>
    <w:rsid w:val="6C3DA14C"/>
    <w:rsid w:val="6CB25F22"/>
    <w:rsid w:val="6D407B0C"/>
    <w:rsid w:val="6E01F636"/>
    <w:rsid w:val="6E578184"/>
    <w:rsid w:val="6FDA4DA3"/>
    <w:rsid w:val="70031B24"/>
    <w:rsid w:val="711BD2CE"/>
    <w:rsid w:val="7261A3A0"/>
    <w:rsid w:val="7304DD12"/>
    <w:rsid w:val="7358DA4F"/>
    <w:rsid w:val="735A93D0"/>
    <w:rsid w:val="73EC40A0"/>
    <w:rsid w:val="742A8A61"/>
    <w:rsid w:val="74EB53BC"/>
    <w:rsid w:val="74F51F84"/>
    <w:rsid w:val="75403A63"/>
    <w:rsid w:val="767B8093"/>
    <w:rsid w:val="768634A2"/>
    <w:rsid w:val="76DD70C2"/>
    <w:rsid w:val="76E2D36A"/>
    <w:rsid w:val="77543E88"/>
    <w:rsid w:val="78442D4A"/>
    <w:rsid w:val="78BD9E36"/>
    <w:rsid w:val="78DFFEDA"/>
    <w:rsid w:val="78FE87ED"/>
    <w:rsid w:val="790867E6"/>
    <w:rsid w:val="7AF2A403"/>
    <w:rsid w:val="7B006547"/>
    <w:rsid w:val="7C2BAE48"/>
    <w:rsid w:val="7C82B073"/>
    <w:rsid w:val="7D420760"/>
    <w:rsid w:val="7EAE387D"/>
    <w:rsid w:val="7F8126D7"/>
    <w:rsid w:val="7F941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17"/>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17"/>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17"/>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17"/>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4"/>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15"/>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16"/>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21"/>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7"/>
      </w:numPr>
      <w:spacing w:before="3pt" w:after="1.50pt"/>
      <w:ind w:start="2.90pt" w:hanging="1.45pt"/>
      <w:jc w:val="end"/>
    </w:pPr>
    <w:rPr>
      <w:sz w:val="12"/>
      <w:szCs w:val="12"/>
    </w:rPr>
  </w:style>
  <w:style w:type="paragraph" w:customStyle="1" w:styleId="tablehead">
    <w:name w:val="table head"/>
    <w:pPr>
      <w:numPr>
        <w:numId w:val="44"/>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A815D8"/>
    <w:rPr>
      <w:color w:val="0563C1" w:themeColor="hyperlink"/>
      <w:u w:val="single"/>
    </w:rPr>
  </w:style>
  <w:style w:type="character" w:styleId="UnresolvedMention">
    <w:name w:val="Unresolved Mention"/>
    <w:basedOn w:val="DefaultParagraphFont"/>
    <w:uiPriority w:val="99"/>
    <w:semiHidden/>
    <w:unhideWhenUsed/>
    <w:rsid w:val="00A815D8"/>
    <w:rPr>
      <w:color w:val="605E5C"/>
      <w:shd w:val="clear" w:color="auto" w:fill="E1DFDD"/>
    </w:rPr>
  </w:style>
  <w:style w:type="character" w:styleId="FollowedHyperlink">
    <w:name w:val="FollowedHyperlink"/>
    <w:basedOn w:val="DefaultParagraphFont"/>
    <w:rsid w:val="00CB759C"/>
    <w:rPr>
      <w:color w:val="954F72" w:themeColor="followedHyperlink"/>
      <w:u w:val="single"/>
    </w:rPr>
  </w:style>
  <w:style w:type="character" w:customStyle="1" w:styleId="Heading1Char">
    <w:name w:val="Heading 1 Char"/>
    <w:basedOn w:val="DefaultParagraphFont"/>
    <w:link w:val="Heading1"/>
    <w:rsid w:val="00D35778"/>
    <w:rPr>
      <w:smallCaps/>
      <w:noProof/>
    </w:rPr>
  </w:style>
  <w:style w:type="character" w:customStyle="1" w:styleId="Heading5Char">
    <w:name w:val="Heading 5 Char"/>
    <w:basedOn w:val="DefaultParagraphFont"/>
    <w:link w:val="Heading5"/>
    <w:rsid w:val="00D35778"/>
    <w:rPr>
      <w:smallCaps/>
      <w:noProof/>
    </w:rPr>
  </w:style>
  <w:style w:type="paragraph" w:styleId="ListParagraph">
    <w:name w:val="List Paragraph"/>
    <w:basedOn w:val="Normal"/>
    <w:uiPriority w:val="34"/>
    <w:qFormat/>
    <w:rsid w:val="00952CE4"/>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798542">
      <w:bodyDiv w:val="1"/>
      <w:marLeft w:val="0pt"/>
      <w:marRight w:val="0pt"/>
      <w:marTop w:val="0pt"/>
      <w:marBottom w:val="0pt"/>
      <w:divBdr>
        <w:top w:val="none" w:sz="0" w:space="0" w:color="auto"/>
        <w:left w:val="none" w:sz="0" w:space="0" w:color="auto"/>
        <w:bottom w:val="none" w:sz="0" w:space="0" w:color="auto"/>
        <w:right w:val="none" w:sz="0" w:space="0" w:color="auto"/>
      </w:divBdr>
    </w:div>
    <w:div w:id="174413506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1.png"/><Relationship Id="rId18" Type="http://purl.oclc.org/ooxml/officeDocument/relationships/image" Target="media/image6.png"/><Relationship Id="rId26" Type="http://purl.oclc.org/ooxml/officeDocument/relationships/hyperlink" Target="https://doi.org/10.3390/antib8010024" TargetMode="External"/><Relationship Id="rId21" Type="http://purl.oclc.org/ooxml/officeDocument/relationships/hyperlink" Target="https://doi.org/10.1557/jmr.2017.91" TargetMode="External"/><Relationship Id="rId34" Type="http://purl.oclc.org/ooxml/officeDocument/relationships/footer" Target="footer3.xml"/><Relationship Id="rId7" Type="http://purl.oclc.org/ooxml/officeDocument/relationships/endnotes" Target="endnotes.xml"/><Relationship Id="rId12" Type="http://purl.oclc.org/ooxml/officeDocument/relationships/footer" Target="footer2.xml"/><Relationship Id="rId17" Type="http://purl.oclc.org/ooxml/officeDocument/relationships/image" Target="media/image5.png"/><Relationship Id="rId25" Type="http://purl.oclc.org/ooxml/officeDocument/relationships/hyperlink" Target="https://doi.org/10.1038/srep41956" TargetMode="External"/><Relationship Id="rId33" Type="http://purl.oclc.org/ooxml/officeDocument/relationships/header" Target="header3.xml"/><Relationship Id="rId2" Type="http://purl.oclc.org/ooxml/officeDocument/relationships/numbering" Target="numbering.xml"/><Relationship Id="rId16" Type="http://purl.oclc.org/ooxml/officeDocument/relationships/image" Target="media/image4.png"/><Relationship Id="rId20" Type="http://purl.oclc.org/ooxml/officeDocument/relationships/hyperlink" Target="https://doi.org/10.1093/cid/cix131" TargetMode="External"/><Relationship Id="rId29" Type="http://purl.oclc.org/ooxml/officeDocument/relationships/hyperlink" Target="https://doi.org/10.3390/app11178114"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eader" Target="header2.xml"/><Relationship Id="rId24" Type="http://purl.oclc.org/ooxml/officeDocument/relationships/hyperlink" Target="https://ieeexplore.ieee.org/abstract/document/6463428" TargetMode="External"/><Relationship Id="rId32" Type="http://purl.oclc.org/ooxml/officeDocument/relationships/hyperlink" Target="https://doi.org/10.3390/bios7030028" TargetMode="External"/><Relationship Id="rId37" Type="http://schemas.microsoft.com/office/2020/10/relationships/intelligence" Target="intelligence2.xml"/><Relationship Id="rId5" Type="http://purl.oclc.org/ooxml/officeDocument/relationships/webSettings" Target="webSettings.xml"/><Relationship Id="rId15" Type="http://purl.oclc.org/ooxml/officeDocument/relationships/image" Target="media/image3.png"/><Relationship Id="rId23" Type="http://purl.oclc.org/ooxml/officeDocument/relationships/hyperlink" Target="https://doi.org/10.1155/2017/5413705" TargetMode="External"/><Relationship Id="rId28" Type="http://purl.oclc.org/ooxml/officeDocument/relationships/hyperlink" Target="https://doi.org/10.1007/s00216-017-0624-z" TargetMode="External"/><Relationship Id="rId36" Type="http://purl.oclc.org/ooxml/officeDocument/relationships/theme" Target="theme/theme1.xml"/><Relationship Id="rId10" Type="http://purl.oclc.org/ooxml/officeDocument/relationships/hyperlink" Target="mailto:f20191048@pilani.bits-pilani.ac.in" TargetMode="External"/><Relationship Id="rId19" Type="http://purl.oclc.org/ooxml/officeDocument/relationships/hyperlink" Target="https://doi.org/10.1088/2053-1583/aba88e" TargetMode="External"/><Relationship Id="rId31" Type="http://purl.oclc.org/ooxml/officeDocument/relationships/hyperlink" Target="https://doi.org/10.1021/nn202749z" TargetMode="External"/><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2.png"/><Relationship Id="rId22" Type="http://purl.oclc.org/ooxml/officeDocument/relationships/hyperlink" Target="https://doi.org/10.1021/nl201331x" TargetMode="External"/><Relationship Id="rId27" Type="http://purl.oclc.org/ooxml/officeDocument/relationships/hyperlink" Target="https://doi.org/10.1016/s0022-2836(02)00806-9" TargetMode="External"/><Relationship Id="rId30" Type="http://purl.oclc.org/ooxml/officeDocument/relationships/hyperlink" Target="https://doi.org/10.1109/tmtt.2021.3105672" TargetMode="External"/><Relationship Id="rId35" Type="http://purl.oclc.org/ooxml/officeDocument/relationships/fontTable" Target="fontTable.xml"/><Relationship Id="rId8" Type="http://purl.oclc.org/ooxml/officeDocument/relationships/header" Target="header1.xml"/><Relationship Id="rId3" Type="http://purl.oclc.org/ooxml/officeDocument/relationships/styles" Target="style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322</TotalTime>
  <Pages>8</Pages>
  <Words>5664</Words>
  <Characters>32290</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Archit Agrawal</cp:lastModifiedBy>
  <cp:revision>23</cp:revision>
  <cp:lastPrinted>2025-10-09T04:41:00Z</cp:lastPrinted>
  <dcterms:created xsi:type="dcterms:W3CDTF">2025-10-01T13:45:00Z</dcterms:created>
  <dcterms:modified xsi:type="dcterms:W3CDTF">2025-10-09T06:49:00Z</dcterms:modified>
</cp:coreProperties>
</file>