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AD712" w14:textId="77777777" w:rsidR="00501EFD" w:rsidRDefault="002D24B0">
      <w:pPr>
        <w:spacing w:after="20"/>
      </w:pPr>
      <w:r>
        <w:rPr>
          <w:b/>
          <w:bCs/>
          <w:color w:val="1F3A5F"/>
          <w:sz w:val="32"/>
          <w:szCs w:val="32"/>
        </w:rPr>
        <w:t>Are volcanic eruptions really “constant-rate”? — meeting brief</w:t>
      </w:r>
    </w:p>
    <w:p w14:paraId="7BB995B1" w14:textId="77777777" w:rsidR="00501EFD" w:rsidRDefault="002D24B0">
      <w:pPr>
        <w:pBdr>
          <w:bottom w:val="single" w:sz="8" w:space="6" w:color="2E75B6"/>
        </w:pBdr>
        <w:spacing w:after="160"/>
      </w:pPr>
      <w:r>
        <w:rPr>
          <w:color w:val="595959"/>
          <w:sz w:val="18"/>
          <w:szCs w:val="18"/>
        </w:rPr>
        <w:t xml:space="preserve">A. </w:t>
      </w:r>
      <w:proofErr w:type="gramStart"/>
      <w:r>
        <w:rPr>
          <w:color w:val="595959"/>
          <w:sz w:val="18"/>
          <w:szCs w:val="18"/>
        </w:rPr>
        <w:t>Ardid  •</w:t>
      </w:r>
      <w:proofErr w:type="gramEnd"/>
      <w:r>
        <w:rPr>
          <w:color w:val="595959"/>
          <w:sz w:val="18"/>
          <w:szCs w:val="18"/>
        </w:rPr>
        <w:t xml:space="preserve">  9 June </w:t>
      </w:r>
      <w:proofErr w:type="gramStart"/>
      <w:r>
        <w:rPr>
          <w:color w:val="595959"/>
          <w:sz w:val="18"/>
          <w:szCs w:val="18"/>
        </w:rPr>
        <w:t>2026  •</w:t>
      </w:r>
      <w:proofErr w:type="gramEnd"/>
      <w:r>
        <w:rPr>
          <w:color w:val="595959"/>
          <w:sz w:val="18"/>
          <w:szCs w:val="18"/>
        </w:rPr>
        <w:t xml:space="preserve">  one page</w:t>
      </w:r>
    </w:p>
    <w:p w14:paraId="19B0A46F" w14:textId="77777777" w:rsidR="00501EFD" w:rsidRDefault="002D24B0">
      <w:pPr>
        <w:pBdr>
          <w:left w:val="single" w:sz="18" w:space="10" w:color="2E7D32"/>
        </w:pBdr>
        <w:shd w:val="clear" w:color="auto" w:fill="EAF7EE"/>
        <w:spacing w:before="60" w:after="120" w:line="264" w:lineRule="auto"/>
        <w:ind w:left="300"/>
      </w:pPr>
      <w:r>
        <w:rPr>
          <w:b/>
          <w:bCs/>
        </w:rPr>
        <w:t xml:space="preserve">Headline: </w:t>
      </w:r>
      <w:r>
        <w:t>the constant-rate (homogeneous Poisson) assumption is the exception, not the rule. We tested it on real GVP data; most well-recorded volcanoes reject it, and the departure tracks volcano type.</w:t>
      </w:r>
    </w:p>
    <w:p w14:paraId="28A0F6FD" w14:textId="77777777" w:rsidR="00501EFD" w:rsidRDefault="002D24B0">
      <w:pPr>
        <w:pStyle w:val="Heading1"/>
      </w:pPr>
      <w:r>
        <w:t>What we did</w:t>
      </w:r>
    </w:p>
    <w:p w14:paraId="42301862" w14:textId="77777777" w:rsidR="00501EFD" w:rsidRDefault="002D24B0">
      <w:pPr>
        <w:pStyle w:val="ListParagraph"/>
        <w:numPr>
          <w:ilvl w:val="0"/>
          <w:numId w:val="2"/>
        </w:numPr>
        <w:spacing w:after="70" w:line="264" w:lineRule="auto"/>
      </w:pPr>
      <w:r>
        <w:t>Pulled a real GVP eruption catalogue (9,920 confirmed eruptions). Built per-volcano onset series. Ran a full test battery — KS vs uniform, Laplace trend, CV of repose times, dispersion, Weibull-process β — each against Monte-Carlo Poisson nulls, with false-discovery-rate control across volcanoes.</w:t>
      </w:r>
    </w:p>
    <w:p w14:paraId="4A244496" w14:textId="77777777" w:rsidR="00501EFD" w:rsidRDefault="002D24B0">
      <w:pPr>
        <w:pStyle w:val="ListParagraph"/>
        <w:numPr>
          <w:ilvl w:val="0"/>
          <w:numId w:val="2"/>
        </w:numPr>
        <w:spacing w:after="70" w:line="264" w:lineRule="auto"/>
      </w:pPr>
      <w:r>
        <w:t>Two tiers: 6 well-recorded volcanoes in depth, and a global screen of 104 volcanoes in the near-complete 1900–2021 window.</w:t>
      </w:r>
    </w:p>
    <w:p w14:paraId="6C68184A" w14:textId="77777777" w:rsidR="00501EFD" w:rsidRDefault="002D24B0">
      <w:pPr>
        <w:pStyle w:val="Heading1"/>
      </w:pPr>
      <w:r>
        <w:t>Key findings</w:t>
      </w:r>
    </w:p>
    <w:p w14:paraId="7078BB00" w14:textId="77777777" w:rsidR="00501EFD" w:rsidRDefault="002D24B0">
      <w:pPr>
        <w:pStyle w:val="ListParagraph"/>
        <w:numPr>
          <w:ilvl w:val="0"/>
          <w:numId w:val="2"/>
        </w:numPr>
        <w:spacing w:after="70" w:line="264" w:lineRule="auto"/>
      </w:pPr>
      <w:r>
        <w:rPr>
          <w:b/>
          <w:bCs/>
        </w:rPr>
        <w:t>55% of volcanoes reject constant rate</w:t>
      </w:r>
      <w:r>
        <w:t xml:space="preserve"> in the clean 1900–2021 window (FDR-controlled). The typical volcano is mildly clustered and accelerating (median CV 1.21, β 1.15 — both above the Poisson value of 1).</w:t>
      </w:r>
    </w:p>
    <w:p w14:paraId="62AAF366" w14:textId="77777777" w:rsidR="00501EFD" w:rsidRDefault="002D24B0">
      <w:pPr>
        <w:pStyle w:val="ListParagraph"/>
        <w:numPr>
          <w:ilvl w:val="0"/>
          <w:numId w:val="2"/>
        </w:numPr>
        <w:spacing w:after="70" w:line="264" w:lineRule="auto"/>
      </w:pPr>
      <w:r>
        <w:rPr>
          <w:b/>
          <w:bCs/>
        </w:rPr>
        <w:t xml:space="preserve">It scales with type: </w:t>
      </w:r>
      <w:r>
        <w:t>calderas reject most (60%, most clustered); basaltic shields least (45%, closest to Poisson). This is the open- vs. closed-system contrast showing up in a blind screen.</w:t>
      </w:r>
    </w:p>
    <w:p w14:paraId="53486865" w14:textId="77777777" w:rsidR="00501EFD" w:rsidRDefault="002D24B0">
      <w:pPr>
        <w:pStyle w:val="ListParagraph"/>
        <w:numPr>
          <w:ilvl w:val="0"/>
          <w:numId w:val="2"/>
        </w:numPr>
        <w:spacing w:after="70" w:line="264" w:lineRule="auto"/>
      </w:pPr>
      <w:r>
        <w:rPr>
          <w:b/>
          <w:bCs/>
        </w:rPr>
        <w:t xml:space="preserve">Even “classic” cases break the rule: </w:t>
      </w:r>
      <w:r>
        <w:t>Kilauea and Etna genuinely accelerate; Hekla is unusually regular (not random); only Piton de la Fournaise behaves as a clean Poisson process.</w:t>
      </w:r>
    </w:p>
    <w:p w14:paraId="1BD9CA74" w14:textId="77777777" w:rsidR="00501EFD" w:rsidRDefault="002D24B0">
      <w:pPr>
        <w:pStyle w:val="ListParagraph"/>
        <w:numPr>
          <w:ilvl w:val="0"/>
          <w:numId w:val="2"/>
        </w:numPr>
        <w:spacing w:after="70" w:line="264" w:lineRule="auto"/>
      </w:pPr>
      <w:r>
        <w:rPr>
          <w:b/>
          <w:bCs/>
        </w:rPr>
        <w:t xml:space="preserve">The apparent “eruptions are increasing” signal is mostly under-recording, </w:t>
      </w:r>
      <w:r>
        <w:t>not volcanology — it largely vanishes once we restrict to complete windows. Correcting for completeness is essential.</w:t>
      </w:r>
    </w:p>
    <w:p w14:paraId="0D387CDD" w14:textId="77777777" w:rsidR="00501EFD" w:rsidRDefault="002D24B0">
      <w:pPr>
        <w:pStyle w:val="Heading1"/>
      </w:pPr>
      <w:r>
        <w:t>Why it matters for the paper</w:t>
      </w:r>
    </w:p>
    <w:p w14:paraId="4B1AF104" w14:textId="77777777" w:rsidR="00501EFD" w:rsidRDefault="002D24B0">
      <w:pPr>
        <w:pStyle w:val="ListParagraph"/>
        <w:numPr>
          <w:ilvl w:val="0"/>
          <w:numId w:val="2"/>
        </w:numPr>
        <w:spacing w:after="70" w:line="264" w:lineRule="auto"/>
      </w:pPr>
      <w:r w:rsidRPr="001B21F9">
        <w:rPr>
          <w:u w:val="single"/>
        </w:rPr>
        <w:t xml:space="preserve">Probability-based status tiers (“high / moderate / low”) are defensible only where rates are estimable </w:t>
      </w:r>
      <w:r>
        <w:t>— frequent, well-monitored systems. For few-event calderas, numeric probabilities are unstable; tiers must stay relative.</w:t>
      </w:r>
    </w:p>
    <w:p w14:paraId="639D1246" w14:textId="77777777" w:rsidR="00501EFD" w:rsidRDefault="002D24B0">
      <w:pPr>
        <w:pStyle w:val="ListParagraph"/>
        <w:numPr>
          <w:ilvl w:val="0"/>
          <w:numId w:val="2"/>
        </w:numPr>
        <w:spacing w:after="70" w:line="264" w:lineRule="auto"/>
      </w:pPr>
      <w:r>
        <w:t xml:space="preserve">Be explicit about which probability a tier means: </w:t>
      </w:r>
      <w:r w:rsidRPr="001B21F9">
        <w:rPr>
          <w:b/>
          <w:bCs/>
        </w:rPr>
        <w:t>short-term monitoring-based (e.g. our 12.6% Steamboat forecast) vs. long-term recurrence-based — different quantities.</w:t>
      </w:r>
    </w:p>
    <w:p w14:paraId="1BD2EFE2" w14:textId="77777777" w:rsidR="00501EFD" w:rsidRDefault="002D24B0">
      <w:pPr>
        <w:pStyle w:val="ListParagraph"/>
        <w:numPr>
          <w:ilvl w:val="0"/>
          <w:numId w:val="2"/>
        </w:numPr>
        <w:spacing w:after="70" w:line="264" w:lineRule="auto"/>
      </w:pPr>
      <w:r>
        <w:t xml:space="preserve">Don’t default to Poisson: match the model to system </w:t>
      </w:r>
      <w:proofErr w:type="gramStart"/>
      <w:r>
        <w:t>type, and</w:t>
      </w:r>
      <w:proofErr w:type="gramEnd"/>
      <w:r>
        <w:t xml:space="preserve"> normalise by magmatic-system size for big systems (Giordano &amp; </w:t>
      </w:r>
      <w:proofErr w:type="spellStart"/>
      <w:r>
        <w:t>Caricchi</w:t>
      </w:r>
      <w:proofErr w:type="spellEnd"/>
      <w:r>
        <w:t xml:space="preserve"> 2022).</w:t>
      </w:r>
    </w:p>
    <w:p w14:paraId="06496C86" w14:textId="77777777" w:rsidR="00501EFD" w:rsidRDefault="002D24B0">
      <w:pPr>
        <w:pStyle w:val="Heading1"/>
      </w:pPr>
      <w:r>
        <w:t>Caveats to flag</w:t>
      </w:r>
    </w:p>
    <w:p w14:paraId="49D505BB" w14:textId="77777777" w:rsidR="00501EFD" w:rsidRDefault="002D24B0">
      <w:pPr>
        <w:pStyle w:val="ListParagraph"/>
        <w:numPr>
          <w:ilvl w:val="0"/>
          <w:numId w:val="2"/>
        </w:numPr>
        <w:spacing w:after="70" w:line="264" w:lineRule="auto"/>
      </w:pPr>
      <w:r>
        <w:t>“Fail to reject” for ~45% partly reflects low power at small N — a lower bound on departures, not proof of Poisson. Catalogue v4.10.3; verdicts stable but cite live version for publication.</w:t>
      </w:r>
    </w:p>
    <w:p w14:paraId="0C49A17E" w14:textId="77777777" w:rsidR="00501EFD" w:rsidRDefault="002D24B0">
      <w:pPr>
        <w:pBdr>
          <w:left w:val="single" w:sz="18" w:space="10" w:color="2E75B6"/>
        </w:pBdr>
        <w:shd w:val="clear" w:color="auto" w:fill="F2F6FB"/>
        <w:spacing w:before="60" w:after="120" w:line="264" w:lineRule="auto"/>
        <w:ind w:left="300"/>
      </w:pPr>
      <w:r>
        <w:rPr>
          <w:b/>
          <w:bCs/>
        </w:rPr>
        <w:t xml:space="preserve">Ask / next step: </w:t>
      </w:r>
      <w:r>
        <w:t>agree this is worth writing up (a short methods + results section), and decide scope — fold into the terminology paper, or a standalone note. I can add change-point localisation and date-uncertainty Monte Carlo if we go standalone.</w:t>
      </w:r>
    </w:p>
    <w:sectPr w:rsidR="00501EFD">
      <w:footerReference w:type="even" r:id="rId7"/>
      <w:footerReference w:type="default" r:id="rId8"/>
      <w:footerReference w:type="first" r:id="rId9"/>
      <w:pgSz w:w="12240" w:h="15840"/>
      <w:pgMar w:top="1080" w:right="1180" w:bottom="1080" w:left="11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773454" w14:textId="77777777" w:rsidR="002D24B0" w:rsidRDefault="002D24B0" w:rsidP="00380F9A">
      <w:r>
        <w:separator/>
      </w:r>
    </w:p>
  </w:endnote>
  <w:endnote w:type="continuationSeparator" w:id="0">
    <w:p w14:paraId="7E46A6F0" w14:textId="77777777" w:rsidR="002D24B0" w:rsidRDefault="002D24B0" w:rsidP="00380F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3A659B" w14:textId="4D581D2D" w:rsidR="00380F9A" w:rsidRDefault="00380F9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8642D40" wp14:editId="282E1CAA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49275" cy="299085"/>
              <wp:effectExtent l="0" t="0" r="3175" b="0"/>
              <wp:wrapNone/>
              <wp:docPr id="465957813" name="Text Box 2" descr="In-Confidenc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9275" cy="2990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9DD22F" w14:textId="6C95294B" w:rsidR="00380F9A" w:rsidRPr="00380F9A" w:rsidRDefault="00380F9A" w:rsidP="00380F9A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380F9A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  <w:t>In-Confidence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642D4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-Confidence" style="position:absolute;margin-left:0;margin-top:0;width:43.25pt;height:23.5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" filled="f" stroked="f">
              <v:fill o:detectmouseclick="t"/>
              <v:textbox style="mso-fit-shape-to-text:t" inset="0,0,0,15pt">
                <w:txbxContent>
                  <w:p w14:paraId="279DD22F" w14:textId="6C95294B" w:rsidR="00380F9A" w:rsidRPr="00380F9A" w:rsidRDefault="00380F9A" w:rsidP="00380F9A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</w:pPr>
                    <w:r w:rsidRPr="00380F9A"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  <w:t>In-Confidence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B9833D" w14:textId="21EBD1A5" w:rsidR="00380F9A" w:rsidRDefault="00380F9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ED67803" wp14:editId="0B812D1A">
              <wp:simplePos x="747423" y="944615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49275" cy="299085"/>
              <wp:effectExtent l="0" t="0" r="3175" b="0"/>
              <wp:wrapNone/>
              <wp:docPr id="1446493013" name="Text Box 3" descr="In-Confidenc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9275" cy="2990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7F437A8" w14:textId="0F07E5B3" w:rsidR="00380F9A" w:rsidRPr="00380F9A" w:rsidRDefault="00380F9A" w:rsidP="00380F9A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380F9A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  <w:t>In-Confidence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D6780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-Confidence" style="position:absolute;margin-left:0;margin-top:0;width:43.25pt;height:23.5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17F437A8" w14:textId="0F07E5B3" w:rsidR="00380F9A" w:rsidRPr="00380F9A" w:rsidRDefault="00380F9A" w:rsidP="00380F9A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</w:pPr>
                    <w:r w:rsidRPr="00380F9A"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  <w:t>In-Confidence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D12D5" w14:textId="1D3F3501" w:rsidR="00380F9A" w:rsidRDefault="00380F9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CE1372A" wp14:editId="63EACE57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49275" cy="299085"/>
              <wp:effectExtent l="0" t="0" r="3175" b="0"/>
              <wp:wrapNone/>
              <wp:docPr id="176623655" name="Text Box 1" descr="In-Confidenc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9275" cy="2990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6E2672" w14:textId="7DC5BAB4" w:rsidR="00380F9A" w:rsidRPr="00380F9A" w:rsidRDefault="00380F9A" w:rsidP="00380F9A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380F9A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  <w:t>In-Confidence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E1372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-Confidence" style="position:absolute;margin-left:0;margin-top:0;width:43.25pt;height:23.5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556E2672" w14:textId="7DC5BAB4" w:rsidR="00380F9A" w:rsidRPr="00380F9A" w:rsidRDefault="00380F9A" w:rsidP="00380F9A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</w:pPr>
                    <w:r w:rsidRPr="00380F9A"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  <w:t>In-Confidence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599635" w14:textId="77777777" w:rsidR="002D24B0" w:rsidRDefault="002D24B0" w:rsidP="00380F9A">
      <w:r>
        <w:separator/>
      </w:r>
    </w:p>
  </w:footnote>
  <w:footnote w:type="continuationSeparator" w:id="0">
    <w:p w14:paraId="3E067B3C" w14:textId="77777777" w:rsidR="002D24B0" w:rsidRDefault="002D24B0" w:rsidP="00380F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A1B53"/>
    <w:multiLevelType w:val="hybridMultilevel"/>
    <w:tmpl w:val="EA463FAA"/>
    <w:lvl w:ilvl="0" w:tplc="D4A66BB8">
      <w:start w:val="1"/>
      <w:numFmt w:val="bullet"/>
      <w:lvlText w:val="•"/>
      <w:lvlJc w:val="left"/>
      <w:pPr>
        <w:ind w:left="460" w:hanging="240"/>
      </w:pPr>
    </w:lvl>
    <w:lvl w:ilvl="1" w:tplc="EF10CD2C">
      <w:numFmt w:val="decimal"/>
      <w:lvlText w:val=""/>
      <w:lvlJc w:val="left"/>
    </w:lvl>
    <w:lvl w:ilvl="2" w:tplc="A7841732">
      <w:numFmt w:val="decimal"/>
      <w:lvlText w:val=""/>
      <w:lvlJc w:val="left"/>
    </w:lvl>
    <w:lvl w:ilvl="3" w:tplc="1CB0038C">
      <w:numFmt w:val="decimal"/>
      <w:lvlText w:val=""/>
      <w:lvlJc w:val="left"/>
    </w:lvl>
    <w:lvl w:ilvl="4" w:tplc="783AECF8">
      <w:numFmt w:val="decimal"/>
      <w:lvlText w:val=""/>
      <w:lvlJc w:val="left"/>
    </w:lvl>
    <w:lvl w:ilvl="5" w:tplc="8AF444A4">
      <w:numFmt w:val="decimal"/>
      <w:lvlText w:val=""/>
      <w:lvlJc w:val="left"/>
    </w:lvl>
    <w:lvl w:ilvl="6" w:tplc="C93C87EE">
      <w:numFmt w:val="decimal"/>
      <w:lvlText w:val=""/>
      <w:lvlJc w:val="left"/>
    </w:lvl>
    <w:lvl w:ilvl="7" w:tplc="53D6AFEE">
      <w:numFmt w:val="decimal"/>
      <w:lvlText w:val=""/>
      <w:lvlJc w:val="left"/>
    </w:lvl>
    <w:lvl w:ilvl="8" w:tplc="F33A78E4">
      <w:numFmt w:val="decimal"/>
      <w:lvlText w:val=""/>
      <w:lvlJc w:val="left"/>
    </w:lvl>
  </w:abstractNum>
  <w:abstractNum w:abstractNumId="1" w15:restartNumberingAfterBreak="0">
    <w:nsid w:val="36DB3959"/>
    <w:multiLevelType w:val="hybridMultilevel"/>
    <w:tmpl w:val="8D9AD8FC"/>
    <w:lvl w:ilvl="0" w:tplc="F962E974">
      <w:start w:val="1"/>
      <w:numFmt w:val="bullet"/>
      <w:lvlText w:val="●"/>
      <w:lvlJc w:val="left"/>
      <w:pPr>
        <w:ind w:left="720" w:hanging="360"/>
      </w:pPr>
    </w:lvl>
    <w:lvl w:ilvl="1" w:tplc="C9EE3706">
      <w:start w:val="1"/>
      <w:numFmt w:val="bullet"/>
      <w:lvlText w:val="○"/>
      <w:lvlJc w:val="left"/>
      <w:pPr>
        <w:ind w:left="1440" w:hanging="360"/>
      </w:pPr>
    </w:lvl>
    <w:lvl w:ilvl="2" w:tplc="4202B268">
      <w:start w:val="1"/>
      <w:numFmt w:val="bullet"/>
      <w:lvlText w:val="■"/>
      <w:lvlJc w:val="left"/>
      <w:pPr>
        <w:ind w:left="2160" w:hanging="360"/>
      </w:pPr>
    </w:lvl>
    <w:lvl w:ilvl="3" w:tplc="EDDE1CE6">
      <w:start w:val="1"/>
      <w:numFmt w:val="bullet"/>
      <w:lvlText w:val="●"/>
      <w:lvlJc w:val="left"/>
      <w:pPr>
        <w:ind w:left="2880" w:hanging="360"/>
      </w:pPr>
    </w:lvl>
    <w:lvl w:ilvl="4" w:tplc="2B7A3E02">
      <w:start w:val="1"/>
      <w:numFmt w:val="bullet"/>
      <w:lvlText w:val="○"/>
      <w:lvlJc w:val="left"/>
      <w:pPr>
        <w:ind w:left="3600" w:hanging="360"/>
      </w:pPr>
    </w:lvl>
    <w:lvl w:ilvl="5" w:tplc="318E59AA">
      <w:start w:val="1"/>
      <w:numFmt w:val="bullet"/>
      <w:lvlText w:val="■"/>
      <w:lvlJc w:val="left"/>
      <w:pPr>
        <w:ind w:left="4320" w:hanging="360"/>
      </w:pPr>
    </w:lvl>
    <w:lvl w:ilvl="6" w:tplc="247E558C">
      <w:start w:val="1"/>
      <w:numFmt w:val="bullet"/>
      <w:lvlText w:val="●"/>
      <w:lvlJc w:val="left"/>
      <w:pPr>
        <w:ind w:left="5040" w:hanging="360"/>
      </w:pPr>
    </w:lvl>
    <w:lvl w:ilvl="7" w:tplc="418C2AA8">
      <w:start w:val="1"/>
      <w:numFmt w:val="bullet"/>
      <w:lvlText w:val="●"/>
      <w:lvlJc w:val="left"/>
      <w:pPr>
        <w:ind w:left="5760" w:hanging="360"/>
      </w:pPr>
    </w:lvl>
    <w:lvl w:ilvl="8" w:tplc="DDE8A548">
      <w:start w:val="1"/>
      <w:numFmt w:val="bullet"/>
      <w:lvlText w:val="●"/>
      <w:lvlJc w:val="left"/>
      <w:pPr>
        <w:ind w:left="6480" w:hanging="360"/>
      </w:pPr>
    </w:lvl>
  </w:abstractNum>
  <w:num w:numId="1" w16cid:durableId="258608037">
    <w:abstractNumId w:val="1"/>
    <w:lvlOverride w:ilvl="0">
      <w:startOverride w:val="1"/>
    </w:lvlOverride>
  </w:num>
  <w:num w:numId="2" w16cid:durableId="841588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1EFD"/>
    <w:rsid w:val="001B21F9"/>
    <w:rsid w:val="002D24B0"/>
    <w:rsid w:val="00380F9A"/>
    <w:rsid w:val="00501EFD"/>
    <w:rsid w:val="00C07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48AF2"/>
  <w15:docId w15:val="{23EF2278-19C9-4079-8CF2-E23C7211A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22222"/>
        <w:sz w:val="21"/>
        <w:szCs w:val="21"/>
        <w:lang w:val="en-NZ" w:eastAsia="en-N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160" w:after="70"/>
      <w:outlineLvl w:val="0"/>
    </w:pPr>
    <w:rPr>
      <w:b/>
      <w:bCs/>
      <w:color w:val="2E75B6"/>
      <w:sz w:val="23"/>
      <w:szCs w:val="23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380F9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80F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2b2326c-f811-4ccc-abcb-1b955c303c2e}" enabled="1" method="Standard" siteId="{dc781727-710e-4855-bc4c-690266a1b551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378</Words>
  <Characters>2157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Constant-rate eruption assumption — meeting brief</vt:lpstr>
    </vt:vector>
  </TitlesOfParts>
  <Company>University of Canterbury</Company>
  <LinksUpToDate>false</LinksUpToDate>
  <CharactersWithSpaces>2530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Constant-rate eruption assumption — meeting brief</dc:title>
  <dc:creator>Meeting brief</dc:creator>
  <cp:lastModifiedBy>Alberto Ardid</cp:lastModifiedBy>
  <cp:revision>2</cp:revision>
  <dcterms:created xsi:type="dcterms:W3CDTF">2026-06-09T05:57:00Z</dcterms:created>
  <dcterms:modified xsi:type="dcterms:W3CDTF">2026-06-09T20:05:00Z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a871027,1bc5f3b5,5637bb55</vt:lpwstr>
  </property>
  <property fmtid="{D5CDD505-2E9C-101B-9397-08002B2CF9AE}" pid="3" name="ClassificationContentMarkingFooterFontProps">
    <vt:lpwstr>#000000,7,Aptos</vt:lpwstr>
  </property>
  <property fmtid="{D5CDD505-2E9C-101B-9397-08002B2CF9AE}" pid="4" name="ClassificationContentMarkingFooterText">
    <vt:lpwstr>In-Confidence</vt:lpwstr>
  </property>
</Properties>
</file>