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1F3A5F"/>
          <w:sz w:val="50"/>
          <w:szCs w:val="50"/>
        </w:rPr>
        <w:t xml:space="preserve">Statistical Assumptions in Volcanic</w:t>
      </w:r>
    </w:p>
    <w:p>
      <w:pPr>
        <w:spacing w:after="0"/>
      </w:pPr>
      <w:r>
        <w:rPr>
          <w:b/>
          <w:bCs/>
          <w:color w:val="1F3A5F"/>
          <w:sz w:val="50"/>
          <w:szCs w:val="50"/>
        </w:rPr>
        <w:t xml:space="preserve">Eruption-Probability Estimation</w:t>
      </w:r>
    </w:p>
    <w:p>
      <w:pPr>
        <w:spacing w:after="0" w:before="140"/>
      </w:pPr>
      <w:r>
        <w:rPr>
          <w:color w:val="595959"/>
          <w:sz w:val="26"/>
          <w:szCs w:val="26"/>
        </w:rPr>
        <w:t xml:space="preserve">Synthesis, manuscript support, and an empirical test of the constant-rate assumption</w:t>
      </w:r>
    </w:p>
    <w:p>
      <w:pPr>
        <w:pBdr>
          <w:top w:val="single" w:color="2E75B6" w:sz="12" w:space="8"/>
        </w:pBdr>
        <w:spacing w:before="500"/>
      </w:pPr>
      <w:r>
        <w:t xml:space="preserve"/>
      </w:r>
    </w:p>
    <w:p>
      <w:pPr>
        <w:spacing w:before="220"/>
      </w:pPr>
      <w:r>
        <w:rPr>
          <w:b/>
          <w:bCs/>
        </w:rPr>
        <w:t xml:space="preserve">Prepared for: </w:t>
      </w:r>
      <w:r>
        <w:t xml:space="preserve">Alberto Ardid</w:t>
      </w:r>
    </w:p>
    <w:p>
      <w:r>
        <w:rPr>
          <w:b/>
          <w:bCs/>
        </w:rPr>
        <w:t xml:space="preserve">Context: </w:t>
      </w:r>
      <w:r>
        <w:t xml:space="preserve">Contribution to Kennedy et al. terminology paper; review of eruption-recurrence statistics</w:t>
      </w:r>
    </w:p>
    <w:p>
      <w:r>
        <w:rPr>
          <w:b/>
          <w:bCs/>
        </w:rPr>
        <w:t xml:space="preserve">Date: </w:t>
      </w:r>
      <w:r>
        <w:t xml:space="preserve">9 June 2026</w:t>
      </w:r>
    </w:p>
    <w:p>
      <w:pPr>
        <w:spacing w:after="200"/>
      </w:pPr>
      <w:r>
        <w:rPr>
          <w:b/>
          <w:bCs/>
        </w:rPr>
        <w:t xml:space="preserve">Status: </w:t>
      </w:r>
      <w:r>
        <w:rPr>
          <w:i/>
          <w:iCs/>
        </w:rPr>
        <w:t xml:space="preserve">Updated working document — now includes original analysis of GVP eruption data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What is new in this version</w:t>
      </w:r>
    </w:p>
    <w:p>
      <w:pPr>
        <w:spacing w:after="160" w:line="276"/>
      </w:pPr>
      <w:r>
        <w:t xml:space="preserve">Earlier versions of this document synthesised the published literature on eruption-recurrence statistics. This version adds </w:t>
      </w:r>
      <w:r>
        <w:rPr>
          <w:b/>
          <w:bCs/>
        </w:rPr>
        <w:t xml:space="preserve">our own empirical test</w:t>
      </w:r>
      <w:r>
        <w:t xml:space="preserve"> of the most basic assumption in the field — that volcanic eruptions occur at a constant (or near-constant) rate, the stationarity assumption of a homogeneous Poisson process (HPP). Using a real export of the Smithsonian Global Volcanism Program (GVP) eruption catalogue, we ran a full hypothesis-testing battery on six well-recorded volcanoes (narrow-deep) and on 104–128 volcanoes globally (broad screen). Sections 5 and 6 report those results. The short answer: </w:t>
      </w:r>
      <w:r>
        <w:rPr>
          <w:b/>
          <w:bCs/>
        </w:rPr>
        <w:t xml:space="preserve">the constant-rate assumption is the exception, not the rule.</w:t>
      </w:r>
    </w:p>
    <w:p>
      <w:pPr>
        <w:pStyle w:val="Heading1"/>
      </w:pPr>
      <w:r>
        <w:t xml:space="preserve">1. Executive summary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The Poisson/exponential assumption is a convenience, not a validated law. </w:t>
      </w:r>
      <w:r>
        <w:t xml:space="preserve">It fits some volcanoes (long-quiescent closed systems; global aggregates of large eruptions) but is frequently rejected or unprovable for individual volcanoes because catalogues are short, incomplete, and non-stationary.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Our test confirms this empirically. </w:t>
      </w:r>
      <w:r>
        <w:t xml:space="preserve">In the cleanest modern window (1900–2021), 55% of volcanoes with enough events reject constant rate after false-discovery-rate control. The typical volcano is mildly clustered and accelerating (median CV = 1.21, median Weibull β = 1.15 — both above the Poisson value of 1).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Departure scales with volcano type, as theory predicts. </w:t>
      </w:r>
      <w:r>
        <w:t xml:space="preserve">Calderas depart most from constant rate (60% reject; median CV 1.43); basaltic shields least (45%; CV 1.07). The open- vs. closed-system contrast appears in a blind global screen.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Under-recording is the dominant confound. </w:t>
      </w:r>
      <w:r>
        <w:t xml:space="preserve">Naïve analysis of the full geological record shows “non-stationary everywhere,” but that is mostly improving detection toward the present, not volcanology. Restricting to complete windows is essential.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Implication for the terminology paper: </w:t>
      </w:r>
      <w:r>
        <w:t xml:space="preserve">probability-based status tiers are defensible where rates are estimable (frequent, well-monitored systems) and fragile for few-event calderas — the tiers must stay “relative,” and must state which probability (short-term conditional vs. long-term) they encode.</w:t>
      </w:r>
    </w:p>
    <w:p>
      <w:pPr>
        <w:pStyle w:val="Heading1"/>
      </w:pPr>
      <w:r>
        <w:t xml:space="preserve">2. Standard practice and the distributions in use</w:t>
      </w:r>
    </w:p>
    <w:p>
      <w:pPr>
        <w:spacing w:after="160" w:line="276"/>
      </w:pPr>
      <w:r>
        <w:t xml:space="preserve">Operational long-term forecasting estimates eruption probability from the distribution of repose (inter-eruption) times via a homogeneous Poisson process (exponential repose times), a non-homogeneous Poisson / Weibull process, or stationary renewal models (Weibull, log-normal, gamma, log-logistic, Brownian Passage Time, and — for irregular systems — the Fréchet / inverse-Weibull distribution). These sit at the temporal node of Bayesian event trees: INGV’s BET_EF/BET_VH, the CSIC HASSET tool, and USGS / GNS Science workflows (Connor, Bebbington &amp; Marzocchi 2015).</w:t>
      </w:r>
    </w:p>
    <w:p>
      <w:pPr>
        <w:spacing w:after="160" w:line="276"/>
      </w:pPr>
      <w:r>
        <w:rPr>
          <w:b/>
          <w:bCs/>
        </w:rPr>
        <w:t xml:space="preserve">Physical basis is thin. </w:t>
      </w:r>
      <w:r>
        <w:t xml:space="preserve">The exponential is memoryless (chosen for convenience); Weibull has a loose materials-failure link; Brownian Passage Time is borrowed from earthquake stress-accumulation models. The most useful taxonomy (Marzocchi &amp; Zaccarelli 2006) is empirical: short repose → clustered, open-conduit, time-predictable; long repose → random, closed-conduit, Poissonian.</w:t>
      </w:r>
    </w:p>
    <w:p>
      <w:pPr>
        <w:pStyle w:val="Heading1"/>
      </w:pPr>
      <w:r>
        <w:t xml:space="preserve">3. What the literature already found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Global large eruptions look Poissonian. </w:t>
      </w:r>
      <w:r>
        <w:t xml:space="preserve">De la Cruz-Reyna (1991) for VEI≥4; Papale (2018) finds exponential return times with power-law magnitudes.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Apparent secular increase is an artifact. </w:t>
      </w:r>
      <w:r>
        <w:t xml:space="preserve">GVP states activity is not increasing; Rougier et al. (2016, 2018) estimate ~40% of large explosive eruptions are missing over the last millennium, with recording below 20% pre-1100.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Clustering vs. trend is contested. </w:t>
      </w:r>
      <w:r>
        <w:t xml:space="preserve">Bebbington (2010) argues much apparent clustering is better explained by trends in activity.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Long records are genuinely non-stationary. </w:t>
      </w:r>
      <w:r>
        <w:t xml:space="preserve">Deglaciation raised eruption rates two- to six-fold at glaciated arcs (Huybers &amp; Langmuir 2009); Milankovitch periodicities appear in tephra records (Kutterolf et al. 2013) — though some ice-core records show near-constant rates (Lin et al. 2023), so global significance is debated.</w:t>
      </w:r>
    </w:p>
    <w:p>
      <w:pPr>
        <w:pStyle w:val="Heading1"/>
      </w:pPr>
      <w:r>
        <w:t xml:space="preserve">4. How we tested the constant-rate assumption</w:t>
      </w:r>
    </w:p>
    <w:p>
      <w:pPr>
        <w:spacing w:after="160" w:line="276"/>
      </w:pPr>
      <w:r>
        <w:rPr>
          <w:b/>
          <w:bCs/>
        </w:rPr>
        <w:t xml:space="preserve">Data. </w:t>
      </w:r>
      <w:r>
        <w:t xml:space="preserve">A real GVP “Volcanoes of the World” eruption export (v4.10.3; 9,920 confirmed eruptions, 11,345 BCE–2021 CE), obtained via an open mirror. We built eruption-onset series per volcano, with month/day imputed to mid-interval where missing.</w:t>
      </w:r>
    </w:p>
    <w:p>
      <w:pPr>
        <w:spacing w:after="160" w:line="276"/>
      </w:pPr>
      <w:r>
        <w:rPr>
          <w:b/>
          <w:bCs/>
        </w:rPr>
        <w:t xml:space="preserve">Design. </w:t>
      </w:r>
      <w:r>
        <w:t xml:space="preserve">Two tiers. (i) Narrow-deep: six volcanoes spanning structural types, each tested in a full window and a literature-based completeness window. (ii) Broad screen: every volcano with ≥12 historical-evidence eruptions, in a 1900–2021 window (primary; near-complete global reporting) and an 1800–2021 window (sensitivity).</w:t>
      </w:r>
    </w:p>
    <w:p>
      <w:pPr>
        <w:spacing w:after="160" w:line="276"/>
      </w:pPr>
      <w:r>
        <w:rPr>
          <w:b/>
          <w:bCs/>
        </w:rPr>
        <w:t xml:space="preserve">Tests. </w:t>
      </w:r>
      <w:r>
        <w:t xml:space="preserve">KS test of onsets vs Uniform[0,T] (direct constant-rate test); Laplace centroid test (monotonic trend); coefficient of variation of reposes (CV≈1 Poisson, &lt;1 periodic, &gt;1 clustered); Fano dispersion; exponential goodness-of-fit and AIC model selection; Ljung–Box (independence); and the Weibull-process shape β (β=1 ⇒ constant rate). Each calibrated against 1,500–4,000 Monte-Carlo HPP simulations with matched N and window; Benjamini–Hochberg FDR control across the global screen.</w:t>
      </w:r>
    </w:p>
    <w:p>
      <w:pPr>
        <w:pBdr>
          <w:left w:val="single" w:color="E0A800" w:sz="18" w:space="12"/>
        </w:pBdr>
        <w:shd w:fill="FFF6E5" w:val="clear"/>
        <w:spacing w:after="160" w:before="80" w:line="276"/>
        <w:ind w:left="360"/>
      </w:pPr>
      <w:r>
        <w:rPr>
          <w:b/>
          <w:bCs/>
        </w:rPr>
        <w:t xml:space="preserve">Reproducibility note. </w:t>
      </w:r>
      <w:r>
        <w:t xml:space="preserve">Verdicts are unaffected by catalogue version, but this run used GVP v4.10.3 (2021), not the current v5.3.5; VEI and onset-date precision are coarse. A publication-grade run should pull the versioned GVP WFS and add date-uncertainty Monte Carlo.</w:t>
      </w:r>
    </w:p>
    <w:p>
      <w:pPr>
        <w:pStyle w:val="Heading1"/>
      </w:pPr>
      <w:r>
        <w:t xml:space="preserve">5. Results I — six well-recorded volcanoes (narrow-deep)</w:t>
      </w:r>
    </w:p>
    <w:p>
      <w:pPr>
        <w:spacing w:after="160" w:line="276"/>
      </w:pPr>
      <w:r>
        <w:rPr>
          <w:b/>
          <w:bCs/>
        </w:rPr>
        <w:t xml:space="preserve">The full record rejects constant rate for every volcano — but that is the recording artifact. </w:t>
      </w:r>
      <w:r>
        <w:t xml:space="preserve">In the full confirmed record all six reject HPP at p &lt; 0.001 with very large trend statistics; the cumulative-eruption curves show near-nothing for millennia then a sharp rise to the present. The real test is the completeness-restricted window below.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Figure 1. Cumulative eruptions vs. a constant-rate (HPP) expectation in each volcano’s completeness-restricted window. Fournaise and Vesuvius track the straight line; Kilauea and Etna bend clearly above it (accelerating); Hekla is unusually regular." descr="Figure 1. Cumulative eruptions vs. a constant-rate (HPP) expectation in each volcano’s completeness-restricted window. Fournaise and Vesuvius track the straight line; Kilauea and Etna bend clearly above it (accelerating); Hekla is unusually regular." title="Figure 1. Cumulative eruptions vs. a constant-rate (HPP) expectation in each volcano’s completeness-restricted window. Fournaise and Vesuvius track the straight line; Kilauea and Etna bend clearly above it (accelerating); Hekla is unusually regul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Figure 1. Cumulative eruptions vs. a constant-rate (HPP) expectation in each volcano’s completeness-restricted window. Fournaise and Vesuvius track the straight line; Kilauea and Etna bend clearly above it (accelerating); Hekla is unusually regular.</w:t>
      </w:r>
    </w:p>
    <w:p>
      <w:pPr>
        <w:spacing w:after="160" w:line="276"/>
      </w:pPr>
      <w:r>
        <w:rPr>
          <w:b/>
          <w:bCs/>
        </w:rPr>
        <w:t xml:space="preserve">In the completeness window, the verdict splits — and by volcano type.</w:t>
      </w:r>
      <w:r>
        <w:t xml:space="preserve"> Key statistics (completeness window):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100"/>
        <w:gridCol w:w="480"/>
        <w:gridCol w:w="620"/>
        <w:gridCol w:w="1100"/>
        <w:gridCol w:w="620"/>
        <w:gridCol w:w="1050"/>
        <w:gridCol w:w="1180"/>
        <w:gridCol w:w="1560"/>
      </w:tblGrid>
      <w:tr>
        <w:trPr>
          <w:tblHeader/>
        </w:trPr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Volcano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KS p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Laplace U (p)</w:t>
            </w:r>
          </w:p>
        </w:tc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CV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best fit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β [95% CI]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7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Piton de la Fournaise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7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 shield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7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</w:t>
            </w:r>
          </w:p>
        </w:tc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7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7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 (0.63)</w:t>
            </w:r>
          </w:p>
        </w:tc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7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0.87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7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frechet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7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0.99 [0.77–1.23]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7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Constant rate OK</w:t>
            </w:r>
          </w:p>
        </w:tc>
      </w:tr>
      <w:tr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7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Mauna Loa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7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 shield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7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7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0.07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7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−1.7 (0.09)</w:t>
            </w:r>
          </w:p>
        </w:tc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7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1.09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7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exponential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7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1.05 [0.74–1.42]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7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Largely OK</w:t>
            </w:r>
          </w:p>
        </w:tc>
      </w:tr>
      <w:tr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7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Vesuvius (1631–1944)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7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strato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7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7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0.22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7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−0.1 (0.89)</w:t>
            </w:r>
          </w:p>
        </w:tc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7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0.81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7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gamma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7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0.98 [0.64–1.40]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7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 (low power)</w:t>
            </w:r>
          </w:p>
        </w:tc>
      </w:tr>
      <w:tr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AE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Hekla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AE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strato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AE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AE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0.39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AE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1.9 (0.06)</w:t>
            </w:r>
          </w:p>
        </w:tc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AE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0.55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AE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weibull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AE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1.41 [0.89–2.04]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AE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Quasi-periodic (CV&lt;1)</w:t>
            </w:r>
          </w:p>
        </w:tc>
      </w:tr>
      <w:tr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AE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Kilauea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AE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 shield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AE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62</w:t>
            </w:r>
          </w:p>
        </w:tc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AE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&lt;0.001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AE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2.6 (0.009)</w:t>
            </w:r>
          </w:p>
        </w:tc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AE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2.06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AE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loglogistic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AE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1.34 [1.03–1.70]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AE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REJECTS — real</w:t>
            </w:r>
          </w:p>
        </w:tc>
      </w:tr>
      <w:tr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AE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Etna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AE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 strato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AE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126</w:t>
            </w:r>
          </w:p>
        </w:tc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AE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&lt;0.001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AE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4.8 (&lt;0.001)</w:t>
            </w:r>
          </w:p>
        </w:tc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AE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1.21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AE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loglogistic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AE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1.31 [1.09–1.55]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AE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REJECTS — accelerating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60" w:line="276"/>
      </w:pPr>
      <w:r>
        <w:t xml:space="preserve">Piton de la Fournaise is the clean Poisson case (curve hugs the line, CV≈1, all tests non-significant). </w:t>
      </w:r>
      <w:r>
        <w:rPr>
          <w:b/>
          <w:bCs/>
        </w:rPr>
        <w:t xml:space="preserve">Kilauea and Etna genuinely reject constant rate even after restriction</w:t>
      </w:r>
      <w:r>
        <w:t xml:space="preserve"> — a real century-scale acceleration (β significantly &gt;1), the opposite of the common assumption that open-conduit systems are Poissonian. Hekla departs the other way (CV = 0.55, more regular than random). Vesuvius and Mauna Loa cannot reject, but with n = 26–38 that is partly low power, not proof.</w:t>
      </w:r>
    </w:p>
    <w:p>
      <w:pPr>
        <w:pStyle w:val="Heading1"/>
      </w:pPr>
      <w:r>
        <w:t xml:space="preserve">6. Results II — global screen with FDR control</w:t>
      </w:r>
    </w:p>
    <w:p>
      <w:pPr>
        <w:spacing w:after="160" w:line="276"/>
      </w:pPr>
      <w:r>
        <w:rPr>
          <w:b/>
          <w:bCs/>
        </w:rPr>
        <w:t xml:space="preserve">Constant rate is rejected for the majority of testable volcanoes. </w:t>
      </w:r>
      <w:r>
        <w:t xml:space="preserve">In the primary 1900–2021 window (104 volcanoes), 55% reject constant rate (KS-uniform or Laplace trend, FDR &lt; 0.05): 53% fail KS-uniform, 32% show a significant trend (21 increasing, 12 decreasing). The median CV is 1.21 and median β is 1.15 — both above the Poisson value of 1, so the typical volcano is mildly clustered and mildly accelerating. Of 26 volcanoes with CV significantly ≠ 1, all 26 are clustered (CV &gt; 1); none are quasi-periodic.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1790700"/>
            <wp:effectExtent t="0" r="0" b="0" l="0"/>
            <wp:docPr id="1" name="Figure 2. Global screen. Left: repose-time CV clusters just above 1 (Poisson). Centre: Weibull-process β clusters just above 1 (mild acceleration). Right: rejection rate by volcano type — calderas highest, basaltic shields lowest." descr="Figure 2. Global screen. Left: repose-time CV clusters just above 1 (Poisson). Centre: Weibull-process β clusters just above 1 (mild acceleration). Right: rejection rate by volcano type — calderas highest, basaltic shields lowest." title="Figure 2. Global screen. Left: repose-time CV clusters just above 1 (Poisson). Centre: Weibull-process β clusters just above 1 (mild acceleration). Right: rejection rate by volcano type — calderas highest, basaltic shields lowe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Figure 2. Global screen. Left: repose-time CV clusters just above 1 (Poisson). Centre: Weibull-process β clusters just above 1 (mild acceleration). Right: rejection rate by volcano type — calderas highest, basaltic shields lowest.</w:t>
      </w:r>
    </w:p>
    <w:p>
      <w:pPr>
        <w:spacing w:after="160" w:line="276"/>
      </w:pPr>
      <w:r>
        <w:rPr>
          <w:b/>
          <w:bCs/>
        </w:rPr>
        <w:t xml:space="preserve">Departure scales with volcano type (1900–2021):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3400"/>
        <w:gridCol w:w="13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Volcano type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reject constant-rate (FDR&lt;0.05)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median CV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median β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Caldera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60%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1.43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1.04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Complex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56%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1.19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1.07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Stratovolcano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69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54%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1.21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1.30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Shield (basaltic)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45%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1.07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1.10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60" w:line="276"/>
      </w:pPr>
      <w:r>
        <w:rPr>
          <w:b/>
          <w:bCs/>
        </w:rPr>
        <w:t xml:space="preserve">Sensitivity (1800–2021) confirms direction and exposes the confound. </w:t>
      </w:r>
      <w:r>
        <w:t xml:space="preserve">Extending to 1800 raises rejection to 76% and makes trends overwhelmingly increasing (70 of 75 vs. 21 of 33). That jump is the under-recording fingerprint: the deeper the window, the more apparent “acceleration” is improving detection. The 1900 window is the more honest test — and a majority still reject.</w:t>
      </w:r>
    </w:p>
    <w:p>
      <w:pPr>
        <w:pBdr>
          <w:left w:val="single" w:color="2E7D32" w:sz="18" w:space="12"/>
        </w:pBdr>
        <w:shd w:fill="EAF7EE" w:val="clear"/>
        <w:spacing w:after="160" w:before="80" w:line="276"/>
        <w:ind w:left="360"/>
      </w:pPr>
      <w:r>
        <w:rPr>
          <w:b/>
          <w:bCs/>
        </w:rPr>
        <w:t xml:space="preserve">Answer to the core question. </w:t>
      </w:r>
      <w:r>
        <w:t xml:space="preserve">The homogeneous-Poisson constant-rate assumption is the exception, not the rule. ~55% of well-recorded volcanoes reject it in the cleanest modern window; the typical volcano is mildly clustered and accelerating; and the departure scales with system type exactly as open/closed-conduit theory predicts. Where it survives (~45% of shields; Fournaise) it is a defensible approximation; as a blanket default it is not.</w:t>
      </w:r>
    </w:p>
    <w:p>
      <w:pPr>
        <w:pStyle w:val="Heading1"/>
      </w:pPr>
      <w:r>
        <w:t xml:space="preserve">7. Caveats and limits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Low power is real. </w:t>
      </w:r>
      <w:r>
        <w:t xml:space="preserve">“Fail to reject” for the ~45% includes genuine low power at n = 12–40; this is a lower bound on departures, not proof of Poisson for the rest.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Residual recording bias. </w:t>
      </w:r>
      <w:r>
        <w:t xml:space="preserve">Even within 1900–2021, detection improved over time, inflating the increasing-trend count. The trend component is therefore an upper bound; the clustering component (CV) is robust to it.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Coarse inputs. </w:t>
      </w:r>
      <w:r>
        <w:t xml:space="preserve">VEI is a coarse, sometimes default-filled proxy; onset definitions and phase-lumping affect the repose series. Date-uncertainty Monte Carlo and change-point localisation are the natural next hardening steps.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</w:rPr>
        <w:t xml:space="preserve">Catalogue version. </w:t>
      </w:r>
      <w:r>
        <w:t xml:space="preserve">GVP v4.10.3 (2021). Qualitative verdicts are stable, but cite the live version for publication.</w:t>
      </w:r>
    </w:p>
    <w:p>
      <w:pPr>
        <w:pStyle w:val="Heading1"/>
      </w:pPr>
      <w:r>
        <w:t xml:space="preserve">8. Implications for the terminology paper and forecasting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</w:rPr>
        <w:t xml:space="preserve">Do not assume Poisson by default. </w:t>
      </w:r>
      <w:r>
        <w:t xml:space="preserve">For most volcanoes a constant rate is wrong; report a model suite and propagate model-choice uncertainty.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</w:rPr>
        <w:t xml:space="preserve">Probability tiers must stay relative and be explicit about which probability. </w:t>
      </w:r>
      <w:r>
        <w:t xml:space="preserve">Short-term conditional (monitoring-based, e.g. the 12.6% Steamboat figure) and long-term unconditional (recurrence-based) are different quantities; status tiers should say which they encode.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</w:rPr>
        <w:t xml:space="preserve">Match the model to system type. </w:t>
      </w:r>
      <w:r>
        <w:t xml:space="preserve">Shields tolerate near-Poisson; calderas and complexes need clustered/time-varying models; few-event calderas should lean on monitoring and system-size normalisation (Giordano &amp; Caricchi 2022) rather than repose statistics.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</w:rPr>
        <w:t xml:space="preserve">Always correct for completeness before claiming a trend, </w:t>
      </w:r>
      <w:r>
        <w:t xml:space="preserve">and control for multiple comparisons (FDR) when screening many volcanoes.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Working document  • 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4" w:space="4"/>
      </w:pBdr>
      <w:jc w:val="right"/>
    </w:pPr>
    <w:r>
      <w:rPr>
        <w:color w:val="595959"/>
        <w:sz w:val="16"/>
        <w:szCs w:val="16"/>
      </w:rPr>
      <w:t xml:space="preserve">Eruption-Probability Statistics — Updated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28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Calibri" w:cs="Calibri" w:eastAsia="Calibri" w:hAnsi="Calibri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673b2ecc060220e93d6739c2c65222d21eb2320.png"/><Relationship Id="rId10" Type="http://schemas.openxmlformats.org/officeDocument/2006/relationships/image" Target="media/41fe374a36589eee363de0b983d3bda2f5e8134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Assumptions in Volcanic Eruption-Probability Estimation</dc:title>
  <dc:creator>Working notes</dc:creator>
  <cp:lastModifiedBy>Un-named</cp:lastModifiedBy>
  <cp:revision>1</cp:revision>
  <dcterms:created xsi:type="dcterms:W3CDTF">2026-06-09T05:57:16.601Z</dcterms:created>
  <dcterms:modified xsi:type="dcterms:W3CDTF">2026-06-09T05:57:16.613Z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