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F3A5F"/>
          <w:sz w:val="52"/>
          <w:szCs w:val="52"/>
        </w:rPr>
        <w:t xml:space="preserve">Volcano Terminology &amp; Eruption-Probability Project</w:t>
      </w:r>
    </w:p>
    <w:p>
      <w:pPr>
        <w:spacing w:after="0" w:before="120"/>
      </w:pPr>
      <w:r>
        <w:rPr>
          <w:color w:val="595959"/>
          <w:sz w:val="28"/>
          <w:szCs w:val="28"/>
        </w:rPr>
        <w:t xml:space="preserve">Working notes, manuscript review, and research briefings</w:t>
      </w:r>
    </w:p>
    <w:p>
      <w:pPr>
        <w:pBdr>
          <w:top w:val="single" w:color="2E75B6" w:sz="12" w:space="8"/>
        </w:pBdr>
        <w:spacing w:after="0" w:before="600"/>
      </w:pPr>
      <w:r>
        <w:t xml:space="preserve"/>
      </w:r>
    </w:p>
    <w:p>
      <w:pPr>
        <w:spacing w:before="240"/>
      </w:pPr>
      <w:r>
        <w:rPr>
          <w:b/>
          <w:bCs/>
        </w:rPr>
        <w:t xml:space="preserve">Prepared for: </w:t>
      </w:r>
      <w:r>
        <w:t xml:space="preserve">Alberto Ardid</w:t>
      </w:r>
    </w:p>
    <w:p>
      <w:r>
        <w:rPr>
          <w:b/>
          <w:bCs/>
        </w:rPr>
        <w:t xml:space="preserve">Context: </w:t>
      </w:r>
      <w:r>
        <w:t xml:space="preserve">Contribution to Kennedy et al., “Inconsistent perceptions of terminology: Erupting, Active, Dormant, and Extinct volcanoes”</w:t>
      </w:r>
    </w:p>
    <w:p>
      <w:r>
        <w:rPr>
          <w:b/>
          <w:bCs/>
        </w:rPr>
        <w:t xml:space="preserve">Date: </w:t>
      </w:r>
      <w:r>
        <w:t xml:space="preserve">9 June 2026</w:t>
      </w:r>
    </w:p>
    <w:p>
      <w:pPr>
        <w:spacing w:after="200"/>
      </w:pPr>
      <w:r>
        <w:rPr>
          <w:b/>
          <w:bCs/>
        </w:rPr>
        <w:t xml:space="preserve">Status: </w:t>
      </w:r>
      <w:r>
        <w:rPr>
          <w:i/>
          <w:iCs/>
        </w:rPr>
        <w:t xml:space="preserve">Internal working document — compiled from project discussion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60" w:line="276"/>
      </w:pPr>
      <w:r>
        <w:t xml:space="preserve">This report compiles the working outputs from the project discussion around Ben Kennedy and colleagues’ paper on the inconsistent use of the terms </w:t>
      </w:r>
      <w:r>
        <w:rPr>
          <w:i/>
          <w:iCs/>
        </w:rPr>
        <w:t xml:space="preserve">erupting, active, dormant, </w:t>
      </w:r>
      <w:r>
        <w:t xml:space="preserve">and </w:t>
      </w:r>
      <w:r>
        <w:rPr>
          <w:i/>
          <w:iCs/>
        </w:rPr>
        <w:t xml:space="preserve">extinct</w:t>
      </w:r>
      <w:r>
        <w:t xml:space="preserve">. It is organised into four parts: (1) the correspondence and authorship decision; (2) a deep editorial review of the manuscript; (3) a research synthesis on the statistical assumptions behind eruption-probability estimation; and (4) a research briefing assembling evidence, precedent, and cross-field models that support the paper’s proposed probability-based terminology and thresholds.</w:t>
      </w:r>
    </w:p>
    <w:p>
      <w:pPr>
        <w:spacing w:after="160" w:line="276"/>
      </w:pPr>
      <w:r>
        <w:rPr>
          <w:b/>
          <w:bCs/>
        </w:rPr>
        <w:t xml:space="preserve">The throughline. </w:t>
      </w:r>
      <w:r>
        <w:t xml:space="preserve">The paper’s central move — reorganising volcano-status terms around </w:t>
      </w:r>
      <w:r>
        <w:rPr>
          <w:i/>
          <w:iCs/>
        </w:rPr>
        <w:t xml:space="preserve">relative eruption probability</w:t>
      </w:r>
      <w:r>
        <w:t xml:space="preserve"> — is well motivated but leans on a concept (computable eruption probability) that is robust for some volcanoes and fragile for others. The contribution offered here is to ground that concept: to say clearly where recurrence-based probabilities hold up, where short or incomplete records make them unstable, and which of the proposed numerical thresholds are well-supported conventions versus essentially arbitrary choices that need an explicit, sourced justification.</w:t>
      </w:r>
    </w:p>
    <w:p>
      <w:pPr>
        <w:pStyle w:val="Heading1"/>
      </w:pPr>
      <w:r>
        <w:t xml:space="preserve">2. Correspondence and authorship</w:t>
      </w:r>
    </w:p>
    <w:p>
      <w:pPr>
        <w:pStyle w:val="Heading2"/>
      </w:pPr>
      <w:r>
        <w:t xml:space="preserve">2.1 The situation</w:t>
      </w:r>
    </w:p>
    <w:p>
      <w:pPr>
        <w:spacing w:after="160" w:line="276"/>
      </w:pPr>
      <w:r>
        <w:t xml:space="preserve">Ben invited a contribution to the paper ahead of a 7am coauthors’ meeting, proposing roughly: a paragraph or two in the introduction linking active volcanoes to alert levels and probability, a couple of paragraphs in the discussion, plus edits — with authorship in return. The paper has many coauthors.</w:t>
      </w:r>
    </w:p>
    <w:p>
      <w:pPr>
        <w:pStyle w:val="Heading2"/>
      </w:pPr>
      <w:r>
        <w:t xml:space="preserve">2.2 Authorship guidance (summary)</w:t>
      </w:r>
    </w:p>
    <w:p>
      <w:pPr>
        <w:spacing w:after="160" w:line="276"/>
      </w:pPr>
      <w:r>
        <w:t xml:space="preserve">The key points from the discussion:</w:t>
      </w:r>
    </w:p>
    <w:p>
      <w:pPr>
        <w:pStyle w:val="ListParagraph"/>
        <w:numPr>
          <w:ilvl w:val="0"/>
          <w:numId w:val="2"/>
        </w:numPr>
        <w:spacing w:after="80" w:line="276"/>
      </w:pPr>
      <w:r>
        <w:rPr>
          <w:b/>
          <w:bCs/>
        </w:rPr>
        <w:t xml:space="preserve">Contribution should drive position, not vice versa. </w:t>
      </w:r>
      <w:r>
        <w:t xml:space="preserve">Asking for a specific rank reads as bargaining; stating what you will contribute and letting authorship follow reads as collaborative. An original idea plus sustained statistical support is a substantive contribution with natural standing.</w:t>
      </w:r>
    </w:p>
    <w:p>
      <w:pPr>
        <w:pStyle w:val="ListParagraph"/>
        <w:numPr>
          <w:ilvl w:val="0"/>
          <w:numId w:val="2"/>
        </w:numPr>
        <w:spacing w:after="80" w:line="276"/>
      </w:pPr>
      <w:r>
        <w:rPr>
          <w:b/>
          <w:bCs/>
        </w:rPr>
        <w:t xml:space="preserve">“Top” is the wrong target. </w:t>
      </w:r>
      <w:r>
        <w:t xml:space="preserve">In a long author list, middle positions are fuzzy; first and last (senior/PI) carry the clear signal. Aim for a position that matches the actual contribution rather than a number.</w:t>
      </w:r>
    </w:p>
    <w:p>
      <w:pPr>
        <w:pStyle w:val="ListParagraph"/>
        <w:numPr>
          <w:ilvl w:val="0"/>
          <w:numId w:val="2"/>
        </w:numPr>
        <w:spacing w:after="80" w:line="276"/>
      </w:pPr>
      <w:r>
        <w:rPr>
          <w:b/>
          <w:bCs/>
        </w:rPr>
        <w:t xml:space="preserve">Settle it early. </w:t>
      </w:r>
      <w:r>
        <w:t xml:space="preserve">Author-order disputes are far easier to resolve before the work than after submission — agree up front.</w:t>
      </w:r>
    </w:p>
    <w:p>
      <w:pPr>
        <w:pStyle w:val="Heading2"/>
      </w:pPr>
      <w:r>
        <w:t xml:space="preserve">2.3 Reply sent to Ben</w:t>
      </w:r>
    </w:p>
    <w:p>
      <w:pPr>
        <w:pBdr>
          <w:left w:val="single" w:color="2E75B6" w:sz="18" w:space="12"/>
        </w:pBdr>
        <w:shd w:fill="F2F6FB" w:val="clear"/>
        <w:spacing w:after="160" w:before="80" w:line="276"/>
        <w:ind w:left="360"/>
      </w:pPr>
      <w:r>
        <w:rPr>
          <w:i/>
          <w:iCs/>
        </w:rPr>
        <w:t xml:space="preserve">Hi Ben,</w:t>
      </w:r>
    </w:p>
    <w:p>
      <w:pPr>
        <w:pBdr>
          <w:left w:val="single" w:color="2E75B6" w:sz="18" w:space="12"/>
        </w:pBdr>
        <w:shd w:fill="F2F6FB" w:val="clear"/>
        <w:spacing w:after="160" w:before="80" w:line="276"/>
        <w:ind w:left="360"/>
      </w:pPr>
      <w:r>
        <w:rPr>
          <w:i/>
          <w:iCs/>
        </w:rPr>
        <w:t xml:space="preserve">I haven’t written anything up on this yet — my own plan was to eventually do a more perspective-style piece on it. But if it’s useful for the paper you’re working on, I’d be glad for you to use it, and I’m happy to support properly, including plenty of detail on the statistics side.</w:t>
      </w:r>
    </w:p>
    <w:p>
      <w:pPr>
        <w:pBdr>
          <w:left w:val="single" w:color="2E75B6" w:sz="18" w:space="12"/>
        </w:pBdr>
        <w:shd w:fill="F2F6FB" w:val="clear"/>
        <w:spacing w:after="160" w:before="80" w:line="276"/>
        <w:ind w:left="360"/>
      </w:pPr>
      <w:r>
        <w:rPr>
          <w:i/>
          <w:iCs/>
        </w:rPr>
        <w:t xml:space="preserve">Given that level of involvement, it’d be good to sort out authorship up front — happy to discuss where that lands once we know how much I’m contributing.</w:t>
      </w:r>
    </w:p>
    <w:p>
      <w:pPr>
        <w:pBdr>
          <w:left w:val="single" w:color="2E75B6" w:sz="18" w:space="12"/>
        </w:pBdr>
        <w:shd w:fill="F2F6FB" w:val="clear"/>
        <w:spacing w:after="160" w:before="80" w:line="276"/>
        <w:ind w:left="360"/>
      </w:pPr>
      <w:r>
        <w:rPr>
          <w:i/>
          <w:iCs/>
        </w:rPr>
        <w:t xml:space="preserve">Cheers, Alberto</w:t>
      </w:r>
    </w:p>
    <w:p>
      <w:r>
        <w:br w:type="page"/>
      </w:r>
    </w:p>
    <w:p>
      <w:pPr>
        <w:pStyle w:val="Heading1"/>
      </w:pPr>
      <w:r>
        <w:t xml:space="preserve">3. Deep review of the manuscript</w:t>
      </w:r>
    </w:p>
    <w:p>
      <w:pPr>
        <w:spacing w:after="160" w:line="276"/>
      </w:pPr>
      <w:r>
        <w:rPr>
          <w:b/>
          <w:bCs/>
        </w:rPr>
        <w:t xml:space="preserve">Overall assessment. </w:t>
      </w:r>
      <w:r>
        <w:t xml:space="preserve">A worthwhile, publishable paper with a clear motivation, a real dataset (88 respondents), and a useful output (the draft Table 2). The core finding — that the four terms mean different things to different volcanologists, and most find them unclear — is well supported. The main vulnerability is the gap between the paper’s </w:t>
      </w:r>
      <w:r>
        <w:rPr>
          <w:i/>
          <w:iCs/>
        </w:rPr>
        <w:t xml:space="preserve">descriptive</w:t>
      </w:r>
      <w:r>
        <w:t xml:space="preserve"> strength (good survey evidence) and its </w:t>
      </w:r>
      <w:r>
        <w:rPr>
          <w:i/>
          <w:iCs/>
        </w:rPr>
        <w:t xml:space="preserve">prescriptive</w:t>
      </w:r>
      <w:r>
        <w:t xml:space="preserve"> leap (Table 2’s specific thresholds), which currently rests more on author judgement than on the data or the literature. Tightening that link is where the statistics contribution genuinely adds value.</w:t>
      </w:r>
    </w:p>
    <w:p>
      <w:pPr>
        <w:pStyle w:val="Heading2"/>
      </w:pPr>
      <w:r>
        <w:t xml:space="preserve">3.1 Major issues</w:t>
      </w:r>
    </w:p>
    <w:p>
      <w:pPr>
        <w:pStyle w:val="ListParagraph"/>
        <w:numPr>
          <w:ilvl w:val="0"/>
          <w:numId w:val="3"/>
        </w:numPr>
        <w:spacing w:after="80" w:line="276"/>
      </w:pPr>
      <w:r>
        <w:rPr>
          <w:b/>
          <w:bCs/>
        </w:rPr>
        <w:t xml:space="preserve">The probability framing in Table 2 is asserted, not defended. </w:t>
      </w:r>
      <w:r>
        <w:t xml:space="preserve">The table orders categories by “relative eruption probability” but never confronts what it takes to assign a probability to a given volcano, nor why the thresholds correspond to probability tiers rather than recycled time-since-last-eruption cutoffs. Acknowledge that “relative eruption probability” is currently a proxy (repose time + monitoring), and state what is needed to move from relative to numeric — and why that is infeasible for most volcanoes.</w:t>
      </w:r>
    </w:p>
    <w:p>
      <w:pPr>
        <w:pStyle w:val="ListParagraph"/>
        <w:numPr>
          <w:ilvl w:val="0"/>
          <w:numId w:val="3"/>
        </w:numPr>
        <w:spacing w:after="80" w:line="276"/>
      </w:pPr>
      <w:r>
        <w:rPr>
          <w:b/>
          <w:bCs/>
        </w:rPr>
        <w:t xml:space="preserve">The 500-year threshold is used despite being acknowledged as problematic, and inconsistently. </w:t>
      </w:r>
      <w:r>
        <w:t xml:space="preserve">It is the load-bearing cutoff separating “high” from “moderate,” yet justified circularly. Either give it a defensible basis (record-completeness; see §5) or present it explicitly as a deliberately arbitrary straw-man value for debate.</w:t>
      </w:r>
    </w:p>
    <w:p>
      <w:pPr>
        <w:pStyle w:val="ListParagraph"/>
        <w:numPr>
          <w:ilvl w:val="0"/>
          <w:numId w:val="3"/>
        </w:numPr>
        <w:spacing w:after="80" w:line="276"/>
      </w:pPr>
      <w:r>
        <w:rPr>
          <w:b/>
          <w:bCs/>
        </w:rPr>
        <w:t xml:space="preserve">The Biggs et al. (2014) deformation statistic is over-applied. </w:t>
      </w:r>
      <w:r>
        <w:t xml:space="preserve">A population-level base rate over an 18-year window does not translate to a per-volcano probability over the periods Table 2 implies. Soften, and treat deformation as contributory, not a defining gate.</w:t>
      </w:r>
    </w:p>
    <w:p>
      <w:pPr>
        <w:pStyle w:val="ListParagraph"/>
        <w:numPr>
          <w:ilvl w:val="0"/>
          <w:numId w:val="3"/>
        </w:numPr>
        <w:spacing w:after="80" w:line="276"/>
      </w:pPr>
      <w:r>
        <w:rPr>
          <w:b/>
          <w:bCs/>
        </w:rPr>
        <w:t xml:space="preserve">Internal inconsistency between Table 2 and the prose. </w:t>
      </w:r>
      <w:r>
        <w:t xml:space="preserve">Table 2 lists “Erupting / High / Moderate” sub-levels of Active, but the prose introduces “very active” (not in the table). Pick one label set and use it consistently.</w:t>
      </w:r>
    </w:p>
    <w:p>
      <w:pPr>
        <w:pStyle w:val="ListParagraph"/>
        <w:numPr>
          <w:ilvl w:val="0"/>
          <w:numId w:val="3"/>
        </w:numPr>
        <w:spacing w:after="80" w:line="276"/>
      </w:pPr>
      <w:r>
        <w:rPr>
          <w:b/>
          <w:bCs/>
        </w:rPr>
        <w:t xml:space="preserve">Sample and method reporting is thin. </w:t>
      </w:r>
      <w:r>
        <w:t xml:space="preserve">The abstract says 88 respondents; methods say 86 “complete or nearly complete.” State a single clear N with denominators for each figure, report how coding disagreements were resolved, and name the self-selection bias (Listserv + IAVCEI poster + author networks favour research-oriented volcanologists over observatory/emergency-management practitioners).</w:t>
      </w:r>
    </w:p>
    <w:p>
      <w:pPr>
        <w:pStyle w:val="Heading2"/>
      </w:pPr>
      <w:r>
        <w:t xml:space="preserve">3.2 Moderate issues</w:t>
      </w:r>
    </w:p>
    <w:p>
      <w:pPr>
        <w:pStyle w:val="ListParagraph"/>
        <w:numPr>
          <w:ilvl w:val="0"/>
          <w:numId w:val="2"/>
        </w:numPr>
        <w:spacing w:after="80" w:line="276"/>
      </w:pPr>
      <w:r>
        <w:rPr>
          <w:b/>
          <w:bCs/>
        </w:rPr>
        <w:t xml:space="preserve">Underpowered hypothesis test. </w:t>
      </w:r>
      <w:r>
        <w:t xml:space="preserve">With 86 respondents across five overlapping (multi-select) expertise categories, a null result on “timeframe depends on expertise” is near-guaranteed. Report as “no detectable association (likely underpowered),” not a clean rejection.</w:t>
      </w:r>
    </w:p>
    <w:p>
      <w:pPr>
        <w:pStyle w:val="ListParagraph"/>
        <w:numPr>
          <w:ilvl w:val="0"/>
          <w:numId w:val="2"/>
        </w:numPr>
        <w:spacing w:after="80" w:line="276"/>
      </w:pPr>
      <w:r>
        <w:rPr>
          <w:b/>
          <w:bCs/>
        </w:rPr>
        <w:t xml:space="preserve">Factual/proofreading slips in case examples. </w:t>
      </w:r>
      <w:r>
        <w:t xml:space="preserve">Yellowstone appears in both a Table 2 row and the restless-caldera prose; Vesuvius is discussed but absent from the table; the “Reykjanes → very active” line contradicts the earlier “not erupting” statement. Sanity-check the Whakaari/Sundhnúkur dates.</w:t>
      </w:r>
    </w:p>
    <w:p>
      <w:pPr>
        <w:pStyle w:val="ListParagraph"/>
        <w:numPr>
          <w:ilvl w:val="0"/>
          <w:numId w:val="2"/>
        </w:numPr>
        <w:spacing w:after="80" w:line="276"/>
      </w:pPr>
      <w:r>
        <w:rPr>
          <w:b/>
          <w:bCs/>
        </w:rPr>
        <w:t xml:space="preserve">The eruption-end / “erupting” material is strong but buried. </w:t>
      </w:r>
      <w:r>
        <w:t xml:space="preserve">The Manley et al. machine-learning eruption-end work and the Pompeii/Monte Nuovo “returned too soon” point are the clearest life-safety justification — promote them.</w:t>
      </w:r>
    </w:p>
    <w:p>
      <w:pPr>
        <w:pStyle w:val="ListParagraph"/>
        <w:numPr>
          <w:ilvl w:val="0"/>
          <w:numId w:val="2"/>
        </w:numPr>
        <w:spacing w:after="80" w:line="276"/>
      </w:pPr>
      <w:r>
        <w:rPr>
          <w:b/>
          <w:bCs/>
        </w:rPr>
        <w:t xml:space="preserve">Missing explicit bridge to alert-level systems. </w:t>
      </w:r>
      <w:r>
        <w:t xml:space="preserve">The body never maps the four terms onto alert-level frameworks, despite that being exactly where observatories already make these calls operationally. A natural home for the intro paragraph.</w:t>
      </w:r>
    </w:p>
    <w:p>
      <w:pPr>
        <w:pStyle w:val="Heading2"/>
      </w:pPr>
      <w:r>
        <w:t xml:space="preserve">3.3 Minor issues</w:t>
      </w:r>
    </w:p>
    <w:p>
      <w:pPr>
        <w:pStyle w:val="ListParagraph"/>
        <w:numPr>
          <w:ilvl w:val="0"/>
          <w:numId w:val="2"/>
        </w:numPr>
        <w:spacing w:after="80" w:line="276"/>
      </w:pPr>
      <w:r>
        <w:t xml:space="preserve">Typos: “Manely” → Manley; “relaticely”; “imbedded”; “party or fully” → partly; “there choice” → their; “Pompei.” A full proofreading pass is needed.</w:t>
      </w:r>
    </w:p>
    <w:p>
      <w:pPr>
        <w:pStyle w:val="ListParagraph"/>
        <w:numPr>
          <w:ilvl w:val="0"/>
          <w:numId w:val="2"/>
        </w:numPr>
        <w:spacing w:after="80" w:line="276"/>
      </w:pPr>
      <w:r>
        <w:t xml:space="preserve">“92 days” is unexplained on first use (it is the Smithsonian ≈3-month rule) — state the rationale at first mention.</w:t>
      </w:r>
    </w:p>
    <w:p>
      <w:pPr>
        <w:pStyle w:val="ListParagraph"/>
        <w:numPr>
          <w:ilvl w:val="0"/>
          <w:numId w:val="2"/>
        </w:numPr>
        <w:spacing w:after="80" w:line="276"/>
      </w:pPr>
      <w:r>
        <w:t xml:space="preserve">Incomplete references: Bebbington et al. 2025 has no venue; a “REF” placeholder for the Geological Society glossary; “(refs)” after the Pompeii sentence.</w:t>
      </w:r>
    </w:p>
    <w:p>
      <w:pPr>
        <w:pStyle w:val="ListParagraph"/>
        <w:numPr>
          <w:ilvl w:val="0"/>
          <w:numId w:val="2"/>
        </w:numPr>
        <w:spacing w:after="80" w:line="276"/>
      </w:pPr>
      <w:r>
        <w:t xml:space="preserve">Table 1’s “AI overview” column is a nice device but invite scrutiny; make the justification explicit in the caption.</w:t>
      </w:r>
    </w:p>
    <w:p>
      <w:pPr>
        <w:pStyle w:val="ListParagraph"/>
        <w:numPr>
          <w:ilvl w:val="0"/>
          <w:numId w:val="2"/>
        </w:numPr>
        <w:spacing w:after="80" w:line="276"/>
      </w:pPr>
      <w:r>
        <w:t xml:space="preserve">Ensure Figures 1–2 state N and whether bars are % of respondents or % of responses (these differ under multi-select).</w:t>
      </w:r>
    </w:p>
    <w:p>
      <w:pPr>
        <w:pStyle w:val="Heading2"/>
      </w:pPr>
      <w:r>
        <w:t xml:space="preserve">3.4 Where the contribution lands</w:t>
      </w:r>
    </w:p>
    <w:p>
      <w:pPr>
        <w:spacing w:after="160" w:line="276"/>
      </w:pPr>
      <w:r>
        <w:t xml:space="preserve">The single most valuable addition is a tightly argued treatment of </w:t>
      </w:r>
      <w:r>
        <w:rPr>
          <w:b/>
          <w:bCs/>
        </w:rPr>
        <w:t xml:space="preserve">what “probability-based definitions” can and cannot deliver</w:t>
      </w:r>
      <w:r>
        <w:t xml:space="preserve">, because the paper leans on the concept repeatedly without grounding it. Concretely: a short intro paragraph linking the four terms to alert levels and eruption probability; and two discussion paragraphs distinguishing where recurrence intervals and probabilistic forecasting are robust (long, complete records; well-monitored open-conduit systems) from where short/incomplete records and few-event calderas (Yellowstone, Taupō, Campi Flegrei) make numeric probabilities unstable. That framing converts the paper’s soft spot into a defensible, explicitly-flagged limitation.</w:t>
      </w:r>
    </w:p>
    <w:p>
      <w:r>
        <w:br w:type="page"/>
      </w:r>
    </w:p>
    <w:p>
      <w:pPr>
        <w:pStyle w:val="Heading1"/>
      </w:pPr>
      <w:r>
        <w:t xml:space="preserve">4. Research synthesis: statistical assumptions behind eruption-probability estimation</w:t>
      </w:r>
    </w:p>
    <w:p>
      <w:pPr>
        <w:spacing w:after="160" w:line="276"/>
      </w:pPr>
      <w:r>
        <w:rPr>
          <w:b/>
          <w:bCs/>
        </w:rPr>
        <w:t xml:space="preserve">Bottom line. </w:t>
      </w:r>
      <w:r>
        <w:t xml:space="preserve">The Poisson/exponential assumption commonly used to model repose (inter-eruption) times is a convenient default, not an empirically validated law. It fits some volcanoes reasonably well — notably long-quiescent closed-conduit systems and global aggregates of large eruptions — but is frequently rejected or unprovable for individual volcanoes because catalogues are too short, incomplete, and non-stationary to discriminate among competing distributions. The field should be, and increasingly is, more cautious.</w:t>
      </w:r>
    </w:p>
    <w:p>
      <w:pPr>
        <w:pStyle w:val="Heading2"/>
      </w:pPr>
      <w:r>
        <w:t xml:space="preserve">4.1 Standard practice</w:t>
      </w:r>
    </w:p>
    <w:p>
      <w:pPr>
        <w:spacing w:after="160" w:line="276"/>
      </w:pPr>
      <w:r>
        <w:t xml:space="preserve">Long-term forecasting estimates eruption probability from the distribution of repose times via a homogeneous Poisson process (exponential), a non-homogeneous Poisson (Weibull) process, or stationary renewal models (Weibull, log-normal, gamma, log-logistic, Brownian Passage Time). Institutional frameworks embed these as the temporal node of Bayesian event trees: INGV’s BET_EF / BET_VH (Marzocchi, Sandri, Selva), the Spanish/CSIC HASSET (Sobrade lo, Martí, Bartolini), and USGS and GNS Science workflows, all under the Probabilistic Volcanic Hazard Assessment (PVHA) paradigm (Connor, Bebbington &amp; Marzocchi, 2015).</w:t>
      </w:r>
    </w:p>
    <w:p>
      <w:pPr>
        <w:pStyle w:val="Heading2"/>
      </w:pPr>
      <w:r>
        <w:t xml:space="preserve">4.2 What the empirical testing shows</w:t>
      </w:r>
    </w:p>
    <w:p>
      <w:pPr>
        <w:spacing w:after="160" w:line="276"/>
      </w:pPr>
      <w:r>
        <w:t xml:space="preserve">The recurring theme is non-discrimination — multiple distributions fit, and Poisson often cannot be rejected, not because it is correct but because samples are too small.</w:t>
      </w:r>
    </w:p>
    <w:p>
      <w:pPr>
        <w:pStyle w:val="ListParagraph"/>
        <w:numPr>
          <w:ilvl w:val="0"/>
          <w:numId w:val="2"/>
        </w:numPr>
        <w:spacing w:after="80" w:line="276"/>
      </w:pPr>
      <w:r>
        <w:rPr>
          <w:b/>
          <w:bCs/>
        </w:rPr>
        <w:t xml:space="preserve">New Zealand (Bebbington &amp; Lai 1996): </w:t>
      </w:r>
      <w:r>
        <w:t xml:space="preserve">Poisson fits Ngauruhoe; Weibull renewal needed for Ruapehu; neighbouring volcanoes uncorrelated.</w:t>
      </w:r>
    </w:p>
    <w:p>
      <w:pPr>
        <w:pStyle w:val="ListParagraph"/>
        <w:numPr>
          <w:ilvl w:val="0"/>
          <w:numId w:val="2"/>
        </w:numPr>
        <w:spacing w:after="80" w:line="276"/>
      </w:pPr>
      <w:r>
        <w:rPr>
          <w:b/>
          <w:bCs/>
        </w:rPr>
        <w:t xml:space="preserve">Hawaii (Klein 1982): </w:t>
      </w:r>
      <w:r>
        <w:t xml:space="preserve">largely random, but with significant Kilauea–Mauna Loa anti-correlation and summit clustering — real departures from independence.</w:t>
      </w:r>
    </w:p>
    <w:p>
      <w:pPr>
        <w:pStyle w:val="ListParagraph"/>
        <w:numPr>
          <w:ilvl w:val="0"/>
          <w:numId w:val="2"/>
        </w:numPr>
        <w:spacing w:after="80" w:line="276"/>
      </w:pPr>
      <w:r>
        <w:rPr>
          <w:b/>
          <w:bCs/>
        </w:rPr>
        <w:t xml:space="preserve">Chile — Villarrica, Llaima (Dzierma &amp; Wehrmann 2010): </w:t>
      </w:r>
      <w:r>
        <w:t xml:space="preserve">exponential, Weibull and log-logistic all fit “sufficiently well” — a textbook non-discrimination case.</w:t>
      </w:r>
    </w:p>
    <w:p>
      <w:pPr>
        <w:pStyle w:val="ListParagraph"/>
        <w:numPr>
          <w:ilvl w:val="0"/>
          <w:numId w:val="2"/>
        </w:numPr>
        <w:spacing w:after="80" w:line="276"/>
      </w:pPr>
      <w:r>
        <w:rPr>
          <w:b/>
          <w:bCs/>
        </w:rPr>
        <w:t xml:space="preserve">Global (Papale 2018): </w:t>
      </w:r>
      <w:r>
        <w:t xml:space="preserve">return times of similar-magnitude eruptions follow an exponential distribution; magnitudes follow a scale-invariant power law over six orders of magnitude.</w:t>
      </w:r>
    </w:p>
    <w:p>
      <w:pPr>
        <w:pStyle w:val="Heading2"/>
      </w:pPr>
      <w:r>
        <w:t xml:space="preserve">4.3 Physical basis, failures, and alternatives</w:t>
      </w:r>
    </w:p>
    <w:p>
      <w:pPr>
        <w:spacing w:after="160" w:line="276"/>
      </w:pPr>
      <w:r>
        <w:t xml:space="preserve">Few distributions have genuine mechanistic backing: the exponential is memoryless (convenience); the Weibull has a loose materials-failure link; Brownian Passage Time is borrowed from earthquake stress-accumulation models (Matthews et al. 2002) and applied by García-Aristizábal et al. (2012). Marzocchi &amp; Zaccarelli (2006) offer the most useful taxonomy: short repose → clustered, open-conduit, time-predictable (Etna, Kilauea); long repose → random, closed-conduit, Poissonian. </w:t>
      </w:r>
    </w:p>
    <w:p>
      <w:pPr>
        <w:spacing w:after="160" w:line="276"/>
      </w:pPr>
      <w:r>
        <w:rPr>
          <w:b/>
          <w:bCs/>
        </w:rPr>
        <w:t xml:space="preserve">Failure modes: </w:t>
      </w:r>
      <w:r>
        <w:t xml:space="preserve">catalogue incompleteness (Rougier et al. 2016, 2018 estimate ~40% of large-magnitude explosive eruptions are missing over the last millennium; pre-1100 recording below 20%); non-stationarity vs. clustering identifiability (Bebbington 2010 — apparent clustering may be trends); ambiguous “eruption” definitions; and deglacial/climatic forcing violating stationarity. Yellowstone’s widely-quoted “1 in 730,000” annual probability is, per USGS, based on averaging two intervals between three events — “hardly enough to make a critical judgment.”</w:t>
      </w:r>
    </w:p>
    <w:p>
      <w:pPr>
        <w:spacing w:after="160" w:line="276"/>
      </w:pPr>
      <w:r>
        <w:rPr>
          <w:b/>
          <w:bCs/>
        </w:rPr>
        <w:t xml:space="preserve">Emerging approaches: </w:t>
      </w:r>
      <w:r>
        <w:t xml:space="preserve">trend-renewal processes, hidden Markov regime models, self-exciting Cox-Hawkes processes (Bevilacqua et al. 2016, Campi Flegrei), Bayesian hierarchical and mixture models, and — increasingly — machine-learning precursor forecasting conditioned on seismic/geodetic/gas data, including transfer-learning across many volcanoes (Ardid, Dempsey, Caudron et al. 2025).</w:t>
      </w:r>
    </w:p>
    <w:p>
      <w:pPr>
        <w:pStyle w:val="Heading2"/>
      </w:pPr>
      <w:r>
        <w:t xml:space="preserve">4.4 Implication for the paper</w:t>
      </w:r>
    </w:p>
    <w:p>
      <w:pPr>
        <w:pBdr>
          <w:left w:val="single" w:color="2E75B6" w:sz="18" w:space="12"/>
        </w:pBdr>
        <w:shd w:fill="F2F6FB" w:val="clear"/>
        <w:spacing w:after="160" w:before="80" w:line="276"/>
        <w:ind w:left="360"/>
      </w:pPr>
      <w:r>
        <w:t xml:space="preserve">For most individual volcanoes, the data cannot single out a recurrence distribution; “Poisson not rejected” usually means “insufficient data to reject.” Numeric eruption probabilities are therefore robust mainly for frequently active, well-recorded systems and unstable for few-event calderas — which is precisely why the manuscript’s status tiers must remain </w:t>
      </w:r>
      <w:r>
        <w:rPr>
          <w:b/>
          <w:bCs/>
        </w:rPr>
        <w:t xml:space="preserve">relative</w:t>
      </w:r>
      <w:r>
        <w:t xml:space="preserve"> for now, and why normalising by system size (Giordano &amp; Caricchi 2022) is the sensible interim.</w:t>
      </w:r>
    </w:p>
    <w:p>
      <w:r>
        <w:br w:type="page"/>
      </w:r>
    </w:p>
    <w:p>
      <w:pPr>
        <w:pStyle w:val="Heading1"/>
      </w:pPr>
      <w:r>
        <w:t xml:space="preserve">5. Research briefing: evidence and precedent for the proposed terms and thresholds</w:t>
      </w:r>
    </w:p>
    <w:p>
      <w:pPr>
        <w:pStyle w:val="Heading2"/>
      </w:pPr>
      <w:r>
        <w:t xml:space="preserve">5.1 The four core terms</w:t>
      </w:r>
    </w:p>
    <w:p>
      <w:pPr>
        <w:pStyle w:val="ListParagraph"/>
        <w:numPr>
          <w:ilvl w:val="0"/>
          <w:numId w:val="2"/>
        </w:numPr>
        <w:spacing w:after="80" w:line="276"/>
      </w:pPr>
      <w:r>
        <w:rPr>
          <w:b/>
          <w:bCs/>
        </w:rPr>
        <w:t xml:space="preserve">“Active” = Holocene eruption </w:t>
      </w:r>
      <w:r>
        <w:t xml:space="preserve">is the dominant convention (Smithsonian GVP; JMA uses ~10,000 yr having migrated up from a historical ~2,000-yr window; NPS calls 10,000 yr “a convenient cut-off … used by convention”).</w:t>
      </w:r>
    </w:p>
    <w:p>
      <w:pPr>
        <w:pStyle w:val="ListParagraph"/>
        <w:numPr>
          <w:ilvl w:val="0"/>
          <w:numId w:val="2"/>
        </w:numPr>
        <w:spacing w:after="80" w:line="276"/>
      </w:pPr>
      <w:r>
        <w:rPr>
          <w:b/>
          <w:bCs/>
        </w:rPr>
        <w:t xml:space="preserve">Szakács (1994) </w:t>
      </w:r>
      <w:r>
        <w:t xml:space="preserve">is the foundational precedent: calls the terms “empirical, conventional, inaccurate, nongeological, and arbitrarily constraining,” and proposes type-dependent thresholds of 1,000 / 10,000 / 100,000 yr for shields / composite volcanoes / silicic calderas — direct support for normalising timescales to the system.</w:t>
      </w:r>
    </w:p>
    <w:p>
      <w:pPr>
        <w:pStyle w:val="ListParagraph"/>
        <w:numPr>
          <w:ilvl w:val="0"/>
          <w:numId w:val="2"/>
        </w:numPr>
        <w:spacing w:after="80" w:line="276"/>
      </w:pPr>
      <w:r>
        <w:rPr>
          <w:b/>
          <w:bCs/>
        </w:rPr>
        <w:t xml:space="preserve">“Dormant” is widely regarded as unscientific </w:t>
      </w:r>
      <w:r>
        <w:t xml:space="preserve">(the Encyclopedia of Volcanoes glossary omits it); USGS YVO (2022) treats it as informal shorthand for “potentially active” and argues Yellowstone is “active but dormant” because magma is present.</w:t>
      </w:r>
    </w:p>
    <w:p>
      <w:pPr>
        <w:pStyle w:val="ListParagraph"/>
        <w:numPr>
          <w:ilvl w:val="0"/>
          <w:numId w:val="2"/>
        </w:numPr>
        <w:spacing w:after="80" w:line="276"/>
      </w:pPr>
      <w:r>
        <w:rPr>
          <w:b/>
          <w:bCs/>
        </w:rPr>
        <w:t xml:space="preserve">Cross-anchor: </w:t>
      </w:r>
      <w:r>
        <w:t xml:space="preserve">Cañón-Tapia &amp; Szakács (2010), What Is a Volcano? (GSA Special Paper 470), explicitly draws the Pluto/planet analogy.</w:t>
      </w:r>
    </w:p>
    <w:p>
      <w:pPr>
        <w:pStyle w:val="Heading2"/>
      </w:pPr>
      <w:r>
        <w:t xml:space="preserve">5.2 The thresholds — supported vs. arbitrary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2200"/>
        <w:gridCol w:w="5310"/>
      </w:tblGrid>
      <w:tr>
        <w:trPr>
          <w:tblHeader/>
        </w:trPr>
        <w:tc>
          <w:tcPr>
            <w:tcW w:type="dxa" w:w="1850"/>
            <w:tcBorders>
              <w:top w:val="single" w:color="BFBFBF" w:sz="1"/>
              <w:left w:val="single" w:color="BFBFBF" w:sz="1"/>
              <w:bottom w:val="single" w:color="BFBFBF" w:sz="1"/>
              <w:right w:val="single" w:color="BFBFBF" w:sz="1"/>
            </w:tcBorders>
            <w:shd w:fill="1F3A5F" w:val="clear"/>
            <w:tcMar>
              <w:top w:type="dxa" w:w="60"/>
              <w:left w:type="dxa" w:w="110"/>
              <w:bottom w:type="dxa" w:w="60"/>
              <w:right w:type="dxa" w:w="110"/>
            </w:tcMar>
          </w:tcPr>
          <w:p>
            <w:pPr>
              <w:spacing w:after="0" w:line="252"/>
            </w:pPr>
            <w:r>
              <w:rPr>
                <w:b/>
                <w:bCs/>
                <w:color w:val="FFFFFF"/>
                <w:sz w:val="20"/>
                <w:szCs w:val="20"/>
              </w:rPr>
              <w:t xml:space="preserve">Threshold</w:t>
            </w:r>
          </w:p>
        </w:tc>
        <w:tc>
          <w:tcPr>
            <w:tcW w:type="dxa" w:w="2200"/>
            <w:tcBorders>
              <w:top w:val="single" w:color="BFBFBF" w:sz="1"/>
              <w:left w:val="single" w:color="BFBFBF" w:sz="1"/>
              <w:bottom w:val="single" w:color="BFBFBF" w:sz="1"/>
              <w:right w:val="single" w:color="BFBFBF" w:sz="1"/>
            </w:tcBorders>
            <w:shd w:fill="1F3A5F" w:val="clear"/>
            <w:tcMar>
              <w:top w:type="dxa" w:w="60"/>
              <w:left w:type="dxa" w:w="110"/>
              <w:bottom w:type="dxa" w:w="60"/>
              <w:right w:type="dxa" w:w="110"/>
            </w:tcMar>
          </w:tcPr>
          <w:p>
            <w:pPr>
              <w:spacing w:after="0" w:line="252"/>
            </w:pPr>
            <w:r>
              <w:rPr>
                <w:b/>
                <w:bCs/>
                <w:color w:val="FFFFFF"/>
                <w:sz w:val="20"/>
                <w:szCs w:val="20"/>
              </w:rPr>
              <w:t xml:space="preserve">Status</w:t>
            </w:r>
          </w:p>
        </w:tc>
        <w:tc>
          <w:tcPr>
            <w:tcW w:type="dxa" w:w="5310"/>
            <w:tcBorders>
              <w:top w:val="single" w:color="BFBFBF" w:sz="1"/>
              <w:left w:val="single" w:color="BFBFBF" w:sz="1"/>
              <w:bottom w:val="single" w:color="BFBFBF" w:sz="1"/>
              <w:right w:val="single" w:color="BFBFBF" w:sz="1"/>
            </w:tcBorders>
            <w:shd w:fill="1F3A5F" w:val="clear"/>
            <w:tcMar>
              <w:top w:type="dxa" w:w="60"/>
              <w:left w:type="dxa" w:w="110"/>
              <w:bottom w:type="dxa" w:w="60"/>
              <w:right w:type="dxa" w:w="110"/>
            </w:tcMar>
          </w:tcPr>
          <w:p>
            <w:pPr>
              <w:spacing w:after="0" w:line="252"/>
            </w:pPr>
            <w:r>
              <w:rPr>
                <w:b/>
                <w:bCs/>
                <w:color w:val="FFFFFF"/>
                <w:sz w:val="20"/>
                <w:szCs w:val="20"/>
              </w:rPr>
              <w:t xml:space="preserve">Basis</w:t>
            </w:r>
          </w:p>
        </w:tc>
      </w:tr>
      <w:tr>
        <w:tc>
          <w:tcPr>
            <w:tcW w:type="dxa" w:w="1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≈3 months (‘92 days’)</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Well-established convention</w:t>
            </w:r>
          </w:p>
        </w:tc>
        <w:tc>
          <w:tcPr>
            <w:tcW w:type="dxa" w:w="53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GVP rule: renewed activity after &gt;3 months = new eruption (Simkin &amp; Siebert 1981; Siebert et al. 2010).</w:t>
            </w:r>
          </w:p>
        </w:tc>
      </w:tr>
      <w:tr>
        <w:tc>
          <w:tcPr>
            <w:tcW w:type="dxa" w:w="1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Holocene / ~12,000 yr</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Strong convention</w:t>
            </w:r>
          </w:p>
        </w:tc>
        <w:tc>
          <w:tcPr>
            <w:tcW w:type="dxa" w:w="53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GVP, JMA, NPS; tied to the formal Holocene GSSP.</w:t>
            </w:r>
          </w:p>
        </w:tc>
      </w:tr>
      <w:tr>
        <w:tc>
          <w:tcPr>
            <w:tcW w:type="dxa" w:w="1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~2.5 Myr (Quaternary)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Defensible by analogy</w:t>
            </w:r>
          </w:p>
        </w:tc>
        <w:tc>
          <w:tcPr>
            <w:tcW w:type="dxa" w:w="53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Matches Quaternary base and “Quaternary active fault” concept; reasonable for the largest calderas.</w:t>
            </w:r>
          </w:p>
        </w:tc>
      </w:tr>
      <w:tr>
        <w:tc>
          <w:tcPr>
            <w:tcW w:type="dxa" w:w="1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500 yr (‘very active’)</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Essentially arbitrary — flag it</w:t>
            </w:r>
          </w:p>
        </w:tc>
        <w:tc>
          <w:tcPr>
            <w:tcW w:type="dxa" w:w="53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No magmatic or terminological precedent. Defensible ONLY as a record-completeness proxy (≈ post-1500 CE).</w:t>
            </w:r>
          </w:p>
        </w:tc>
      </w:tr>
    </w:tbl>
    <w:p>
      <w:pPr>
        <w:spacing w:after="60"/>
      </w:pPr>
      <w:r>
        <w:t xml:space="preserve"/>
      </w:r>
    </w:p>
    <w:p>
      <w:pPr>
        <w:spacing w:after="160" w:line="276"/>
      </w:pPr>
      <w:r>
        <w:rPr>
          <w:b/>
          <w:bCs/>
        </w:rPr>
        <w:t xml:space="preserve">The 500-year fix. </w:t>
      </w:r>
      <w:r>
        <w:t xml:space="preserve">Present it honestly as a record-completeness convention, not a magmatic timescale. Global eruption catalogues jump in completeness around 1500 CE (printing + Age of Discovery); Brown et al. (2014, LaMEVE) find 50% of known Quaternary M≥4 eruptions fall in just the last ~20,000 years, and the FRESH database (Schmid et al. 2022) shows the reliable-recording date is strongly region-specific. This converts an arbitrary-looking number into a sourced, defensible choice and pre-empts the obvious referee objection.</w:t>
      </w:r>
    </w:p>
    <w:p>
      <w:pPr>
        <w:pStyle w:val="Heading2"/>
      </w:pPr>
      <w:r>
        <w:t xml:space="preserve">5.3 Monitoring/unrest criteria</w:t>
      </w:r>
    </w:p>
    <w:p>
      <w:pPr>
        <w:spacing w:after="160" w:line="276"/>
      </w:pPr>
      <w:r>
        <w:rPr>
          <w:b/>
          <w:bCs/>
        </w:rPr>
        <w:t xml:space="preserve">Biggs et al. (2014, Nature Communications): </w:t>
      </w:r>
      <w:r>
        <w:t xml:space="preserve">of 198 volcanoes observed ~18 years, 54 deformed and 25 of those erupted (46%), while 94% of non-deforming volcanoes did not erupt — “strong” evidential worth, but the authors stress deformation alone is not a precursor of imminent eruption. </w:t>
      </w:r>
      <w:r>
        <w:rPr>
          <w:b/>
          <w:bCs/>
        </w:rPr>
        <w:t xml:space="preserve">Phillipson et al. (2013): </w:t>
      </w:r>
      <w:r>
        <w:t xml:space="preserve">most unrest episodes globally do not culminate in eruption. Conclusion: treat detectable monitoring signals as a contributory, probability-raising indicator — not a sole categorical gate.</w:t>
      </w:r>
    </w:p>
    <w:p>
      <w:pPr>
        <w:pStyle w:val="Heading2"/>
      </w:pPr>
      <w:r>
        <w:t xml:space="preserve">5.4 Normalising by system size</w:t>
      </w:r>
    </w:p>
    <w:p>
      <w:pPr>
        <w:spacing w:after="160" w:line="276"/>
      </w:pPr>
      <w:r>
        <w:rPr>
          <w:b/>
          <w:bCs/>
        </w:rPr>
        <w:t xml:space="preserve">Giordano &amp; Caricchi (2022, Annu. Rev. Earth Planet. Sci.): </w:t>
      </w:r>
      <w:r>
        <w:t xml:space="preserve">their Volcanic Activity Index estimates a system’s future eruptive potential and shows “long dormancy does not imply extinction” — large systems can retain eruptible magma across tens of thousands of years, detectable geophysically. This is the central scientific justification for the paper’s recurrence-normalised, volcano-specific approach.</w:t>
      </w:r>
    </w:p>
    <w:p>
      <w:pPr>
        <w:pStyle w:val="Heading2"/>
      </w:pPr>
      <w:r>
        <w:t xml:space="preserve">5.5 Cross-field models for standardisation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A5F" w:val="clear"/>
            <w:tcMar>
              <w:top w:type="dxa" w:w="60"/>
              <w:left w:type="dxa" w:w="110"/>
              <w:bottom w:type="dxa" w:w="60"/>
              <w:right w:type="dxa" w:w="110"/>
            </w:tcMar>
          </w:tcPr>
          <w:p>
            <w:pPr>
              <w:spacing w:after="0" w:line="252"/>
            </w:pPr>
            <w:r>
              <w:rPr>
                <w:b/>
                <w:bCs/>
                <w:color w:val="FFFFFF"/>
                <w:sz w:val="20"/>
                <w:szCs w:val="20"/>
              </w:rPr>
              <w:t xml:space="preserve">Field / body</w:t>
            </w:r>
          </w:p>
        </w:tc>
        <w:tc>
          <w:tcPr>
            <w:tcW w:type="dxa" w:w="6760"/>
            <w:tcBorders>
              <w:top w:val="single" w:color="BFBFBF" w:sz="1"/>
              <w:left w:val="single" w:color="BFBFBF" w:sz="1"/>
              <w:bottom w:val="single" w:color="BFBFBF" w:sz="1"/>
              <w:right w:val="single" w:color="BFBFBF" w:sz="1"/>
            </w:tcBorders>
            <w:shd w:fill="1F3A5F" w:val="clear"/>
            <w:tcMar>
              <w:top w:type="dxa" w:w="60"/>
              <w:left w:type="dxa" w:w="110"/>
              <w:bottom w:type="dxa" w:w="60"/>
              <w:right w:type="dxa" w:w="110"/>
            </w:tcMar>
          </w:tcPr>
          <w:p>
            <w:pPr>
              <w:spacing w:after="0" w:line="252"/>
            </w:pPr>
            <w:r>
              <w:rPr>
                <w:b/>
                <w:bCs/>
                <w:color w:val="FFFFFF"/>
                <w:sz w:val="20"/>
                <w:szCs w:val="20"/>
              </w:rPr>
              <w:t xml:space="preserve">Lesson for the paper</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Active-fault definitions (seismology)</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Closest analogue: tiered, timescale-explicit “Holocene / Late-Quaternary / Quaternary active,” with thresholds that vary by tectonic setting. Mirror this vocabulary.</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IUGS / ICS (stratigraphy)</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Gold standard: durable global consensus on time boundaries via ratified GSSPs and a periodically revised chart. Model the process.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IUPAC (chemistry)</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Centrally stewarded, periodically revised nomenclature (Colour Books). Model for a living IAVCEI glossary.</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IAU / Pluto (2006)</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Model AND cautionary tale: a small committee reached consensus, but a narrowly-participated vote (~424 of ~10,000) fuelled lasting non-adoption. Process legitimacy is essential.</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NOAA Saffir–Simpson / Enhanced Fujita</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52"/>
            </w:pPr>
            <w:r>
              <w:rPr>
                <w:b w:val="false"/>
                <w:bCs w:val="false"/>
                <w:color w:val="000000"/>
                <w:sz w:val="20"/>
                <w:szCs w:val="20"/>
              </w:rPr>
              <w:t xml:space="preserve">Public-facing tiered hazard scales succeed when each tier maps to a concrete consequence — and get revised as understanding improves (Fujita → EF).</w:t>
            </w:r>
          </w:p>
        </w:tc>
      </w:tr>
    </w:tbl>
    <w:p>
      <w:pPr>
        <w:spacing w:after="60"/>
      </w:pPr>
      <w:r>
        <w:t xml:space="preserve"/>
      </w:r>
    </w:p>
    <w:p>
      <w:pPr>
        <w:spacing w:after="160" w:line="276"/>
      </w:pPr>
      <w:r>
        <w:rPr>
          <w:b/>
          <w:bCs/>
        </w:rPr>
        <w:t xml:space="preserve">Within volcanology: </w:t>
      </w:r>
      <w:r>
        <w:t xml:space="preserve">Volcano Alert Level Systems already encode eruption probability (Fearnley &amp; Beaven 2018; Pallister et al. 2019; Lowenstern et al. 2021/2022). Position the status taxonomy as the long-term backbone onto which short-term alert-level changes are superimposed — coherent, not competing.</w:t>
      </w:r>
    </w:p>
    <w:p>
      <w:pPr>
        <w:spacing w:after="160" w:line="276"/>
      </w:pPr>
      <w:r>
        <w:rPr>
          <w:b/>
          <w:bCs/>
        </w:rPr>
        <w:t xml:space="preserve">Communicating tiers: </w:t>
      </w:r>
      <w:r>
        <w:t xml:space="preserve">Doyle et al. (2014) show verbal likelihood terms are interpreted inconsistently and shaped by experience and bias. Pair any “high/moderate/low” labels with explicit timeframes and, where possible, numeric ranges.</w:t>
      </w:r>
    </w:p>
    <w:p>
      <w:pPr>
        <w:pStyle w:val="Heading2"/>
      </w:pPr>
      <w:r>
        <w:t xml:space="preserve">5.6 Staged recommendations</w:t>
      </w:r>
    </w:p>
    <w:p>
      <w:pPr>
        <w:pStyle w:val="ListParagraph"/>
        <w:numPr>
          <w:ilvl w:val="0"/>
          <w:numId w:val="4"/>
        </w:numPr>
        <w:spacing w:after="80" w:line="276"/>
      </w:pPr>
      <w:r>
        <w:t xml:space="preserve">Adopt the Holocene (~12,000 yr) and Quaternary (~2.5 Myr) boundaries as-is, citing GVP, JMA, NPS, and the active-fault analogue.</w:t>
      </w:r>
    </w:p>
    <w:p>
      <w:pPr>
        <w:pStyle w:val="ListParagraph"/>
        <w:numPr>
          <w:ilvl w:val="0"/>
          <w:numId w:val="4"/>
        </w:numPr>
        <w:spacing w:after="80" w:line="276"/>
      </w:pPr>
      <w:r>
        <w:t xml:space="preserve">Reframe the 500-year threshold explicitly as a record-completeness convention (≈ post-1500 CE), regionally adjustable (Brown et al. 2014; Schmid et al. 2022).</w:t>
      </w:r>
    </w:p>
    <w:p>
      <w:pPr>
        <w:pStyle w:val="ListParagraph"/>
        <w:numPr>
          <w:ilvl w:val="0"/>
          <w:numId w:val="4"/>
        </w:numPr>
        <w:spacing w:after="80" w:line="276"/>
      </w:pPr>
      <w:r>
        <w:t xml:space="preserve">Demote deformation/monitoring from a defining to a contributory criterion, citing Biggs et al. (2014: 46% / 94%) and Phillipson et al. (2013).</w:t>
      </w:r>
    </w:p>
    <w:p>
      <w:pPr>
        <w:pStyle w:val="ListParagraph"/>
        <w:numPr>
          <w:ilvl w:val="0"/>
          <w:numId w:val="4"/>
        </w:numPr>
        <w:spacing w:after="80" w:line="276"/>
      </w:pPr>
      <w:r>
        <w:t xml:space="preserve">Normalise thresholds to recurrence interval / magmatic state (Szakács 1994; Giordano &amp; Caricchi 2022); carve out few-event calderas as cases where elapsed-time rules fail.</w:t>
      </w:r>
    </w:p>
    <w:p>
      <w:pPr>
        <w:pStyle w:val="ListParagraph"/>
        <w:numPr>
          <w:ilvl w:val="0"/>
          <w:numId w:val="4"/>
        </w:numPr>
        <w:spacing w:after="80" w:line="276"/>
      </w:pPr>
      <w:r>
        <w:t xml:space="preserve">Recommend IAVCEI as steward, modelling the process on IUGS/ICS and IUPAC, citing IAU/Pluto as the cautionary example; pair verbal tiers with numeric anchors (Doyle et al. 2014).</w:t>
      </w:r>
    </w:p>
    <w:p>
      <w:pPr>
        <w:pStyle w:val="ListParagraph"/>
        <w:numPr>
          <w:ilvl w:val="0"/>
          <w:numId w:val="4"/>
        </w:numPr>
        <w:spacing w:after="80" w:line="276"/>
      </w:pPr>
      <w:r>
        <w:t xml:space="preserve">Position the status taxonomy as the long-term backbone for alert levels (Fearnley &amp; Beaven 2018; Pallister et al. 2019).</w:t>
      </w:r>
    </w:p>
    <w:p>
      <w:pPr>
        <w:pStyle w:val="Heading1"/>
      </w:pPr>
      <w:r>
        <w:t xml:space="preserve">6. Draft text for the manuscript</w:t>
      </w:r>
    </w:p>
    <w:p>
      <w:pPr>
        <w:spacing w:after="160" w:line="276"/>
      </w:pPr>
      <w:r>
        <w:rPr>
          <w:i/>
          <w:iCs/>
        </w:rPr>
        <w:t xml:space="preserve">Drop-in paragraphs, written to slot into the existing manuscript and to use citations already likely in its reference list. Verify wording against the live draft before insertion.</w:t>
      </w:r>
    </w:p>
    <w:p>
      <w:pPr>
        <w:pStyle w:val="Heading2"/>
      </w:pPr>
      <w:r>
        <w:t xml:space="preserve">6.1 Introduction paragraph (terminology → alert levels → probability)</w:t>
      </w:r>
    </w:p>
    <w:p>
      <w:pPr>
        <w:pBdr>
          <w:left w:val="single" w:color="2E75B6" w:sz="18" w:space="12"/>
        </w:pBdr>
        <w:shd w:fill="F2F6FB" w:val="clear"/>
        <w:spacing w:after="160" w:before="80" w:line="276"/>
        <w:ind w:left="360"/>
      </w:pPr>
      <w:r>
        <w:t xml:space="preserve">The terms “erupting,” “active,” “dormant,” and “extinct” attempt to compress a continuous, physically uncertain quantity — the probability that a volcano will erupt within a societally relevant timeframe — into a small number of discrete labels. In this respect they are the long-term, baseline counterpart to the short-term Volcano Alert Level Systems operated by observatories worldwide, which already translate the evolving state of a volcano into discrete, action-oriented categories (Fearnley and Beaven, 2018; Pallister et al., 2019). Both systems are, at root, communications of eruption probability: alert levels track rapid, monitoring-driven changes over hours to months, whereas activity-status terms should encode the slowly varying, geologically-derived background probability over years to millennia. Modern eruption forecasting makes this probabilistic foundation explicit, combining long-term recurrence rates from the geological and historical record with short-term monitoring signals through statistical models, expert elicitation, and event trees (Connor et al., 2015; Poland and Anderson, 2020; Bebbington, 2025). It is therefore natural — and we argue, necessary — to reorganise activity-status terminology around relative eruption probability, so that the status of a volcano, the recurrence interval of its magmatic system (Giordano and Caricchi, 2022), and the alert level it carries during unrest form a single coherent framework rather than three loosely related vocabularies.</w:t>
      </w:r>
    </w:p>
    <w:p>
      <w:pPr>
        <w:pStyle w:val="Heading2"/>
      </w:pPr>
      <w:r>
        <w:t xml:space="preserve">6.2 Discussion paragraph A (where probability-based definitions work)</w:t>
      </w:r>
    </w:p>
    <w:p>
      <w:pPr>
        <w:pBdr>
          <w:left w:val="single" w:color="2E75B6" w:sz="18" w:space="12"/>
        </w:pBdr>
        <w:shd w:fill="F2F6FB" w:val="clear"/>
        <w:spacing w:after="160" w:before="80" w:line="276"/>
        <w:ind w:left="360"/>
      </w:pPr>
      <w:r>
        <w:t xml:space="preserve">Reorganising terminology around relative eruption probability is defensible precisely where the underlying probabilities are estimable. At frequently active, well-monitored systems with rich eruptive records — Kīlauea, Etna, Stromboli, Sakurajima — recurrence intervals are short relative to the observational record, and both long-term frequencies and short-term monitoring-based forecasts are comparatively robust (Connor et al., 2015; Poland and Anderson, 2020). For such volcanoes the proposed tiers map cleanly onto quantities that can actually be computed and updated. The deformation–eruption relationship quantified by Biggs et al. (2014) — in which 25 of 54 deforming volcanoes (46%) erupted over an 18-year window, while 94% of non-deforming volcanoes did not — provides empirical, if imperfect, support for treating detectable monitoring signals as a probability-raising criterion. We stress, however, that because roughly half of deforming volcanoes did not erupt, and because most documented unrest episodes do not culminate in eruption (Phillipson et al., 2013), monitoring signals are best treated as one of several contributory indicators rather than as a single decisive boundary between probability classes.</w:t>
      </w:r>
    </w:p>
    <w:p>
      <w:pPr>
        <w:pStyle w:val="Heading2"/>
      </w:pPr>
      <w:r>
        <w:t xml:space="preserve">6.3 Discussion paragraph B (the limits, and the 500-year justification)</w:t>
      </w:r>
    </w:p>
    <w:p>
      <w:pPr>
        <w:pBdr>
          <w:left w:val="single" w:color="2E75B6" w:sz="18" w:space="12"/>
        </w:pBdr>
        <w:shd w:fill="F2F6FB" w:val="clear"/>
        <w:spacing w:after="160" w:before="80" w:line="276"/>
        <w:ind w:left="360"/>
      </w:pPr>
      <w:r>
        <w:t xml:space="preserve">The limits of a probability-based scheme are most acute at the opposite end of the frequency spectrum: large calderas and other few-event systems such as Yellowstone, Long Valley, Taupō, and Campi Flegrei. Here the inter-eruption interval can exceed the entire length of the reliable record by one or more orders of magnitude, so that the number of dated events is too small to constrain a recurrence distribution, and numeric annual probabilities become unstable and highly model-dependent. The problem is compounded by the well-documented incompleteness of the eruption record: globally, only about half of all known Quaternary eruptions are recorded within the last ~20,000 years, and the catalogue of even moderately large events is substantially incomplete before ~1500 CE, with the date of reliable recording varying markedly by region (Brown et al., 2014; Schmid et al., 2022). This incompleteness is the principal — and, we argue, the only defensible — justification for any threshold near 500 years: such a line approximates the period over which the global written record becomes broadly trustworthy, rather than corresponding to any magmatic timescale, and should be presented as a regionally-adjustable convention. Crucially, for the largest systems long quiescence does not imply low future potential, because eruptible magma can persist through repose intervals of tens of thousands of years (Giordano and Caricchi, 2022); a purely time-since-last-eruption rule would mislabel such volcanoes as “extinct.” This is why we normalise the time-based thresholds to the recurrence interval and inferred state of each magmatic system. Finally, even a well-constructed taxonomy will not communicate itself: verbal likelihood terms are interpreted inconsistently (Doyle et al., 2014), so adopted tier labels should be anchored to explicit timeframes and, where possible, numeric probability ranges, and the terminology stewarded as a living, revisable standard by IAVCEI.</w:t>
      </w:r>
    </w:p>
    <w:p>
      <w:r>
        <w:br w:type="page"/>
      </w:r>
    </w:p>
    <w:p>
      <w:pPr>
        <w:pStyle w:val="Heading1"/>
      </w:pPr>
      <w:r>
        <w:t xml:space="preserve">7. Key references</w:t>
      </w:r>
    </w:p>
    <w:p>
      <w:pPr>
        <w:spacing w:after="80" w:line="264"/>
        <w:ind w:left="360" w:hanging="360"/>
      </w:pPr>
      <w:r>
        <w:rPr>
          <w:sz w:val="20"/>
          <w:szCs w:val="20"/>
        </w:rPr>
        <w:t xml:space="preserve">Bebbington, M.S. (2010). Trends and clustering in the onsets of volcanic eruptions. J. Geophys. Res. 115, B01203.</w:t>
      </w:r>
    </w:p>
    <w:p>
      <w:pPr>
        <w:spacing w:after="80" w:line="264"/>
        <w:ind w:left="360" w:hanging="360"/>
      </w:pPr>
      <w:r>
        <w:rPr>
          <w:sz w:val="20"/>
          <w:szCs w:val="20"/>
        </w:rPr>
        <w:t xml:space="preserve">Bebbington, M.S. &amp; Lai, C.D. (1996). Statistical analysis of New Zealand volcanic occurrence data. J. Volcanol. Geotherm. Res.</w:t>
      </w:r>
    </w:p>
    <w:p>
      <w:pPr>
        <w:spacing w:after="80" w:line="264"/>
        <w:ind w:left="360" w:hanging="360"/>
      </w:pPr>
      <w:r>
        <w:rPr>
          <w:sz w:val="20"/>
          <w:szCs w:val="20"/>
        </w:rPr>
        <w:t xml:space="preserve">Bevilacqua, A. et al. (2016). Temporal models for the episodic volcanism of Campi Flegrei … J. Geophys. Res. Solid Earth 121, 7821–7845.</w:t>
      </w:r>
    </w:p>
    <w:p>
      <w:pPr>
        <w:spacing w:after="80" w:line="264"/>
        <w:ind w:left="360" w:hanging="360"/>
      </w:pPr>
      <w:r>
        <w:rPr>
          <w:sz w:val="20"/>
          <w:szCs w:val="20"/>
        </w:rPr>
        <w:t xml:space="preserve">Biggs, J. et al. (2014). Global link between deformation and volcanic eruption quantified by satellite imagery. Nat. Commun. 5, 3471.</w:t>
      </w:r>
    </w:p>
    <w:p>
      <w:pPr>
        <w:spacing w:after="80" w:line="264"/>
        <w:ind w:left="360" w:hanging="360"/>
      </w:pPr>
      <w:r>
        <w:rPr>
          <w:sz w:val="20"/>
          <w:szCs w:val="20"/>
        </w:rPr>
        <w:t xml:space="preserve">Brown, S.K. et al. (2014). Characterisation of the Quaternary eruption record: analysis of the LaMEVE database. J. Appl. Volcanol. 3, 5.</w:t>
      </w:r>
    </w:p>
    <w:p>
      <w:pPr>
        <w:spacing w:after="80" w:line="264"/>
        <w:ind w:left="360" w:hanging="360"/>
      </w:pPr>
      <w:r>
        <w:rPr>
          <w:sz w:val="20"/>
          <w:szCs w:val="20"/>
        </w:rPr>
        <w:t xml:space="preserve">Cañón-Tapia, E. &amp; Szakács, A. (eds.) (2010). What Is a Volcano? GSA Special Paper 470.</w:t>
      </w:r>
    </w:p>
    <w:p>
      <w:pPr>
        <w:spacing w:after="80" w:line="264"/>
        <w:ind w:left="360" w:hanging="360"/>
      </w:pPr>
      <w:r>
        <w:rPr>
          <w:sz w:val="20"/>
          <w:szCs w:val="20"/>
        </w:rPr>
        <w:t xml:space="preserve">Connor, C., Bebbington, M. &amp; Marzocchi, W. (2015). Probabilistic Volcanic Hazard Assessment. In The Encyclopedia of Volcanoes (2nd ed.), 897–910.</w:t>
      </w:r>
    </w:p>
    <w:p>
      <w:pPr>
        <w:spacing w:after="80" w:line="264"/>
        <w:ind w:left="360" w:hanging="360"/>
      </w:pPr>
      <w:r>
        <w:rPr>
          <w:sz w:val="20"/>
          <w:szCs w:val="20"/>
        </w:rPr>
        <w:t xml:space="preserve">Doyle, E.E.H. et al. (2014). Communicating likelihoods and probabilities in forecasts of volcanic eruptions. J. Volcanol. Geotherm. Res. 272, 1–15.</w:t>
      </w:r>
    </w:p>
    <w:p>
      <w:pPr>
        <w:spacing w:after="80" w:line="264"/>
        <w:ind w:left="360" w:hanging="360"/>
      </w:pPr>
      <w:r>
        <w:rPr>
          <w:sz w:val="20"/>
          <w:szCs w:val="20"/>
        </w:rPr>
        <w:t xml:space="preserve">Dzierma, Y. &amp; Wehrmann, H. (2010). Eruption time series … Villarrica and Llaima. J. Volcanol. Geotherm. Res.</w:t>
      </w:r>
    </w:p>
    <w:p>
      <w:pPr>
        <w:spacing w:after="80" w:line="264"/>
        <w:ind w:left="360" w:hanging="360"/>
      </w:pPr>
      <w:r>
        <w:rPr>
          <w:sz w:val="20"/>
          <w:szCs w:val="20"/>
        </w:rPr>
        <w:t xml:space="preserve">Fearnley, C.J. &amp; Beaven, S. (2018). Volcano alert level systems … Bull. Volcanol. 80, 46.</w:t>
      </w:r>
    </w:p>
    <w:p>
      <w:pPr>
        <w:spacing w:after="80" w:line="264"/>
        <w:ind w:left="360" w:hanging="360"/>
      </w:pPr>
      <w:r>
        <w:rPr>
          <w:sz w:val="20"/>
          <w:szCs w:val="20"/>
        </w:rPr>
        <w:t xml:space="preserve">García-Aristizábal, A., Marzocchi, W. &amp; Fujita, E. (2012). A Brownian model for recurrent volcanic eruptions … Miyakejima. Bull. Volcanol. 74, 545–558.</w:t>
      </w:r>
    </w:p>
    <w:p>
      <w:pPr>
        <w:spacing w:after="80" w:line="264"/>
        <w:ind w:left="360" w:hanging="360"/>
      </w:pPr>
      <w:r>
        <w:rPr>
          <w:sz w:val="20"/>
          <w:szCs w:val="20"/>
        </w:rPr>
        <w:t xml:space="preserve">Giordano, G. &amp; Caricchi, L. (2022). Determining the State of Activity of Transcrustal Magmatic Systems and Their Volcanoes. Annu. Rev. Earth Planet. Sci. 50, 231–259.</w:t>
      </w:r>
    </w:p>
    <w:p>
      <w:pPr>
        <w:spacing w:after="80" w:line="264"/>
        <w:ind w:left="360" w:hanging="360"/>
      </w:pPr>
      <w:r>
        <w:rPr>
          <w:sz w:val="20"/>
          <w:szCs w:val="20"/>
        </w:rPr>
        <w:t xml:space="preserve">Klein, F.W. (1982). Patterns of historical eruptions at Hawaiian volcanoes. J. Volcanol. Geotherm. Res.</w:t>
      </w:r>
    </w:p>
    <w:p>
      <w:pPr>
        <w:spacing w:after="80" w:line="264"/>
        <w:ind w:left="360" w:hanging="360"/>
      </w:pPr>
      <w:r>
        <w:rPr>
          <w:sz w:val="20"/>
          <w:szCs w:val="20"/>
        </w:rPr>
        <w:t xml:space="preserve">Marzocchi, W. &amp; Bebbington, M.S. (2012). Probabilistic eruption forecasting at short and long time scales. Bull. Volcanol. 74, 1777–1805.</w:t>
      </w:r>
    </w:p>
    <w:p>
      <w:pPr>
        <w:spacing w:after="80" w:line="264"/>
        <w:ind w:left="360" w:hanging="360"/>
      </w:pPr>
      <w:r>
        <w:rPr>
          <w:sz w:val="20"/>
          <w:szCs w:val="20"/>
        </w:rPr>
        <w:t xml:space="preserve">Marzocchi, W. &amp; Zaccarelli, L. (2006). A quantitative model for time-size distribution of eruptions. J. Geophys. Res. 111, B04204.</w:t>
      </w:r>
    </w:p>
    <w:p>
      <w:pPr>
        <w:spacing w:after="80" w:line="264"/>
        <w:ind w:left="360" w:hanging="360"/>
      </w:pPr>
      <w:r>
        <w:rPr>
          <w:sz w:val="20"/>
          <w:szCs w:val="20"/>
        </w:rPr>
        <w:t xml:space="preserve">Papale, P. (2018). Global time-size distribution of volcanic eruptions on Earth. Sci. Rep. 8, 6838.</w:t>
      </w:r>
    </w:p>
    <w:p>
      <w:pPr>
        <w:spacing w:after="80" w:line="264"/>
        <w:ind w:left="360" w:hanging="360"/>
      </w:pPr>
      <w:r>
        <w:rPr>
          <w:sz w:val="20"/>
          <w:szCs w:val="20"/>
        </w:rPr>
        <w:t xml:space="preserve">Phillipson, G.G., Sobradelo, R. &amp; Gottsmann, J.H. (2013). Global volcanic unrest in the 21st century … J. Volcanol. Geotherm. Res. 264, 183–196.</w:t>
      </w:r>
    </w:p>
    <w:p>
      <w:pPr>
        <w:spacing w:after="80" w:line="264"/>
        <w:ind w:left="360" w:hanging="360"/>
      </w:pPr>
      <w:r>
        <w:rPr>
          <w:sz w:val="20"/>
          <w:szCs w:val="20"/>
        </w:rPr>
        <w:t xml:space="preserve">Poland, M.P. &amp; Anderson, K.R. (2020). Partly cloudy with a chance of lava flows … J. Geophys. Res. Solid Earth 125, e2018JB016974.</w:t>
      </w:r>
    </w:p>
    <w:p>
      <w:pPr>
        <w:spacing w:after="80" w:line="264"/>
        <w:ind w:left="360" w:hanging="360"/>
      </w:pPr>
      <w:r>
        <w:rPr>
          <w:sz w:val="20"/>
          <w:szCs w:val="20"/>
        </w:rPr>
        <w:t xml:space="preserve">Rougier, J., Sparks, R.S.J. &amp; Cashman, K.V. (2016, 2018). Global recording rates for large eruptions. J. Appl. Volcanol.</w:t>
      </w:r>
    </w:p>
    <w:p>
      <w:pPr>
        <w:spacing w:after="80" w:line="264"/>
        <w:ind w:left="360" w:hanging="360"/>
      </w:pPr>
      <w:r>
        <w:rPr>
          <w:sz w:val="20"/>
          <w:szCs w:val="20"/>
        </w:rPr>
        <w:t xml:space="preserve">Schmid, M. et al. (2022). The First Recorded Eruptions in the Holocene (FRESH) database. J. Volcanol. Geotherm. Res.</w:t>
      </w:r>
    </w:p>
    <w:p>
      <w:pPr>
        <w:spacing w:after="80" w:line="264"/>
        <w:ind w:left="360" w:hanging="360"/>
      </w:pPr>
      <w:r>
        <w:rPr>
          <w:sz w:val="20"/>
          <w:szCs w:val="20"/>
        </w:rPr>
        <w:t xml:space="preserve">Szakács, A. (1994). Redefining active volcanoes: a discussion. Bull. Volcanol. 56, 321–325.</w:t>
      </w:r>
    </w:p>
    <w:p>
      <w:pPr>
        <w:spacing w:after="80" w:line="264"/>
        <w:ind w:left="360" w:hanging="360"/>
      </w:pPr>
      <w:r>
        <w:rPr>
          <w:sz w:val="20"/>
          <w:szCs w:val="20"/>
        </w:rPr>
        <w:t xml:space="preserve">Andrews, B.J. et al. (2025). The Volcanoes of the World database. Bull. Volcanol. 87, 34.</w:t>
      </w:r>
    </w:p>
    <w:p>
      <w:pPr>
        <w:spacing w:after="60"/>
      </w:pPr>
      <w:r>
        <w:t xml:space="preserve"/>
      </w:r>
    </w:p>
    <w:p>
      <w:pPr>
        <w:spacing w:before="120"/>
      </w:pPr>
      <w:r>
        <w:rPr>
          <w:i/>
          <w:iCs/>
        </w:rPr>
        <w:t xml:space="preserve">Note: a few entries (e.g., venue for Bebbington et al. 2025) remain to be completed against primary sources; some figures rely on secondary citations and should be verified before publication.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Internal working document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color w:val="595959"/>
        <w:sz w:val="16"/>
        <w:szCs w:val="16"/>
      </w:rPr>
      <w:t xml:space="preserve">Volcano Terminology &amp; Eruption-Probability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80" w:before="14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Volcano Terminology &amp; Eruption-Probability Project</dc:title>
  <dc:creator>Project working notes</dc:creator>
  <cp:lastModifiedBy>Un-named</cp:lastModifiedBy>
  <cp:revision>1</cp:revision>
  <dcterms:created xsi:type="dcterms:W3CDTF">2026-06-08T22:11:52.458Z</dcterms:created>
  <dcterms:modified xsi:type="dcterms:W3CDTF">2026-06-08T22:11:52.458Z</dcterms:modified>
</cp:coreProperties>
</file>

<file path=docProps/custom.xml><?xml version="1.0" encoding="utf-8"?>
<Properties xmlns="http://schemas.openxmlformats.org/officeDocument/2006/custom-properties" xmlns:vt="http://schemas.openxmlformats.org/officeDocument/2006/docPropsVTypes"/>
</file>