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074d8385cf61553c11e6daf203a9e0240c1606"/>
      <w:r>
        <w:t xml:space="preserve">ADR-031 — Unified rule engine: fold formQuality into mm_determinant</w:t>
      </w:r>
      <w:bookmarkEnd w:id="20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Proposed</w:t>
            </w:r>
            <w:r>
              <w:t xml:space="preserve"> </w:t>
            </w:r>
            <w:r>
              <w:t xml:space="preserve">(2026-05-07)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Deciders</w:t>
            </w:r>
          </w:p>
        </w:tc>
        <w:tc>
          <w:p>
            <w:pPr>
              <w:pStyle w:val="Compact"/>
              <w:jc w:val="left"/>
            </w:pPr>
            <w:r>
              <w:t xml:space="preserve">Farmers Portal architecture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Consulted</w:t>
            </w:r>
          </w:p>
        </w:tc>
        <w:tc>
          <w:p>
            <w:pPr>
              <w:pStyle w:val="Compact"/>
              <w:jc w:val="left"/>
            </w:pPr>
            <w:r>
              <w:t xml:space="preserve">MAFSN ICT (advisory)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Informed</w:t>
            </w:r>
          </w:p>
        </w:tc>
        <w:tc>
          <w:p>
            <w:pPr>
              <w:pStyle w:val="Compact"/>
              <w:jc w:val="left"/>
            </w:pPr>
            <w:r>
              <w:t xml:space="preserve">Engineering, QA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none — extends ADR-001 (rule grammar canon), ADR-003 (rule storage shape), ADR-006 (outcome persistence)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p>
            <w:pPr>
              <w:pStyle w:val="Compact"/>
              <w:jc w:val="left"/>
            </w:pPr>
            <w:r>
              <w:t xml:space="preserve">ADR-001 (rule grammar canon), ADR-003 (rule storage shape), ADR-005 (Phase 1 save hook), ADR-006 (outcome persistence schema), ADR-027 (initial-status assignment),</w:t>
            </w:r>
            <w:r>
              <w:t xml:space="preserve"> </w:t>
            </w:r>
            <w:r>
              <w:rPr>
                <w:rStyle w:val="VerbatimChar"/>
              </w:rPr>
              <w:t xml:space="preserve">_design/architecture/components/rules-determinants-architecture.md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gs-plugins/form-quality-runtime/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_design/test_strategy.md</w:t>
            </w:r>
            <w:r>
              <w:t xml:space="preserve"> </w:t>
            </w:r>
            <w:r>
              <w:t xml:space="preserve">(companion), the form-quality JWA (</w:t>
            </w:r>
            <w:r>
              <w:rPr>
                <w:rStyle w:val="VerbatimChar"/>
              </w:rPr>
              <w:t xml:space="preserve">APP_formQuality-2-20260507083841.jwa</w:t>
            </w:r>
            <w:r>
              <w:t xml:space="preserve">), the live farmersPortal JWA (</w:t>
            </w:r>
            <w:r>
              <w:rPr>
                <w:rStyle w:val="VerbatimChar"/>
              </w:rPr>
              <w:t xml:space="preserve">APP_farmersPortal-1-20260507084455.jwa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ntext"/>
      <w:r>
        <w:t xml:space="preserve">1. Context</w:t>
      </w:r>
      <w:bookmarkEnd w:id="21"/>
    </w:p>
    <w:p>
      <w:pPr>
        <w:pStyle w:val="Heading3"/>
      </w:pPr>
      <w:bookmarkStart w:id="22" w:name="Xa1a0e478a730d6da399126643afdeb5369bcc04"/>
      <w:r>
        <w:t xml:space="preserve">1.1 What we have today — two parallel rule engines</w:t>
      </w:r>
      <w:bookmarkEnd w:id="22"/>
    </w:p>
    <w:p>
      <w:pPr>
        <w:pStyle w:val="FirstParagraph"/>
      </w:pPr>
      <w:r>
        <w:t xml:space="preserve">The system currently runs</w:t>
      </w:r>
      <w:r>
        <w:t xml:space="preserve"> </w:t>
      </w:r>
      <w:r>
        <w:rPr>
          <w:b/>
        </w:rPr>
        <w:t xml:space="preserve">two rule engines</w:t>
      </w:r>
      <w:r>
        <w:t xml:space="preserve"> </w:t>
      </w:r>
      <w:r>
        <w:t xml:space="preserve">that are conceptually almost identical:</w:t>
      </w:r>
    </w:p>
    <w:p>
      <w:pPr>
        <w:pStyle w:val="BodyText"/>
      </w:pPr>
      <w:r>
        <w:rPr>
          <w:b/>
        </w:rPr>
        <w:t xml:space="preserve">Engine A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mm_determinant</w:t>
      </w:r>
      <w:r>
        <w:rPr>
          <w:b/>
        </w:rPr>
        <w:t xml:space="preserve"> </w:t>
      </w:r>
      <w:r>
        <w:rPr>
          <w:b/>
        </w:rPr>
        <w:t xml:space="preserve">(eligibility).</w:t>
      </w:r>
      <w:r>
        <w:t xml:space="preserve"> </w:t>
      </w:r>
      <w:r>
        <w:t xml:space="preserve">Stored in farmersPortal’s</w:t>
      </w:r>
      <w:r>
        <w:t xml:space="preserve"> </w:t>
      </w:r>
      <w:r>
        <w:rPr>
          <w:rStyle w:val="VerbatimChar"/>
        </w:rPr>
        <w:t xml:space="preserve">app_fd_mm_determinant</w:t>
      </w:r>
      <w:r>
        <w:t xml:space="preserve">. Evaluated by the</w:t>
      </w:r>
      <w:r>
        <w:t xml:space="preserve"> </w:t>
      </w:r>
      <w:r>
        <w:rPr>
          <w:rStyle w:val="VerbatimChar"/>
        </w:rPr>
        <w:t xml:space="preserve">RoutingEvaluator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SqlPathEvaluator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FastPathEvaluator</w:t>
      </w:r>
      <w:r>
        <w:t xml:space="preserve"> </w:t>
      </w:r>
      <w:r>
        <w:t xml:space="preserve">chain in the</w:t>
      </w:r>
      <w:r>
        <w:t xml:space="preserve"> </w:t>
      </w:r>
      <w:r>
        <w:rPr>
          <w:rStyle w:val="VerbatimChar"/>
        </w:rPr>
        <w:t xml:space="preserve">reg-bb-engine</w:t>
      </w:r>
      <w:r>
        <w:t xml:space="preserve"> </w:t>
      </w:r>
      <w:r>
        <w:t xml:space="preserve">plugin. Fires on subsidy application</w:t>
      </w:r>
      <w:r>
        <w:t xml:space="preserve"> </w:t>
      </w:r>
      <w:r>
        <w:rPr>
          <w:b/>
        </w:rPr>
        <w:t xml:space="preserve">submission</w:t>
      </w:r>
      <w:r>
        <w:t xml:space="preserve">. Produces a per-application</w:t>
      </w:r>
      <w:r>
        <w:t xml:space="preserve"> </w:t>
      </w:r>
      <w:r>
        <w:rPr>
          <w:i/>
        </w:rPr>
        <w:t xml:space="preserve">disposition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eligibility_passed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eligibility_failed_mandatory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eligibility_pending_review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indeterminate</w:t>
      </w:r>
      <w:r>
        <w:t xml:space="preserve">) plus a per-rule audit row in</w:t>
      </w:r>
      <w:r>
        <w:t xml:space="preserve"> </w:t>
      </w:r>
      <w:r>
        <w:rPr>
          <w:rStyle w:val="VerbatimChar"/>
        </w:rPr>
        <w:t xml:space="preserve">app_fd_reg_bb_eval_audit</w:t>
      </w:r>
      <w:r>
        <w:t xml:space="preserve">. Drives the application’s</w:t>
      </w:r>
      <w:r>
        <w:t xml:space="preserve"> </w:t>
      </w:r>
      <w:r>
        <w:rPr>
          <w:rStyle w:val="VerbatimChar"/>
        </w:rPr>
        <w:t xml:space="preserve">c_status</w:t>
      </w:r>
      <w:r>
        <w:t xml:space="preserve"> </w:t>
      </w:r>
      <w:r>
        <w:t xml:space="preserve">via the initial-status rule (ADR-027).</w:t>
      </w:r>
    </w:p>
    <w:p>
      <w:pPr>
        <w:pStyle w:val="BodyText"/>
      </w:pPr>
      <w:r>
        <w:rPr>
          <w:b/>
        </w:rPr>
        <w:t xml:space="preserve">Engine B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qa_rule</w:t>
      </w:r>
      <w:r>
        <w:rPr>
          <w:b/>
        </w:rPr>
        <w:t xml:space="preserve"> </w:t>
      </w:r>
      <w:r>
        <w:rPr>
          <w:b/>
        </w:rPr>
        <w:t xml:space="preserve">(form quality).</w:t>
      </w:r>
      <w:r>
        <w:t xml:space="preserve"> </w:t>
      </w:r>
      <w:r>
        <w:t xml:space="preserve">Stored in formQuality’s</w:t>
      </w:r>
      <w:r>
        <w:t xml:space="preserve"> </w:t>
      </w:r>
      <w:r>
        <w:rPr>
          <w:rStyle w:val="VerbatimChar"/>
        </w:rPr>
        <w:t xml:space="preserve">app_fd_qa_rule</w:t>
      </w:r>
      <w:r>
        <w:t xml:space="preserve">. Evaluated by the</w:t>
      </w:r>
      <w:r>
        <w:t xml:space="preserve"> </w:t>
      </w:r>
      <w:r>
        <w:rPr>
          <w:rStyle w:val="VerbatimChar"/>
        </w:rPr>
        <w:t xml:space="preserve">form-quality-runtime</w:t>
      </w:r>
      <w:r>
        <w:t xml:space="preserve"> </w:t>
      </w:r>
      <w:r>
        <w:t xml:space="preserve">plugin’s</w:t>
      </w:r>
      <w:r>
        <w:t xml:space="preserve"> </w:t>
      </w:r>
      <w:r>
        <w:rPr>
          <w:rStyle w:val="VerbatimChar"/>
        </w:rPr>
        <w:t xml:space="preserve">FormQualityPostProcessor</w:t>
      </w:r>
      <w:r>
        <w:t xml:space="preserve">. Fires on</w:t>
      </w:r>
      <w:r>
        <w:t xml:space="preserve"> </w:t>
      </w:r>
      <w:r>
        <w:rPr>
          <w:b/>
        </w:rPr>
        <w:t xml:space="preserve">every save</w:t>
      </w:r>
      <w:r>
        <w:t xml:space="preserve"> </w:t>
      </w:r>
      <w:r>
        <w:t xml:space="preserve">of any wired form. Produces per-rule</w:t>
      </w:r>
      <w:r>
        <w:t xml:space="preserve"> </w:t>
      </w:r>
      <w:r>
        <w:rPr>
          <w:i/>
        </w:rPr>
        <w:t xml:space="preserve">issue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app_fd_qa_issue</w:t>
      </w:r>
      <w:r>
        <w:t xml:space="preserve">, aggregated into</w:t>
      </w:r>
      <w:r>
        <w:t xml:space="preserve"> </w:t>
      </w:r>
      <w:r>
        <w:rPr>
          <w:rStyle w:val="VerbatimChar"/>
        </w:rPr>
        <w:t xml:space="preserve">app_fd_qa_record_status</w:t>
      </w:r>
      <w:r>
        <w:t xml:space="preserve">. Drives gate behaviour via</w:t>
      </w:r>
      <w:r>
        <w:t xml:space="preserve"> </w:t>
      </w:r>
      <w:r>
        <w:rPr>
          <w:rStyle w:val="VerbatimChar"/>
        </w:rPr>
        <w:t xml:space="preserve">app_fd_qa_gate</w:t>
      </w:r>
      <w:r>
        <w:t xml:space="preserve"> </w:t>
      </w:r>
      <w:r>
        <w:t xml:space="preserve">— blocks status transitions when ERROR-severity rules fail.</w:t>
      </w:r>
    </w:p>
    <w:p>
      <w:pPr>
        <w:pStyle w:val="BodyText"/>
      </w:pPr>
      <w:r>
        <w:t xml:space="preserve">Both engines:</w:t>
      </w:r>
    </w:p>
    <w:p>
      <w:pPr>
        <w:numPr>
          <w:ilvl w:val="0"/>
          <w:numId w:val="1001"/>
        </w:numPr>
        <w:pStyle w:val="Compact"/>
      </w:pPr>
      <w:r>
        <w:t xml:space="preserve">Evaluate SQL-shaped probes against form-data tables.</w:t>
      </w:r>
    </w:p>
    <w:p>
      <w:pPr>
        <w:numPr>
          <w:ilvl w:val="0"/>
          <w:numId w:val="1001"/>
        </w:numPr>
        <w:pStyle w:val="Compact"/>
      </w:pPr>
      <w:r>
        <w:t xml:space="preserve">Substitute a record-id token into the SQL at runtime.</w:t>
      </w:r>
    </w:p>
    <w:p>
      <w:pPr>
        <w:numPr>
          <w:ilvl w:val="0"/>
          <w:numId w:val="1001"/>
        </w:numPr>
        <w:pStyle w:val="Compact"/>
      </w:pPr>
      <w:r>
        <w:t xml:space="preserve">Persist outcomes to a structured store.</w:t>
      </w:r>
    </w:p>
    <w:p>
      <w:pPr>
        <w:numPr>
          <w:ilvl w:val="0"/>
          <w:numId w:val="1001"/>
        </w:numPr>
        <w:pStyle w:val="Compact"/>
      </w:pPr>
      <w:r>
        <w:t xml:space="preserve">Surface results to operators via UI components on the relevant form (eligibility pills next to each rule on the application form; QualityBanner at the top of the registration / parcel / programme / application forms).</w:t>
      </w:r>
    </w:p>
    <w:p>
      <w:pPr>
        <w:pStyle w:val="FirstParagraph"/>
      </w:pPr>
      <w:r>
        <w:t xml:space="preserve">The differences —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they fire,</w:t>
      </w:r>
      <w:r>
        <w:t xml:space="preserve"> </w:t>
      </w:r>
      <w:r>
        <w:rPr>
          <w:i/>
        </w:rPr>
        <w:t xml:space="preserve">what aggregation shape</w:t>
      </w:r>
      <w:r>
        <w:t xml:space="preserve"> </w:t>
      </w:r>
      <w:r>
        <w:t xml:space="preserve">they produce,</w:t>
      </w:r>
      <w:r>
        <w:t xml:space="preserve"> </w:t>
      </w:r>
      <w:r>
        <w:rPr>
          <w:i/>
        </w:rPr>
        <w:t xml:space="preserve">who configures them</w:t>
      </w:r>
      <w:r>
        <w:t xml:space="preserve"> </w:t>
      </w:r>
      <w:r>
        <w:t xml:space="preserve">— are properties of individual rules, not architectural properties that justify separate engines.</w:t>
      </w:r>
    </w:p>
    <w:p>
      <w:pPr>
        <w:pStyle w:val="Heading3"/>
      </w:pPr>
      <w:bookmarkStart w:id="23" w:name="what-surfaced-this-question"/>
      <w:r>
        <w:t xml:space="preserve">1.2 What surfaced this question</w:t>
      </w:r>
      <w:bookmarkEnd w:id="23"/>
    </w:p>
    <w:p>
      <w:pPr>
        <w:pStyle w:val="FirstParagraph"/>
      </w:pPr>
      <w:r>
        <w:t xml:space="preserve">The Form Quality Admin manual review (May 2026, prompted by integration verification against</w:t>
      </w:r>
      <w:r>
        <w:t xml:space="preserve"> </w:t>
      </w:r>
      <w:r>
        <w:rPr>
          <w:rStyle w:val="VerbatimChar"/>
        </w:rPr>
        <w:t xml:space="preserve">APP_farmersPortal-1-20260507084455.jwa</w:t>
      </w:r>
      <w:r>
        <w:t xml:space="preserve">) made the architectural cost of the split visible. Concretely: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form-quality-runtime-8.1-SNAPSHOT.jar</w:t>
      </w:r>
      <w:r>
        <w:t xml:space="preserve"> </w:t>
      </w:r>
      <w:r>
        <w:t xml:space="preserve">plugin is</w:t>
      </w:r>
      <w:r>
        <w:t xml:space="preserve"> </w:t>
      </w:r>
      <w:r>
        <w:rPr>
          <w:b/>
        </w:rPr>
        <w:t xml:space="preserve">bundled inside the farmersPortal JWA</w:t>
      </w:r>
      <w:r>
        <w:t xml:space="preserve">. It is not independently deployable.</w:t>
      </w:r>
    </w:p>
    <w:p>
      <w:pPr>
        <w:numPr>
          <w:ilvl w:val="0"/>
          <w:numId w:val="1002"/>
        </w:numPr>
        <w:pStyle w:val="Compact"/>
      </w:pPr>
      <w:r>
        <w:t xml:space="preserve">The 21 rules in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 </w:t>
      </w:r>
      <w:r>
        <w:t xml:space="preserve">reference farmersPortal’s tables (</w:t>
      </w:r>
      <w:r>
        <w:rPr>
          <w:rStyle w:val="VerbatimChar"/>
        </w:rPr>
        <w:t xml:space="preserve">app_fd_sp_program_identity</w:t>
      </w:r>
      <w:r>
        <w:t xml:space="preserve">, etc.) directly. There is no abstraction layer between the rules and the target schema.</w:t>
      </w:r>
    </w:p>
    <w:p>
      <w:pPr>
        <w:numPr>
          <w:ilvl w:val="0"/>
          <w:numId w:val="1002"/>
        </w:numPr>
        <w:pStyle w:val="Compact"/>
      </w:pPr>
      <w:r>
        <w:t xml:space="preserve">Four farmersPortal forms render</w:t>
      </w:r>
      <w:r>
        <w:t xml:space="preserve"> </w:t>
      </w:r>
      <w:r>
        <w:rPr>
          <w:rStyle w:val="VerbatimChar"/>
        </w:rPr>
        <w:t xml:space="preserve">QualityBannerElement</w:t>
      </w:r>
      <w:r>
        <w:t xml:space="preserve">; eleven forms wire</w:t>
      </w:r>
      <w:r>
        <w:t xml:space="preserve"> </w:t>
      </w:r>
      <w:r>
        <w:rPr>
          <w:rStyle w:val="VerbatimChar"/>
        </w:rPr>
        <w:t xml:space="preserve">FormQualityPostProcessor</w:t>
      </w:r>
      <w:r>
        <w:t xml:space="preserve">. The integration is</w:t>
      </w:r>
      <w:r>
        <w:t xml:space="preserve"> </w:t>
      </w:r>
      <w:r>
        <w:rPr>
          <w:i/>
        </w:rPr>
        <w:t xml:space="preserve">tight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separate app</w:t>
      </w:r>
      <w:r>
        <w:t xml:space="preserve">”</w:t>
      </w:r>
      <w:r>
        <w:t xml:space="preserve"> </w:t>
      </w:r>
      <w:r>
        <w:t xml:space="preserve">boundary consists of two things: a different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and a separate userview. Nothing else.</w:t>
      </w:r>
    </w:p>
    <w:p>
      <w:pPr>
        <w:pStyle w:val="FirstParagraph"/>
      </w:pPr>
      <w:r>
        <w:t xml:space="preserve">In other words, every architectural surface — code, deployment, data, UX — is already coupled to farmersPortal. The</w:t>
      </w:r>
      <w:r>
        <w:t xml:space="preserve"> </w:t>
      </w:r>
      <w:r>
        <w:t xml:space="preserve">“</w:t>
      </w:r>
      <w:r>
        <w:t xml:space="preserve">separation</w:t>
      </w:r>
      <w:r>
        <w:t xml:space="preserve">”</w:t>
      </w:r>
      <w:r>
        <w:t xml:space="preserve"> </w:t>
      </w:r>
      <w:r>
        <w:t xml:space="preserve">is structural overhead that buys nothing in 2026.</w:t>
      </w:r>
    </w:p>
    <w:p>
      <w:pPr>
        <w:pStyle w:val="Heading3"/>
      </w:pPr>
      <w:bookmarkStart w:id="24" w:name="X3e021f990c5bb165ec2081abc9144cc743ccfa2"/>
      <w:r>
        <w:t xml:space="preserve">1.3 Why the original split was made (and why those reasons no longer hold)</w:t>
      </w:r>
      <w:bookmarkEnd w:id="24"/>
    </w:p>
    <w:p>
      <w:pPr>
        <w:pStyle w:val="FirstParagraph"/>
      </w:pPr>
      <w:r>
        <w:t xml:space="preserve">Three justifications can be reconstructed from the codebase and decision history:</w:t>
      </w:r>
    </w:p>
    <w:p>
      <w:pPr>
        <w:numPr>
          <w:ilvl w:val="0"/>
          <w:numId w:val="1003"/>
        </w:numPr>
      </w:pPr>
      <w:r>
        <w:rPr>
          <w:b/>
        </w:rPr>
        <w:t xml:space="preserve">“</w:t>
      </w:r>
      <w:r>
        <w:rPr>
          <w:b/>
        </w:rPr>
        <w:t xml:space="preserve">Audience separation — QA Lead is a different role from operators.</w:t>
      </w:r>
      <w:r>
        <w:rPr>
          <w:b/>
        </w:rPr>
        <w:t xml:space="preserve">”</w:t>
      </w:r>
      <w:r>
        <w:t xml:space="preserve"> </w:t>
      </w:r>
      <w:r>
        <w:t xml:space="preserve">True, but role-based menu visibility in a single userview achieves this without a second app. Splitting on audience usually means splitting users; here it splits machinery.</w:t>
      </w:r>
    </w:p>
    <w:p>
      <w:pPr>
        <w:numPr>
          <w:ilvl w:val="0"/>
          <w:numId w:val="1003"/>
        </w:numPr>
      </w:pPr>
      <w:r>
        <w:rPr>
          <w:b/>
        </w:rPr>
        <w:t xml:space="preserve">“</w:t>
      </w:r>
      <w:r>
        <w:rPr>
          <w:b/>
        </w:rPr>
        <w:t xml:space="preserve">Reusability — formQuality could apply to other Joget apps.</w:t>
      </w:r>
      <w:r>
        <w:rPr>
          <w:b/>
        </w:rPr>
        <w:t xml:space="preserve">”</w:t>
      </w:r>
      <w:r>
        <w:t xml:space="preserve"> </w:t>
      </w:r>
      <w:r>
        <w:t xml:space="preserve">Theoretically true. In practice it has exactly one consumer (farmersPortal). The reusability hasn’t paid for the architectural cost, and the rules-pointing-directly-at-farmersPortal-tables design defeats the abstraction anyway.</w:t>
      </w:r>
    </w:p>
    <w:p>
      <w:pPr>
        <w:numPr>
          <w:ilvl w:val="0"/>
          <w:numId w:val="1003"/>
        </w:numPr>
      </w:pPr>
      <w:r>
        <w:rPr>
          <w:b/>
        </w:rPr>
        <w:t xml:space="preserve">“</w:t>
      </w:r>
      <w:r>
        <w:rPr>
          <w:b/>
        </w:rPr>
        <w:t xml:space="preserve">Independent versioning — rules can evolve without rebuilding farmersPortal.</w:t>
      </w:r>
      <w:r>
        <w:rPr>
          <w:b/>
        </w:rPr>
        <w:t xml:space="preserve">”</w:t>
      </w:r>
      <w:r>
        <w:t xml:space="preserve"> </w:t>
      </w:r>
      <w:r>
        <w:t xml:space="preserve">Half-true. Rule rows in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 </w:t>
      </w:r>
      <w:r>
        <w:t xml:space="preserve">evolve independently. But adding a</w:t>
      </w:r>
      <w:r>
        <w:t xml:space="preserve"> </w:t>
      </w:r>
      <w:r>
        <w:rPr>
          <w:i/>
        </w:rPr>
        <w:t xml:space="preserve">new service</w:t>
      </w:r>
      <w:r>
        <w:t xml:space="preserve"> </w:t>
      </w:r>
      <w:r>
        <w:t xml:space="preserve">requires wiring a</w:t>
      </w:r>
      <w:r>
        <w:t xml:space="preserve"> </w:t>
      </w:r>
      <w:r>
        <w:rPr>
          <w:rStyle w:val="VerbatimChar"/>
        </w:rPr>
        <w:t xml:space="preserve">FormQualityPostProcessor</w:t>
      </w:r>
      <w:r>
        <w:t xml:space="preserve"> </w:t>
      </w:r>
      <w:r>
        <w:t xml:space="preserve">on a farmersPortal form, which is a farmersPortal release. So the</w:t>
      </w:r>
      <w:r>
        <w:t xml:space="preserve"> </w:t>
      </w:r>
      <w:r>
        <w:t xml:space="preserve">“</w:t>
      </w:r>
      <w:r>
        <w:t xml:space="preserve">independence</w:t>
      </w:r>
      <w:r>
        <w:t xml:space="preserve">”</w:t>
      </w:r>
      <w:r>
        <w:t xml:space="preserve"> </w:t>
      </w:r>
      <w:r>
        <w:t xml:space="preserve">is only on the</w:t>
      </w:r>
      <w:r>
        <w:t xml:space="preserve"> </w:t>
      </w:r>
      <w:r>
        <w:rPr>
          <w:i/>
        </w:rPr>
        <w:t xml:space="preserve">content</w:t>
      </w:r>
      <w:r>
        <w:t xml:space="preserve"> </w:t>
      </w:r>
      <w:r>
        <w:t xml:space="preserve">layer, not the</w:t>
      </w:r>
      <w:r>
        <w:t xml:space="preserve"> </w:t>
      </w:r>
      <w:r>
        <w:rPr>
          <w:i/>
        </w:rPr>
        <w:t xml:space="preserve">plumbing</w:t>
      </w:r>
      <w:r>
        <w:t xml:space="preserve"> </w:t>
      </w:r>
      <w:r>
        <w:t xml:space="preserve">layer.</w:t>
      </w:r>
    </w:p>
    <w:p>
      <w:pPr>
        <w:pStyle w:val="FirstParagraph"/>
      </w:pPr>
      <w:r>
        <w:t xml:space="preserve">The asymmetric history is telling: the</w:t>
      </w:r>
      <w:r>
        <w:t xml:space="preserve"> </w:t>
      </w:r>
      <w:r>
        <w:rPr>
          <w:b/>
        </w:rPr>
        <w:t xml:space="preserve">eligibility evaluator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mm_determinant</w:t>
      </w:r>
      <w:r>
        <w:t xml:space="preserve">), built later with the formQuality split available as a precedent, was</w:t>
      </w:r>
      <w:r>
        <w:t xml:space="preserve"> </w:t>
      </w:r>
      <w:r>
        <w:rPr>
          <w:i/>
        </w:rPr>
        <w:t xml:space="preserve">deliberately</w:t>
      </w:r>
      <w:r>
        <w:t xml:space="preserve"> </w:t>
      </w:r>
      <w:r>
        <w:t xml:space="preserve">kept inside farmersPortal as part of the meta-model. Same conceptual shape, opposite architectural decision. The asymmetry is chronological, not principled.</w:t>
      </w:r>
    </w:p>
    <w:p>
      <w:pPr>
        <w:pStyle w:val="Heading3"/>
      </w:pPr>
      <w:bookmarkStart w:id="25" w:name="why-now"/>
      <w:r>
        <w:t xml:space="preserve">1.4 Why now</w:t>
      </w:r>
      <w:bookmarkEnd w:id="25"/>
    </w:p>
    <w:p>
      <w:pPr>
        <w:pStyle w:val="FirstParagraph"/>
      </w:pPr>
      <w:r>
        <w:t xml:space="preserve">The system is</w:t>
      </w:r>
      <w:r>
        <w:t xml:space="preserve"> </w:t>
      </w:r>
      <w:r>
        <w:rPr>
          <w:b/>
        </w:rPr>
        <w:t xml:space="preserve">pre-production</w:t>
      </w:r>
      <w:r>
        <w:t xml:space="preserve">. No live MAFSN data flows through either engine yet; the only data is the dev fixture and the customer migration package (which has not yet been imported). The migration cost compounds the moment production traffic starts. Pre-production is therefore the cheapest moment to consolidate. Once MAFSN goes live (planned post-UAT, summer 2026), the cost rises substantially.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ecision"/>
      <w:r>
        <w:t xml:space="preserve">2. Decision</w:t>
      </w:r>
      <w:bookmarkEnd w:id="26"/>
    </w:p>
    <w:p>
      <w:pPr>
        <w:pStyle w:val="Heading3"/>
      </w:pPr>
      <w:bookmarkStart w:id="27" w:name="Xc29e00c436c4f9cd56d138ccf0accab9caff227"/>
      <w:r>
        <w:t xml:space="preserve">2.1 Unify into a single rule engine, scoped per rule</w:t>
      </w:r>
      <w:bookmarkEnd w:id="27"/>
    </w:p>
    <w:p>
      <w:pPr>
        <w:pStyle w:val="FirstParagraph"/>
      </w:pPr>
      <w:r>
        <w:t xml:space="preserve">Replace the two engines with</w:t>
      </w:r>
      <w:r>
        <w:t xml:space="preserve"> </w:t>
      </w:r>
      <w:r>
        <w:rPr>
          <w:b/>
        </w:rPr>
        <w:t xml:space="preserve">one unified rule engine</w:t>
      </w:r>
      <w:r>
        <w:t xml:space="preserve"> </w:t>
      </w:r>
      <w:r>
        <w:t xml:space="preserve">that dispatches by per-rule attributes. The rule storage table becomes</w:t>
      </w:r>
      <w:r>
        <w:t xml:space="preserve"> </w:t>
      </w:r>
      <w:r>
        <w:rPr>
          <w:rStyle w:val="VerbatimChar"/>
        </w:rPr>
        <w:t xml:space="preserve">mm_rule</w:t>
      </w:r>
      <w:r>
        <w:t xml:space="preserve"> </w:t>
      </w:r>
      <w:r>
        <w:t xml:space="preserve">(renamed from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, to reflect the broader scope). Each rule row carries: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&lt;scope&gt;.&lt;tab&gt;.&lt;short_description&gt;</w:t>
            </w:r>
            <w:r>
              <w:t xml:space="preserve"> </w:t>
            </w:r>
            <w:r>
              <w:t xml:space="preserve">lower-snake-case</w:t>
            </w:r>
          </w:p>
        </w:tc>
        <w:tc>
          <w:p>
            <w:pPr>
              <w:pStyle w:val="Compact"/>
              <w:jc w:val="left"/>
            </w:pPr>
            <w:r>
              <w:t xml:space="preserve">Rule identity (unique)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eligibility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quality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bot_pull</w:t>
            </w:r>
          </w:p>
        </w:tc>
        <w:tc>
          <w:p>
            <w:pPr>
              <w:pStyle w:val="Compact"/>
              <w:jc w:val="left"/>
            </w:pPr>
            <w:r>
              <w:t xml:space="preserve">What kind of rule this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Decisiveness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When the engine evaluates this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issue_list</w:t>
            </w:r>
          </w:p>
        </w:tc>
        <w:tc>
          <w:p>
            <w:pPr>
              <w:pStyle w:val="Compact"/>
              <w:jc w:val="left"/>
            </w:pPr>
            <w:r>
              <w:t xml:space="preserve">How the engine reports the outcome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expression</w:t>
            </w:r>
          </w:p>
        </w:tc>
        <w:tc>
          <w:p>
            <w:pPr>
              <w:pStyle w:val="Compact"/>
              <w:jc w:val="left"/>
            </w:pPr>
            <w:r>
              <w:t xml:space="preserve">DSL or SQL</w:t>
            </w:r>
          </w:p>
        </w:tc>
        <w:tc>
          <w:p>
            <w:pPr>
              <w:pStyle w:val="Compact"/>
              <w:jc w:val="left"/>
            </w:pPr>
            <w:r>
              <w:t xml:space="preserve">The probe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targetFormId</w:t>
            </w:r>
          </w:p>
        </w:tc>
        <w:tc>
          <w:p>
            <w:pPr>
              <w:pStyle w:val="Compact"/>
              <w:jc w:val="left"/>
            </w:pPr>
            <w:r>
              <w:t xml:space="preserve">Form id</w:t>
            </w:r>
          </w:p>
        </w:tc>
        <w:tc>
          <w:p>
            <w:pPr>
              <w:pStyle w:val="Compact"/>
              <w:jc w:val="left"/>
            </w:pPr>
            <w:r>
              <w:t xml:space="preserve">Which form the rule applies 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targetTable</w:t>
            </w:r>
          </w:p>
        </w:tc>
        <w:tc>
          <w:p>
            <w:pPr>
              <w:pStyle w:val="Compact"/>
              <w:jc w:val="left"/>
            </w:pPr>
            <w:r>
              <w:t xml:space="preserve">Underlying table (derived; cached)</w:t>
            </w:r>
          </w:p>
        </w:tc>
        <w:tc>
          <w:p>
            <w:pPr>
              <w:pStyle w:val="Compact"/>
              <w:jc w:val="left"/>
            </w:pPr>
            <w:r>
              <w:t xml:space="preserve">What the SQL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affectedFields</w:t>
            </w:r>
          </w:p>
        </w:tc>
        <w:tc>
          <w:p>
            <w:pPr>
              <w:pStyle w:val="Compact"/>
              <w:jc w:val="left"/>
            </w:pPr>
            <w:r>
              <w:t xml:space="preserve">Comma-separated form-field IDs</w:t>
            </w:r>
          </w:p>
        </w:tc>
        <w:tc>
          <w:p>
            <w:pPr>
              <w:pStyle w:val="Compact"/>
              <w:jc w:val="left"/>
            </w:pPr>
            <w:r>
              <w:t xml:space="preserve">UI flagging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failMessage</w:t>
            </w:r>
          </w:p>
        </w:tc>
        <w:tc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p>
            <w:pPr>
              <w:pStyle w:val="Compact"/>
              <w:jc w:val="left"/>
            </w:pPr>
            <w:r>
              <w:t xml:space="preserve">What operators see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serviceId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Grouping (replaces</w:t>
            </w:r>
            <w:r>
              <w:t xml:space="preserve"> </w:t>
            </w:r>
            <w:r>
              <w:rPr>
                <w:rStyle w:val="VerbatimChar"/>
              </w:rPr>
              <w:t xml:space="preserve">qa_service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tabCode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Grouping (replaces</w:t>
            </w:r>
            <w:r>
              <w:t xml:space="preserve"> </w:t>
            </w:r>
            <w:r>
              <w:rPr>
                <w:rStyle w:val="VerbatimChar"/>
              </w:rPr>
              <w:t xml:space="preserve">qa_tab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registrationCode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Programme link (eligibility only)</w:t>
            </w:r>
          </w:p>
        </w:tc>
      </w:tr>
    </w:tbl>
    <w:p>
      <w:pPr>
        <w:pStyle w:val="BodyText"/>
      </w:pPr>
      <w:r>
        <w:t xml:space="preserve">Existing eligibility rules migrate as</w:t>
      </w:r>
      <w:r>
        <w:t xml:space="preserve"> </w:t>
      </w:r>
      <w:r>
        <w:rPr>
          <w:rStyle w:val="VerbatimChar"/>
        </w:rPr>
        <w:t xml:space="preserve">scope=eligibility, severity=mandatory|score, triggerOn=submit, aggregation=disposition</w:t>
      </w:r>
      <w:r>
        <w:t xml:space="preserve">. Existing quality rules migrate as</w:t>
      </w:r>
      <w:r>
        <w:t xml:space="preserve"> </w:t>
      </w:r>
      <w:r>
        <w:rPr>
          <w:rStyle w:val="VerbatimChar"/>
        </w:rPr>
        <w:t xml:space="preserve">scope=quality, severity=error|warning, triggerOn=save, aggregation=issue_list</w:t>
      </w:r>
      <w:r>
        <w:t xml:space="preserve">. The 21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 </w:t>
      </w:r>
      <w:r>
        <w:t xml:space="preserve">rows and the ~14+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 </w:t>
      </w:r>
      <w:r>
        <w:t xml:space="preserve">rows all keep their existing SQL probes — that is the asset, the rule logic itself.</w:t>
      </w:r>
    </w:p>
    <w:p>
      <w:pPr>
        <w:pStyle w:val="Heading3"/>
      </w:pPr>
      <w:bookmarkStart w:id="28" w:name="unified-evaluator"/>
      <w:r>
        <w:t xml:space="preserve">2.2 Unified evaluator</w:t>
      </w:r>
      <w:bookmarkEnd w:id="28"/>
    </w:p>
    <w:p>
      <w:pPr>
        <w:pStyle w:val="FirstParagraph"/>
      </w:pPr>
      <w:r>
        <w:t xml:space="preserve">The existing eligibility evaluator chain (</w:t>
      </w:r>
      <w:r>
        <w:rPr>
          <w:rStyle w:val="VerbatimChar"/>
        </w:rPr>
        <w:t xml:space="preserve">RoutingEvaluator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SqlPathEvaluator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FastPathEvaluator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reg-bb-engine</w:t>
      </w:r>
      <w:r>
        <w:t xml:space="preserve">) absorbs the form-quality runtime’s evaluation logic. The chain becomes: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Trigger filter.</w:t>
      </w:r>
      <w:r>
        <w:t xml:space="preserve"> </w:t>
      </w:r>
      <w:r>
        <w:t xml:space="preserve">Given a</w:t>
      </w:r>
      <w:r>
        <w:t xml:space="preserve"> </w:t>
      </w:r>
      <w:r>
        <w:rPr>
          <w:rStyle w:val="VerbatimChar"/>
        </w:rPr>
        <w:t xml:space="preserve">triggerEvent ∈ {submit, save, manual}</w:t>
      </w:r>
      <w:r>
        <w:t xml:space="preserve">, select rules where</w:t>
      </w:r>
      <w:r>
        <w:t xml:space="preserve"> </w:t>
      </w:r>
      <w:r>
        <w:rPr>
          <w:rStyle w:val="VerbatimChar"/>
        </w:rPr>
        <w:t xml:space="preserve">rule.triggerOn = triggerEvent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Scope filter.</w:t>
      </w:r>
      <w:r>
        <w:t xml:space="preserve"> </w:t>
      </w:r>
      <w:r>
        <w:t xml:space="preserve">If the trigger came from a specific form (e.g. save on</w:t>
      </w:r>
      <w:r>
        <w:t xml:space="preserve"> </w:t>
      </w:r>
      <w:r>
        <w:rPr>
          <w:rStyle w:val="VerbatimChar"/>
        </w:rPr>
        <w:t xml:space="preserve">spProgramMain</w:t>
      </w:r>
      <w:r>
        <w:t xml:space="preserve">), narrow to rules where</w:t>
      </w:r>
      <w:r>
        <w:t xml:space="preserve"> </w:t>
      </w:r>
      <w:r>
        <w:rPr>
          <w:rStyle w:val="VerbatimChar"/>
        </w:rPr>
        <w:t xml:space="preserve">targetFormId</w:t>
      </w:r>
      <w:r>
        <w:t xml:space="preserve"> </w:t>
      </w:r>
      <w:r>
        <w:t xml:space="preserve">matches the form’s chain (parent or sub-form).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Per-rule evaluation.</w:t>
      </w:r>
      <w:r>
        <w:t xml:space="preserve"> </w:t>
      </w:r>
      <w:r>
        <w:t xml:space="preserve">Same SQL/DSL probe execution as today.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Outcome write.</w:t>
      </w:r>
      <w:r>
        <w:t xml:space="preserve"> </w:t>
      </w:r>
      <w:r>
        <w:t xml:space="preserve">Write to a unified</w:t>
      </w:r>
      <w:r>
        <w:t xml:space="preserve"> </w:t>
      </w:r>
      <w:r>
        <w:rPr>
          <w:rStyle w:val="VerbatimChar"/>
        </w:rPr>
        <w:t xml:space="preserve">rule_outcome</w:t>
      </w:r>
      <w:r>
        <w:t xml:space="preserve"> </w:t>
      </w:r>
      <w:r>
        <w:t xml:space="preserve">store (extends today’s</w:t>
      </w:r>
      <w:r>
        <w:t xml:space="preserve"> </w:t>
      </w:r>
      <w:r>
        <w:rPr>
          <w:rStyle w:val="VerbatimChar"/>
        </w:rPr>
        <w:t xml:space="preserve">reg_bb_eval_audit</w:t>
      </w:r>
      <w:r>
        <w:t xml:space="preserve">), with columns for severity, aggregation, ruleCode, recordId, formId, actor, timestamp.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Aggregation.</w:t>
      </w:r>
      <w:r>
        <w:t xml:space="preserve"> </w:t>
      </w:r>
      <w:r>
        <w:t xml:space="preserve">Per-record: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aggregation=disposition</w:t>
      </w:r>
      <w:r>
        <w:t xml:space="preserve"> </w:t>
      </w:r>
      <w:r>
        <w:t xml:space="preserve">rules → compute disposition (existing eligibility logic).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aggregation=issue_list</w:t>
      </w:r>
      <w:r>
        <w:t xml:space="preserve"> </w:t>
      </w:r>
      <w:r>
        <w:t xml:space="preserve">rules → maintain open-issue list (existing quality logic).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Gate enforcement.</w:t>
      </w:r>
      <w:r>
        <w:t xml:space="preserve"> </w:t>
      </w:r>
      <w:r>
        <w:t xml:space="preserve">If the trigger was a status change, consult gates (now stored as</w:t>
      </w:r>
      <w:r>
        <w:t xml:space="preserve"> </w:t>
      </w:r>
      <w:r>
        <w:rPr>
          <w:rStyle w:val="VerbatimChar"/>
        </w:rPr>
        <w:t xml:space="preserve">mm_rule_gate</w:t>
      </w:r>
      <w:r>
        <w:t xml:space="preserve"> </w:t>
      </w:r>
      <w:r>
        <w:t xml:space="preserve">rows referencing rules by scope/severity); block save if any blocking rules fail.</w:t>
      </w:r>
    </w:p>
    <w:p>
      <w:pPr>
        <w:pStyle w:val="Heading3"/>
      </w:pPr>
      <w:bookmarkStart w:id="29" w:name="unified-outcome-store"/>
      <w:r>
        <w:t xml:space="preserve">2.3 Unified outcome store</w:t>
      </w:r>
      <w:bookmarkEnd w:id="29"/>
    </w:p>
    <w:p>
      <w:pPr>
        <w:pStyle w:val="FirstParagraph"/>
      </w:pPr>
      <w:r>
        <w:rPr>
          <w:rStyle w:val="VerbatimChar"/>
        </w:rPr>
        <w:t xml:space="preserve">reg_bb_eval_audit</w:t>
      </w:r>
      <w:r>
        <w:t xml:space="preserve"> </w:t>
      </w:r>
      <w:r>
        <w:t xml:space="preserve">extends to become</w:t>
      </w:r>
      <w:r>
        <w:t xml:space="preserve"> </w:t>
      </w:r>
      <w:r>
        <w:rPr>
          <w:rStyle w:val="VerbatimChar"/>
        </w:rPr>
        <w:t xml:space="preserve">rule_outcome</w:t>
      </w:r>
      <w:r>
        <w:t xml:space="preserve"> </w:t>
      </w:r>
      <w:r>
        <w:t xml:space="preserve">(rename for clarity). Columns added: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is_open</w:t>
      </w:r>
      <w:r>
        <w:t xml:space="preserve"> </w:t>
      </w:r>
      <w:r>
        <w:t xml:space="preserve">(for quality issues that haven’t yet been resolved). Eligibility audit rows are append-only and</w:t>
      </w:r>
      <w:r>
        <w:t xml:space="preserve"> </w:t>
      </w:r>
      <w:r>
        <w:rPr>
          <w:rStyle w:val="VerbatimChar"/>
        </w:rPr>
        <w:t xml:space="preserve">is_open=null</w:t>
      </w:r>
      <w:r>
        <w:t xml:space="preserve">; quality issue rows are mutable (</w:t>
      </w:r>
      <w:r>
        <w:rPr>
          <w:rStyle w:val="VerbatimChar"/>
        </w:rPr>
        <w:t xml:space="preserve">is_open=true|false</w:t>
      </w:r>
      <w:r>
        <w:t xml:space="preserve">). The QualityBanner reads</w:t>
      </w:r>
      <w:r>
        <w:t xml:space="preserve"> </w:t>
      </w:r>
      <w:r>
        <w:rPr>
          <w:rStyle w:val="VerbatimChar"/>
        </w:rPr>
        <w:t xml:space="preserve">rule_outcome WHERE aggregation='issue_list' AND is_open=true GROUP BY recordId</w:t>
      </w:r>
      <w:r>
        <w:t xml:space="preserve">. The eligibility-pills surface reads</w:t>
      </w:r>
      <w:r>
        <w:t xml:space="preserve"> </w:t>
      </w:r>
      <w:r>
        <w:rPr>
          <w:rStyle w:val="VerbatimChar"/>
        </w:rPr>
        <w:t xml:space="preserve">rule_outcome WHERE aggregation='disposition' AND applicationId=? ORDER BY datecreated DESC LIMIT 1 per ruleCode</w:t>
      </w:r>
      <w:r>
        <w:t xml:space="preserve">. Both surfaces are now thin views over the same underlying data.</w:t>
      </w:r>
    </w:p>
    <w:p>
      <w:pPr>
        <w:pStyle w:val="Heading3"/>
      </w:pPr>
      <w:bookmarkStart w:id="30" w:name="unified-authoring-ui"/>
      <w:r>
        <w:t xml:space="preserve">2.4 Unified authoring UI</w:t>
      </w:r>
      <w:bookmarkEnd w:id="30"/>
    </w:p>
    <w:p>
      <w:pPr>
        <w:pStyle w:val="FirstParagraph"/>
      </w:pPr>
      <w:r>
        <w:t xml:space="preserve">A single</w:t>
      </w:r>
      <w:r>
        <w:t xml:space="preserve"> </w:t>
      </w:r>
      <w:r>
        <w:rPr>
          <w:b/>
        </w:rPr>
        <w:t xml:space="preserve">Rules</w:t>
      </w:r>
      <w:r>
        <w:t xml:space="preserve"> </w:t>
      </w:r>
      <w:r>
        <w:t xml:space="preserve">category in the farmersPortal userview, gated to QA Lead / Sysadmin / programme designer roles. CRUD list with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filter (</w:t>
      </w:r>
      <w:r>
        <w:t xml:space="preserve">“</w:t>
      </w:r>
      <w:r>
        <w:t xml:space="preserve">Eligibility / Quality / Bot pull</w:t>
      </w:r>
      <w:r>
        <w:t xml:space="preserve">”</w:t>
      </w:r>
      <w:r>
        <w:t xml:space="preserve">). Existing eligibility-rule and quality-rule CRUDs become saved-filter views over the same underlying table.</w:t>
      </w:r>
    </w:p>
    <w:p>
      <w:pPr>
        <w:pStyle w:val="Heading3"/>
      </w:pPr>
      <w:bookmarkStart w:id="31" w:name="what-goes-away"/>
      <w:r>
        <w:t xml:space="preserve">2.5 What goes away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formQuality</w:t>
      </w:r>
      <w:r>
        <w:t xml:space="preserve"> </w:t>
      </w:r>
      <w:r>
        <w:t xml:space="preserve">Joget app entirely. Its userview, its</w:t>
      </w:r>
      <w:r>
        <w:t xml:space="preserve"> </w:t>
      </w:r>
      <w:r>
        <w:rPr>
          <w:rStyle w:val="VerbatimChar"/>
        </w:rPr>
        <w:t xml:space="preserve">qa_*</w:t>
      </w:r>
      <w:r>
        <w:t xml:space="preserve"> </w:t>
      </w:r>
      <w:r>
        <w:t xml:space="preserve">form definitions, its</w:t>
      </w:r>
      <w:r>
        <w:t xml:space="preserve"> </w:t>
      </w:r>
      <w:r>
        <w:rPr>
          <w:rStyle w:val="VerbatimChar"/>
        </w:rPr>
        <w:t xml:space="preserve">app_app</w:t>
      </w:r>
      <w:r>
        <w:t xml:space="preserve"> </w:t>
      </w:r>
      <w:r>
        <w:t xml:space="preserve">row.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qa_service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qa_tab</w:t>
      </w:r>
      <w:r>
        <w:t xml:space="preserve">,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qa_record_status</w:t>
      </w:r>
      <w:r>
        <w:t xml:space="preserve"> </w:t>
      </w:r>
      <w:r>
        <w:t xml:space="preserve">tables (data migrated to</w:t>
      </w:r>
      <w:r>
        <w:t xml:space="preserve"> </w:t>
      </w:r>
      <w:r>
        <w:rPr>
          <w:rStyle w:val="VerbatimChar"/>
        </w:rPr>
        <w:t xml:space="preserve">mm_*</w:t>
      </w:r>
      <w:r>
        <w:t xml:space="preserve"> </w:t>
      </w:r>
      <w:r>
        <w:t xml:space="preserve">tables).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form-quality-runtime</w:t>
      </w:r>
      <w:r>
        <w:t xml:space="preserve"> </w:t>
      </w:r>
      <w:r>
        <w:t xml:space="preserve">plugin as a separate JAR. Its hooks (PostProcessor, BannerElement) move into</w:t>
      </w:r>
      <w:r>
        <w:t xml:space="preserve"> </w:t>
      </w:r>
      <w:r>
        <w:rPr>
          <w:rStyle w:val="VerbatimChar"/>
        </w:rPr>
        <w:t xml:space="preserve">reg-bb-engine</w:t>
      </w:r>
      <w:r>
        <w:t xml:space="preserve"> </w:t>
      </w:r>
      <w:r>
        <w:t xml:space="preserve">as additional widgets in the unified evaluator.</w:t>
      </w:r>
    </w:p>
    <w:p>
      <w:pPr>
        <w:numPr>
          <w:ilvl w:val="0"/>
          <w:numId w:val="1006"/>
        </w:numPr>
        <w:pStyle w:val="Compact"/>
      </w:pPr>
      <w:r>
        <w:t xml:space="preserve">Two authoring UIs become one. Two outcome stores become one. Two engines become one.</w:t>
      </w:r>
    </w:p>
    <w:p>
      <w:pPr>
        <w:pStyle w:val="Heading3"/>
      </w:pPr>
      <w:bookmarkStart w:id="32" w:name="what-stays"/>
      <w:r>
        <w:t xml:space="preserve">2.6 What stays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Every existing rule’s SQL probe — the rule logic itself, which is the actual asset.</w:t>
      </w:r>
    </w:p>
    <w:p>
      <w:pPr>
        <w:numPr>
          <w:ilvl w:val="0"/>
          <w:numId w:val="1007"/>
        </w:numPr>
        <w:pStyle w:val="Compact"/>
      </w:pPr>
      <w:r>
        <w:t xml:space="preserve">The eligibility-pills rendering on the application form — operators see no UX change.</w:t>
      </w:r>
    </w:p>
    <w:p>
      <w:pPr>
        <w:numPr>
          <w:ilvl w:val="0"/>
          <w:numId w:val="1007"/>
        </w:numPr>
        <w:pStyle w:val="Compact"/>
      </w:pPr>
      <w:r>
        <w:t xml:space="preserve">The QualityBanner on the four primary forms — operators see no UX change.</w:t>
      </w:r>
    </w:p>
    <w:p>
      <w:pPr>
        <w:numPr>
          <w:ilvl w:val="0"/>
          <w:numId w:val="1007"/>
        </w:numPr>
        <w:pStyle w:val="Compact"/>
      </w:pPr>
      <w:r>
        <w:t xml:space="preserve">The L4 20-scenario parity test — becomes the regression test for the eligibility scope of the unified engine.</w:t>
      </w:r>
    </w:p>
    <w:p>
      <w:pPr>
        <w:numPr>
          <w:ilvl w:val="0"/>
          <w:numId w:val="1007"/>
        </w:numPr>
        <w:pStyle w:val="Compact"/>
      </w:pPr>
      <w:r>
        <w:t xml:space="preserve">The 4 gates — migrate to</w:t>
      </w:r>
      <w:r>
        <w:t xml:space="preserve"> </w:t>
      </w:r>
      <w:r>
        <w:rPr>
          <w:rStyle w:val="VerbatimChar"/>
        </w:rPr>
        <w:t xml:space="preserve">mm_rule_gate</w:t>
      </w:r>
      <w:r>
        <w:t xml:space="preserve"> </w:t>
      </w:r>
      <w:r>
        <w:t xml:space="preserve">rows; gate behaviour is unchanged.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igration-plan"/>
      <w:r>
        <w:t xml:space="preserve">3. Migration plan</w:t>
      </w:r>
      <w:bookmarkEnd w:id="33"/>
    </w:p>
    <w:p>
      <w:pPr>
        <w:pStyle w:val="FirstParagraph"/>
      </w:pPr>
      <w:r>
        <w:t xml:space="preserve">Five slices, each shippable independently. Each slice has acceptance criteria; the next slice does not start until the prior slice’s criteria are met. The L4 parity test runs at the end of every slice — if it regresses, the slice is rolled back.</w:t>
      </w:r>
    </w:p>
    <w:p>
      <w:pPr>
        <w:pStyle w:val="Heading3"/>
      </w:pPr>
      <w:bookmarkStart w:id="34" w:name="slice-a-schema-unification-1-day"/>
      <w:r>
        <w:t xml:space="preserve">Slice A — Schema unification (1 day)</w:t>
      </w:r>
      <w:bookmarkEnd w:id="34"/>
    </w:p>
    <w:p>
      <w:pPr>
        <w:pStyle w:val="FirstParagraph"/>
      </w:pPr>
      <w:r>
        <w:t xml:space="preserve">Add the new columns to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severity</w:t>
      </w:r>
      <w:r>
        <w:t xml:space="preserve"> </w:t>
      </w:r>
      <w:r>
        <w:t xml:space="preserve">(extend the current</w:t>
      </w:r>
      <w:r>
        <w:t xml:space="preserve"> </w:t>
      </w:r>
      <w:r>
        <w:rPr>
          <w:rStyle w:val="VerbatimChar"/>
        </w:rPr>
        <w:t xml:space="preserve">mandatory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set with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warning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triggerOn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for existing rows).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aggregation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 </w:t>
      </w:r>
      <w:r>
        <w:t xml:space="preserve">for existing rows).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affectedFields</w:t>
      </w:r>
      <w:r>
        <w:t xml:space="preserve"> </w:t>
      </w:r>
      <w:r>
        <w:t xml:space="preserve">(default null for existing rows).</w:t>
      </w:r>
    </w:p>
    <w:p>
      <w:pPr>
        <w:pStyle w:val="FirstParagraph"/>
      </w:pPr>
      <w:r>
        <w:t xml:space="preserve">Rename the table to</w:t>
      </w:r>
      <w:r>
        <w:t xml:space="preserve"> </w:t>
      </w:r>
      <w:r>
        <w:rPr>
          <w:rStyle w:val="VerbatimChar"/>
        </w:rPr>
        <w:t xml:space="preserve">mm_rule</w:t>
      </w:r>
      <w:r>
        <w:t xml:space="preserve"> </w:t>
      </w:r>
      <w:r>
        <w:t xml:space="preserve">via a Joget form re-author (HARD-RULE compliant: edit the form definition, let Joget DDL the schema). The existing data is unchanged in semantics.</w:t>
      </w:r>
    </w:p>
    <w:p>
      <w:pPr>
        <w:pStyle w:val="BodyText"/>
      </w:pPr>
      <w:r>
        <w:rPr>
          <w:b/>
        </w:rPr>
        <w:t xml:space="preserve">Acceptance</w:t>
      </w:r>
      <w:r>
        <w:t xml:space="preserve">: L4 passes; existing eligibility CRUD UI renders unchanged; existing tests green.</w:t>
      </w:r>
    </w:p>
    <w:p>
      <w:pPr>
        <w:pStyle w:val="Heading3"/>
      </w:pPr>
      <w:bookmarkStart w:id="35" w:name="X42937c0aec818dad046fa4370df2c67ebd029fa"/>
      <w:r>
        <w:t xml:space="preserve">Slice B — Data migration: qa_rule → mm_rule (1 day)</w:t>
      </w:r>
      <w:bookmarkEnd w:id="35"/>
    </w:p>
    <w:p>
      <w:pPr>
        <w:pStyle w:val="FirstParagraph"/>
      </w:pPr>
      <w:r>
        <w:t xml:space="preserve">Script-driven row insert: each</w:t>
      </w:r>
      <w:r>
        <w:t xml:space="preserve"> </w:t>
      </w:r>
      <w:r>
        <w:rPr>
          <w:rStyle w:val="VerbatimChar"/>
        </w:rPr>
        <w:t xml:space="preserve">app_fd_qa_rule</w:t>
      </w:r>
      <w:r>
        <w:t xml:space="preserve"> </w:t>
      </w:r>
      <w:r>
        <w:t xml:space="preserve">row inserts as an</w:t>
      </w:r>
      <w:r>
        <w:t xml:space="preserve"> </w:t>
      </w:r>
      <w:r>
        <w:rPr>
          <w:rStyle w:val="VerbatimChar"/>
        </w:rPr>
        <w:t xml:space="preserve">app_fd_mm_rule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scope=quality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severity=error|warning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triggerOn=save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aggregation=issue_list</w:t>
      </w:r>
      <w:r>
        <w:t xml:space="preserve">. The SQL probe column copies byte-for-byte. Same for</w:t>
      </w:r>
      <w:r>
        <w:t xml:space="preserve"> </w:t>
      </w:r>
      <w:r>
        <w:rPr>
          <w:rStyle w:val="VerbatimChar"/>
        </w:rPr>
        <w:t xml:space="preserve">qa_service</w:t>
      </w:r>
      <w:r>
        <w:t xml:space="preserve"> </w:t>
      </w:r>
      <w:r>
        <w:t xml:space="preserve">→ optional</w:t>
      </w:r>
      <w:r>
        <w:t xml:space="preserve"> </w:t>
      </w:r>
      <w:r>
        <w:rPr>
          <w:rStyle w:val="VerbatimChar"/>
        </w:rPr>
        <w:t xml:space="preserve">mm_service</w:t>
      </w:r>
      <w:r>
        <w:t xml:space="preserve">-style rows,</w:t>
      </w:r>
      <w:r>
        <w:t xml:space="preserve"> </w:t>
      </w:r>
      <w:r>
        <w:rPr>
          <w:rStyle w:val="VerbatimChar"/>
        </w:rPr>
        <w:t xml:space="preserve">qa_tab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mm_tab</w:t>
      </w:r>
      <w:r>
        <w:t xml:space="preserve">-style rows,</w:t>
      </w:r>
      <w:r>
        <w:t xml:space="preserve"> </w:t>
      </w:r>
      <w:r>
        <w:rPr>
          <w:rStyle w:val="VerbatimChar"/>
        </w:rPr>
        <w:t xml:space="preserve">qa_gate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mm_rule_gate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 </w:t>
      </w:r>
      <w:r>
        <w:t xml:space="preserve">rows are NOT deleted yet. The system runs in a</w:t>
      </w:r>
      <w:r>
        <w:t xml:space="preserve"> </w:t>
      </w:r>
      <w:r>
        <w:rPr>
          <w:b/>
        </w:rPr>
        <w:t xml:space="preserve">dual-write window</w:t>
      </w:r>
      <w:r>
        <w:t xml:space="preserve"> </w:t>
      </w:r>
      <w:r>
        <w:t xml:space="preserve">— the form-quality-runtime continues to read from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, while the unified evaluator can also see the new</w:t>
      </w:r>
      <w:r>
        <w:t xml:space="preserve"> </w:t>
      </w:r>
      <w:r>
        <w:rPr>
          <w:rStyle w:val="VerbatimChar"/>
        </w:rPr>
        <w:t xml:space="preserve">mm_rule</w:t>
      </w:r>
      <w:r>
        <w:t xml:space="preserve"> </w:t>
      </w:r>
      <w:r>
        <w:t xml:space="preserve">rows. This is the safe rollback point.</w:t>
      </w:r>
    </w:p>
    <w:p>
      <w:pPr>
        <w:pStyle w:val="BodyText"/>
      </w:pPr>
      <w:r>
        <w:rPr>
          <w:b/>
        </w:rPr>
        <w:t xml:space="preserve">Acceptance</w:t>
      </w:r>
      <w:r>
        <w:t xml:space="preserve">: dual content equivalence — for every test fixture, both stores produce identical outcome sets.</w:t>
      </w:r>
    </w:p>
    <w:p>
      <w:pPr>
        <w:pStyle w:val="Heading3"/>
      </w:pPr>
      <w:bookmarkStart w:id="36" w:name="Xfc63d56f19c039c124d4bd4c490f492e02dc107"/>
      <w:r>
        <w:t xml:space="preserve">Slice C — Switch read paths (3 days, with soak)</w:t>
      </w:r>
      <w:bookmarkEnd w:id="36"/>
    </w:p>
    <w:p>
      <w:pPr>
        <w:pStyle w:val="FirstParagraph"/>
      </w:pPr>
      <w:r>
        <w:t xml:space="preserve">The form-quality-runtime plugin’s</w:t>
      </w:r>
      <w:r>
        <w:t xml:space="preserve"> </w:t>
      </w:r>
      <w:r>
        <w:rPr>
          <w:rStyle w:val="VerbatimChar"/>
        </w:rPr>
        <w:t xml:space="preserve">FormQualityPostProcessor</w:t>
      </w:r>
      <w:r>
        <w:t xml:space="preserve"> </w:t>
      </w:r>
      <w:r>
        <w:t xml:space="preserve">is patched to read rules from</w:t>
      </w:r>
      <w:r>
        <w:t xml:space="preserve"> </w:t>
      </w:r>
      <w:r>
        <w:rPr>
          <w:rStyle w:val="VerbatimChar"/>
        </w:rPr>
        <w:t xml:space="preserve">mm_rule WHERE scope='quality'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. The QualityBannerElement is patched to read from</w:t>
      </w:r>
      <w:r>
        <w:t xml:space="preserve"> </w:t>
      </w:r>
      <w:r>
        <w:rPr>
          <w:rStyle w:val="VerbatimChar"/>
        </w:rPr>
        <w:t xml:space="preserve">rule_outcome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qa_record_status</w:t>
      </w:r>
      <w:r>
        <w:t xml:space="preserve">. Eligibility evaluator continues to read its rules; nothing in the eligibility path changes.</w:t>
      </w:r>
    </w:p>
    <w:p>
      <w:pPr>
        <w:pStyle w:val="BodyText"/>
      </w:pPr>
      <w:r>
        <w:t xml:space="preserve">For one week: monitor outcome equivalence between the two engines on every save, log any divergence. Run L4, run the new L5 quality regression (see test strategy doc), run end-to-end smoke. If outcomes match for 7 days, declare success and move on.</w:t>
      </w:r>
    </w:p>
    <w:p>
      <w:pPr>
        <w:pStyle w:val="BodyText"/>
      </w:pPr>
      <w:r>
        <w:rPr>
          <w:b/>
        </w:rPr>
        <w:t xml:space="preserve">Acceptance</w:t>
      </w:r>
      <w:r>
        <w:t xml:space="preserve">: zero divergence over 7 days of normal operation; L4 + L5 pass.</w:t>
      </w:r>
    </w:p>
    <w:p>
      <w:pPr>
        <w:pStyle w:val="Heading3"/>
      </w:pPr>
      <w:bookmarkStart w:id="37" w:name="slice-d-unified-authoring-ui-2-days"/>
      <w:r>
        <w:t xml:space="preserve">Slice D — Unified authoring UI (2 days)</w:t>
      </w:r>
      <w:bookmarkEnd w:id="37"/>
    </w:p>
    <w:p>
      <w:pPr>
        <w:pStyle w:val="FirstParagraph"/>
      </w:pPr>
      <w:r>
        <w:t xml:space="preserve">Author a single CRUD list under farmersPortal’s userview: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menu with a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filter dropdown. The existing eligibility-rule CRUD and quality-rule CRUD become saved-filter views (</w:t>
      </w:r>
      <w:r>
        <w:rPr>
          <w:rStyle w:val="VerbatimChar"/>
        </w:rPr>
        <w:t xml:space="preserve">?scope=eligibility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?scope=quality</w:t>
      </w:r>
      <w:r>
        <w:t xml:space="preserve">). The formQuality app’s authoring UI continues to work for legacy rule edits but is no longer the canonical location.</w:t>
      </w:r>
    </w:p>
    <w:p>
      <w:pPr>
        <w:pStyle w:val="BodyText"/>
      </w:pPr>
      <w:r>
        <w:rPr>
          <w:b/>
        </w:rPr>
        <w:t xml:space="preserve">Acceptance</w:t>
      </w:r>
      <w:r>
        <w:t xml:space="preserve">: every authoring action available in the formQuality app is also available in the new unified UI; all 21 quality rules + N eligibility rules visible and editable.</w:t>
      </w:r>
    </w:p>
    <w:p>
      <w:pPr>
        <w:pStyle w:val="Heading3"/>
      </w:pPr>
      <w:bookmarkStart w:id="38" w:name="slice-e-retire-formquality-app-1-day"/>
      <w:r>
        <w:t xml:space="preserve">Slice E — Retire formQuality app (1 day)</w:t>
      </w:r>
      <w:bookmarkEnd w:id="38"/>
    </w:p>
    <w:p>
      <w:pPr>
        <w:pStyle w:val="FirstParagraph"/>
      </w:pPr>
      <w:r>
        <w:t xml:space="preserve">Delete the formQuality app’s userview. Drop the</w:t>
      </w:r>
      <w:r>
        <w:t xml:space="preserve"> </w:t>
      </w:r>
      <w:r>
        <w:rPr>
          <w:rStyle w:val="VerbatimChar"/>
        </w:rPr>
        <w:t xml:space="preserve">qa_*</w:t>
      </w:r>
      <w:r>
        <w:t xml:space="preserve"> </w:t>
      </w:r>
      <w:r>
        <w:t xml:space="preserve">form definitions. Archive the JWA for the historical record. Remove any residual references in tooling, documentation, and the user manual.</w:t>
      </w:r>
    </w:p>
    <w:p>
      <w:pPr>
        <w:pStyle w:val="BodyText"/>
      </w:pPr>
      <w:r>
        <w:t xml:space="preserve">This is the no-going-back step. Done last, after Slices A–D have been stable for at least one week.</w:t>
      </w:r>
    </w:p>
    <w:p>
      <w:pPr>
        <w:pStyle w:val="BodyText"/>
      </w:pPr>
      <w:r>
        <w:rPr>
          <w:b/>
        </w:rPr>
        <w:t xml:space="preserve">Acceptance</w:t>
      </w:r>
      <w:r>
        <w:t xml:space="preserve">: zero references to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qa_tab</w:t>
      </w:r>
      <w:r>
        <w:t xml:space="preserve">,</w:t>
      </w:r>
      <w:r>
        <w:t xml:space="preserve"> </w:t>
      </w:r>
      <w:r>
        <w:rPr>
          <w:rStyle w:val="VerbatimChar"/>
        </w:rPr>
        <w:t xml:space="preserve">qa_gate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qa_record_status</w:t>
      </w:r>
      <w:r>
        <w:t xml:space="preserve">, or the</w:t>
      </w:r>
      <w:r>
        <w:t xml:space="preserve"> </w:t>
      </w:r>
      <w:r>
        <w:rPr>
          <w:rStyle w:val="VerbatimChar"/>
        </w:rPr>
        <w:t xml:space="preserve">formQuality</w:t>
      </w:r>
      <w:r>
        <w:t xml:space="preserve"> </w:t>
      </w:r>
      <w:r>
        <w:t xml:space="preserve">appId in the codebase, the documentation set, or the running app metadata.</w:t>
      </w:r>
    </w:p>
    <w:p>
      <w:pPr>
        <w:pStyle w:val="BodyText"/>
      </w:pPr>
      <w:r>
        <w:rPr>
          <w:b/>
        </w:rPr>
        <w:t xml:space="preserve">Total scope</w:t>
      </w:r>
      <w:r>
        <w:t xml:space="preserve">: ~8–10 working days for a single engineer, executed across two sprints.</w:t>
      </w:r>
    </w:p>
    <w:p>
      <w:pPr>
        <w:pStyle w:val="Heading3"/>
      </w:pPr>
      <w:bookmarkStart w:id="39" w:name="rollback-strategy"/>
      <w:r>
        <w:t xml:space="preserve">Rollback strategy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Slice A: rollback by removing the added columns. No data loss; no behavioural impact.</w:t>
      </w:r>
    </w:p>
    <w:p>
      <w:pPr>
        <w:numPr>
          <w:ilvl w:val="0"/>
          <w:numId w:val="1009"/>
        </w:numPr>
        <w:pStyle w:val="Compact"/>
      </w:pPr>
      <w:r>
        <w:t xml:space="preserve">Slice B: rollback by deleting the new</w:t>
      </w:r>
      <w:r>
        <w:t xml:space="preserve"> </w:t>
      </w:r>
      <w:r>
        <w:rPr>
          <w:rStyle w:val="VerbatimChar"/>
        </w:rPr>
        <w:t xml:space="preserve">mm_rule</w:t>
      </w:r>
      <w:r>
        <w:t xml:space="preserve"> </w:t>
      </w:r>
      <w:r>
        <w:t xml:space="preserve">rows where</w:t>
      </w:r>
      <w:r>
        <w:t xml:space="preserve"> </w:t>
      </w:r>
      <w:r>
        <w:rPr>
          <w:rStyle w:val="VerbatimChar"/>
        </w:rPr>
        <w:t xml:space="preserve">scope='quality'</w:t>
      </w:r>
      <w:r>
        <w:t xml:space="preserve">. The original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 </w:t>
      </w:r>
      <w:r>
        <w:t xml:space="preserve">rows are still there and still authoritative.</w:t>
      </w:r>
    </w:p>
    <w:p>
      <w:pPr>
        <w:numPr>
          <w:ilvl w:val="0"/>
          <w:numId w:val="1009"/>
        </w:numPr>
        <w:pStyle w:val="Compact"/>
      </w:pPr>
      <w:r>
        <w:t xml:space="preserve">Slice C: rollback by reverting the form-quality-runtime patch to read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 </w:t>
      </w:r>
      <w:r>
        <w:t xml:space="preserve">again. The dual-store window means both stores still have the data.</w:t>
      </w:r>
    </w:p>
    <w:p>
      <w:pPr>
        <w:numPr>
          <w:ilvl w:val="0"/>
          <w:numId w:val="1009"/>
        </w:numPr>
        <w:pStyle w:val="Compact"/>
      </w:pPr>
      <w:r>
        <w:t xml:space="preserve">Slice D: rollback by removing the new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menu from the userview.</w:t>
      </w:r>
    </w:p>
    <w:p>
      <w:pPr>
        <w:numPr>
          <w:ilvl w:val="0"/>
          <w:numId w:val="1009"/>
        </w:numPr>
        <w:pStyle w:val="Compact"/>
      </w:pPr>
      <w:r>
        <w:t xml:space="preserve">Slice E: this slice is intentionally NOT rollback-safe. Do it only after every prior slice has been stable for ≥1 week.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est-strategy-summary"/>
      <w:r>
        <w:t xml:space="preserve">4. Test strategy (summary)</w:t>
      </w:r>
      <w:bookmarkEnd w:id="40"/>
    </w:p>
    <w:p>
      <w:pPr>
        <w:pStyle w:val="FirstParagraph"/>
      </w:pPr>
      <w:r>
        <w:t xml:space="preserve">The full test architecture for this project lives in</w:t>
      </w:r>
      <w:r>
        <w:t xml:space="preserve"> </w:t>
      </w:r>
      <w:r>
        <w:rPr>
          <w:rStyle w:val="VerbatimChar"/>
        </w:rPr>
        <w:t xml:space="preserve">_design/test_strategy.md</w:t>
      </w:r>
      <w:r>
        <w:t xml:space="preserve"> </w:t>
      </w:r>
      <w:r>
        <w:t xml:space="preserve">(companion document). For this ADR specifically, three test categories anchor the migration:</w:t>
      </w:r>
    </w:p>
    <w:p>
      <w:pPr>
        <w:numPr>
          <w:ilvl w:val="0"/>
          <w:numId w:val="1010"/>
        </w:numPr>
      </w:pPr>
      <w:r>
        <w:rPr>
          <w:b/>
        </w:rPr>
        <w:t xml:space="preserve">Per-rule equivalence tests.</w:t>
      </w:r>
      <w:r>
        <w:t xml:space="preserve"> </w:t>
      </w:r>
      <w:r>
        <w:t xml:space="preserve">For each of the ~21 quality rules + N eligibility rules: feed a fixture record where the rule should fire, assert it fires; feed a record where it shouldn’t, assert it doesn’t. Run against both the old and new engine; assert byte-for-byte outcome equivalence. Authored as a new</w:t>
      </w:r>
      <w:r>
        <w:t xml:space="preserve"> </w:t>
      </w:r>
      <w:r>
        <w:rPr>
          <w:rStyle w:val="VerbatimChar"/>
        </w:rPr>
        <w:t xml:space="preserve">_tooling/test_rules_equivalence.py</w:t>
      </w:r>
      <w:r>
        <w:t xml:space="preserve"> </w:t>
      </w:r>
      <w:r>
        <w:t xml:space="preserve">script.</w:t>
      </w:r>
    </w:p>
    <w:p>
      <w:pPr>
        <w:numPr>
          <w:ilvl w:val="0"/>
          <w:numId w:val="1010"/>
        </w:numPr>
      </w:pPr>
      <w:r>
        <w:rPr>
          <w:b/>
        </w:rPr>
        <w:t xml:space="preserve">L4 parity (existing).</w:t>
      </w:r>
      <w:r>
        <w:t xml:space="preserve"> </w:t>
      </w:r>
      <w:r>
        <w:t xml:space="preserve">The 20-scenario eligibility regression test continues to be the gate. After each slice, L4 must pass.</w:t>
      </w:r>
    </w:p>
    <w:p>
      <w:pPr>
        <w:numPr>
          <w:ilvl w:val="0"/>
          <w:numId w:val="1010"/>
        </w:numPr>
      </w:pPr>
      <w:r>
        <w:rPr>
          <w:b/>
        </w:rPr>
        <w:t xml:space="preserve">L5 quality regression (new).</w:t>
      </w:r>
      <w:r>
        <w:t xml:space="preserve"> </w:t>
      </w:r>
      <w:r>
        <w:t xml:space="preserve">A new pytest harness covers the 21 quality rules end-to-end: trigger a save, assert the QualityBanner state, assert the gate behaviour on status transitions. Authored alongside Slice C.</w:t>
      </w:r>
    </w:p>
    <w:p>
      <w:pPr>
        <w:pStyle w:val="FirstParagraph"/>
      </w:pPr>
      <w:r>
        <w:t xml:space="preserve">Performance regression: the per-save evaluation budget remains &lt;500 ms across all rules in the heaviest service (</w:t>
      </w:r>
      <w:r>
        <w:rPr>
          <w:rStyle w:val="VerbatimChar"/>
        </w:rPr>
        <w:t xml:space="preserve">farmer_application</w:t>
      </w:r>
      <w:r>
        <w:t xml:space="preserve">). Profile on every slice.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isks-and-open-questions"/>
      <w:r>
        <w:t xml:space="preserve">5. Risks and open questions</w:t>
      </w:r>
      <w:bookmarkEnd w:id="41"/>
    </w:p>
    <w:p>
      <w:pPr>
        <w:pStyle w:val="Heading3"/>
      </w:pPr>
      <w:bookmarkStart w:id="42" w:name="X0e15ac825caed7adbddb3d36a744f2159f45143"/>
      <w:r>
        <w:t xml:space="preserve">5.1 Risk — fast-path vs SQL-path coverage for quality probes</w:t>
      </w:r>
      <w:bookmarkEnd w:id="42"/>
    </w:p>
    <w:p>
      <w:pPr>
        <w:pStyle w:val="FirstParagraph"/>
      </w:pPr>
      <w:r>
        <w:t xml:space="preserve">The eligibility evaluator’s fast path was built for simpler probe shapes. Some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 </w:t>
      </w:r>
      <w:r>
        <w:t xml:space="preserve">SQL is more complex (multi-table joins). If the fast path can’t compile a quality rule, it falls back to the SQL path. Worst case, all quality rules run via SQL-path; eligibility rules retain the fast path. Architecturally clean either way; the choice is per-rule. Verify via the equivalence tests.</w:t>
      </w:r>
    </w:p>
    <w:p>
      <w:pPr>
        <w:pStyle w:val="Heading3"/>
      </w:pPr>
      <w:bookmarkStart w:id="43" w:name="risk-mm_rule_gate-is-new-shape"/>
      <w:r>
        <w:t xml:space="preserve">5.2 Risk —</w:t>
      </w:r>
      <w:r>
        <w:t xml:space="preserve"> </w:t>
      </w:r>
      <w:r>
        <w:rPr>
          <w:rStyle w:val="VerbatimChar"/>
        </w:rPr>
        <w:t xml:space="preserve">mm_rule_gate</w:t>
      </w:r>
      <w:r>
        <w:t xml:space="preserve"> </w:t>
      </w:r>
      <w:r>
        <w:t xml:space="preserve">is new shape</w:t>
      </w:r>
      <w:bookmarkEnd w:id="43"/>
    </w:p>
    <w:p>
      <w:pPr>
        <w:pStyle w:val="FirstParagraph"/>
      </w:pPr>
      <w:r>
        <w:t xml:space="preserve">Eligibility doesn’t have gates today (an eligibility failure produces a disposition; it doesn’t block transitions). Gates are quality-specific. The new</w:t>
      </w:r>
      <w:r>
        <w:t xml:space="preserve"> </w:t>
      </w:r>
      <w:r>
        <w:rPr>
          <w:rStyle w:val="VerbatimChar"/>
        </w:rPr>
        <w:t xml:space="preserve">mm_rule_gate</w:t>
      </w:r>
      <w:r>
        <w:t xml:space="preserve"> </w:t>
      </w:r>
      <w:r>
        <w:t xml:space="preserve">table accommodates quality’s pattern; eligibility ignores it. The asymmetry is documented in the table schema.</w:t>
      </w:r>
    </w:p>
    <w:p>
      <w:pPr>
        <w:pStyle w:val="Heading3"/>
      </w:pPr>
      <w:bookmarkStart w:id="44" w:name="risk-qa_record_status-aggregation-cost"/>
      <w:r>
        <w:t xml:space="preserve">5.3 Risk —</w:t>
      </w:r>
      <w:r>
        <w:t xml:space="preserve"> </w:t>
      </w:r>
      <w:r>
        <w:rPr>
          <w:rStyle w:val="VerbatimChar"/>
        </w:rPr>
        <w:t xml:space="preserve">qa_record_status</w:t>
      </w:r>
      <w:r>
        <w:t xml:space="preserve"> </w:t>
      </w:r>
      <w:r>
        <w:t xml:space="preserve">aggregation cost</w:t>
      </w:r>
      <w:bookmarkEnd w:id="44"/>
    </w:p>
    <w:p>
      <w:pPr>
        <w:pStyle w:val="FirstParagraph"/>
      </w:pPr>
      <w:r>
        <w:rPr>
          <w:rStyle w:val="VerbatimChar"/>
        </w:rPr>
        <w:t xml:space="preserve">qa_record_status</w:t>
      </w:r>
      <w:r>
        <w:t xml:space="preserve"> </w:t>
      </w:r>
      <w:r>
        <w:t xml:space="preserve">materialises per-record aggregate counts. Today this is recomputed by the post-processor on every save. After unification, the same recompute happens but against the larger</w:t>
      </w:r>
      <w:r>
        <w:t xml:space="preserve"> </w:t>
      </w:r>
      <w:r>
        <w:rPr>
          <w:rStyle w:val="VerbatimChar"/>
        </w:rPr>
        <w:t xml:space="preserve">rule_outcome</w:t>
      </w:r>
      <w:r>
        <w:t xml:space="preserve"> </w:t>
      </w:r>
      <w:r>
        <w:t xml:space="preserve">store. Verify aggregation is still O(rules-per-record), not O(all-rule-outcomes-globally).</w:t>
      </w:r>
    </w:p>
    <w:p>
      <w:pPr>
        <w:pStyle w:val="Heading3"/>
      </w:pPr>
      <w:bookmarkStart w:id="45" w:name="Xa876c3f63b28df5b98349549e4ab45ba26d22ec"/>
      <w:r>
        <w:t xml:space="preserve">5.4 Risk — bot_pull rules and the unified trigger model</w:t>
      </w:r>
      <w:bookmarkEnd w:id="45"/>
    </w:p>
    <w:p>
      <w:pPr>
        <w:pStyle w:val="FirstParagraph"/>
      </w:pPr>
      <w:r>
        <w:rPr>
          <w:rStyle w:val="VerbatimChar"/>
        </w:rPr>
        <w:t xml:space="preserve">bot_pull</w:t>
      </w:r>
      <w:r>
        <w:t xml:space="preserve"> </w:t>
      </w:r>
      <w:r>
        <w:t xml:space="preserve">rules don’t fit the</w:t>
      </w:r>
      <w:r>
        <w:t xml:space="preserve"> </w:t>
      </w:r>
      <w:r>
        <w:t xml:space="preserve">“</w:t>
      </w:r>
      <w:r>
        <w:t xml:space="preserve">fail/pass</w:t>
      </w:r>
      <w:r>
        <w:t xml:space="preserve">”</w:t>
      </w:r>
      <w:r>
        <w:t xml:space="preserve"> </w:t>
      </w:r>
      <w:r>
        <w:t xml:space="preserve">mental model — they populate fields. They’re already in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scope=bot_pull</w:t>
      </w:r>
      <w:r>
        <w:t xml:space="preserve">. They run on a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trigger than eligibility (typically on field-change rather than on submit). The unified</w:t>
      </w:r>
      <w:r>
        <w:t xml:space="preserve"> </w:t>
      </w:r>
      <w:r>
        <w:rPr>
          <w:rStyle w:val="VerbatimChar"/>
        </w:rPr>
        <w:t xml:space="preserve">triggerOn</w:t>
      </w:r>
      <w:r>
        <w:t xml:space="preserve"> </w:t>
      </w:r>
      <w:r>
        <w:t xml:space="preserve">enumeration must include enough values to cover all three scopes’ lifecycles. Open question: does</w:t>
      </w:r>
      <w:r>
        <w:t xml:space="preserve"> </w:t>
      </w:r>
      <w:r>
        <w:rPr>
          <w:rStyle w:val="VerbatimChar"/>
        </w:rPr>
        <w:t xml:space="preserve">triggerOn</w:t>
      </w:r>
      <w:r>
        <w:t xml:space="preserve"> </w:t>
      </w:r>
      <w:r>
        <w:t xml:space="preserve">need to be more granular than</w:t>
      </w:r>
      <w:r>
        <w:t xml:space="preserve"> </w:t>
      </w:r>
      <w:r>
        <w:rPr>
          <w:rStyle w:val="VerbatimChar"/>
        </w:rPr>
        <w:t xml:space="preserve">submit / save / manual</w:t>
      </w:r>
      <w:r>
        <w:t xml:space="preserve">? Likely a fourth value (</w:t>
      </w:r>
      <w:r>
        <w:rPr>
          <w:rStyle w:val="VerbatimChar"/>
        </w:rPr>
        <w:t xml:space="preserve">field_change</w:t>
      </w:r>
      <w:r>
        <w:t xml:space="preserve">) for bot_pull. Defer; today’s bot_pull continues to use its existing trigger plumbing.</w:t>
      </w:r>
    </w:p>
    <w:p>
      <w:pPr>
        <w:pStyle w:val="Heading3"/>
      </w:pPr>
      <w:bookmarkStart w:id="46" w:name="open-question-naming"/>
      <w:r>
        <w:t xml:space="preserve">5.5 Open question — naming</w:t>
      </w:r>
      <w:bookmarkEnd w:id="46"/>
    </w:p>
    <w:p>
      <w:pPr>
        <w:pStyle w:val="FirstParagraph"/>
      </w:pPr>
      <w:r>
        <w:t xml:space="preserve">Should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 </w:t>
      </w:r>
      <w:r>
        <w:t xml:space="preserve">rename to</w:t>
      </w:r>
      <w:r>
        <w:t xml:space="preserve"> </w:t>
      </w:r>
      <w:r>
        <w:rPr>
          <w:rStyle w:val="VerbatimChar"/>
        </w:rPr>
        <w:t xml:space="preserve">mm_rule</w:t>
      </w:r>
      <w:r>
        <w:t xml:space="preserve">? Pro: clearer scope. Con: backward-compat — any external system or tooling that references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 </w:t>
      </w:r>
      <w:r>
        <w:t xml:space="preserve">breaks. The system is pre-production, so the cost is small.</w:t>
      </w:r>
      <w:r>
        <w:t xml:space="preserve"> </w:t>
      </w:r>
      <w:r>
        <w:rPr>
          <w:b/>
        </w:rPr>
        <w:t xml:space="preserve">Decision: rename.</w:t>
      </w:r>
      <w:r>
        <w:t xml:space="preserve"> </w:t>
      </w:r>
      <w:r>
        <w:t xml:space="preserve">Document in the ADR consequences (below).</w:t>
      </w:r>
    </w:p>
    <w:p>
      <w:pPr>
        <w:pStyle w:val="Heading3"/>
      </w:pPr>
      <w:bookmarkStart w:id="47" w:name="open-question-gate-on-eligibility"/>
      <w:r>
        <w:t xml:space="preserve">5.6 Open question — gate on eligibility?</w:t>
      </w:r>
      <w:bookmarkEnd w:id="47"/>
    </w:p>
    <w:p>
      <w:pPr>
        <w:pStyle w:val="FirstParagraph"/>
      </w:pPr>
      <w:r>
        <w:t xml:space="preserve">Today eligibility produces a disposition that auto-rejects on</w:t>
      </w:r>
      <w:r>
        <w:t xml:space="preserve"> </w:t>
      </w:r>
      <w:r>
        <w:rPr>
          <w:rStyle w:val="VerbatimChar"/>
        </w:rPr>
        <w:t xml:space="preserve">failed_mandatory</w:t>
      </w:r>
      <w:r>
        <w:t xml:space="preserve">. In the unified model, this is functionally equivalent to a gate on the</w:t>
      </w:r>
      <w:r>
        <w:t xml:space="preserve"> </w:t>
      </w:r>
      <w:r>
        <w:rPr>
          <w:rStyle w:val="VerbatimChar"/>
        </w:rPr>
        <w:t xml:space="preserve">submitted → auto_approved</w:t>
      </w:r>
      <w:r>
        <w:t xml:space="preserve"> </w:t>
      </w:r>
      <w:r>
        <w:t xml:space="preserve">transition. Worth standardising? Probably yes — collapses two control mechanisms into one. Defer to a follow-up ADR if scope grows.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trade-offs-named"/>
      <w:r>
        <w:t xml:space="preserve">6. Trade-offs named</w:t>
      </w:r>
      <w:bookmarkEnd w:id="48"/>
    </w:p>
    <w:p>
      <w:pPr>
        <w:pStyle w:val="FirstParagraph"/>
      </w:pPr>
      <w:r>
        <w:rPr>
          <w:b/>
        </w:rPr>
        <w:t xml:space="preserve">Convention over Invention</w:t>
      </w:r>
      <w:r>
        <w:t xml:space="preserve"> </w:t>
      </w:r>
      <w:r>
        <w:t xml:space="preserve">pulled toward keeping the two engines: each was built for its purpose, both work, the failure modes are well-understood. Refactor cost vs. status-quo cost.</w:t>
      </w:r>
    </w:p>
    <w:p>
      <w:pPr>
        <w:pStyle w:val="BodyText"/>
      </w:pPr>
      <w:r>
        <w:rPr>
          <w:b/>
        </w:rPr>
        <w:t xml:space="preserve">SRP + DIP</w:t>
      </w:r>
      <w:r>
        <w:t xml:space="preserve"> </w:t>
      </w:r>
      <w:r>
        <w:t xml:space="preserve">pulled toward unification: two engines doing functionally identical work is the textbook case for consolidation. Different scopes are an</w:t>
      </w:r>
      <w:r>
        <w:t xml:space="preserve"> </w:t>
      </w:r>
      <w:r>
        <w:rPr>
          <w:i/>
        </w:rPr>
        <w:t xml:space="preserve">attribute</w:t>
      </w:r>
      <w:r>
        <w:t xml:space="preserve"> </w:t>
      </w:r>
      <w:r>
        <w:t xml:space="preserve">of a rule, not a</w:t>
      </w:r>
      <w:r>
        <w:t xml:space="preserve"> </w:t>
      </w:r>
      <w:r>
        <w:rPr>
          <w:i/>
        </w:rPr>
        <w:t xml:space="preserve">property</w:t>
      </w:r>
      <w:r>
        <w:t xml:space="preserve"> </w:t>
      </w:r>
      <w:r>
        <w:t xml:space="preserve">of an engine.</w:t>
      </w:r>
    </w:p>
    <w:p>
      <w:pPr>
        <w:pStyle w:val="BodyText"/>
      </w:pPr>
      <w:r>
        <w:rPr>
          <w:b/>
        </w:rPr>
        <w:t xml:space="preserve">YAGNI</w:t>
      </w:r>
      <w:r>
        <w:t xml:space="preserve"> </w:t>
      </w:r>
      <w:r>
        <w:t xml:space="preserve">pulled toward keeping things separate: don’t refactor what works.</w:t>
      </w:r>
    </w:p>
    <w:p>
      <w:pPr>
        <w:pStyle w:val="BodyText"/>
      </w:pPr>
      <w:r>
        <w:rPr>
          <w:b/>
        </w:rPr>
        <w:t xml:space="preserve">Pre-production timing</w:t>
      </w:r>
      <w:r>
        <w:t xml:space="preserve"> </w:t>
      </w:r>
      <w:r>
        <w:t xml:space="preserve">is the resolving factor. Refactor cost is bounded (no live data); status-quo cost compounds (every new module pays the two-engine tax). At pre-production, SRP wins.</w:t>
      </w:r>
    </w:p>
    <w:p>
      <w:pPr>
        <w:pStyle w:val="BodyText"/>
      </w:pPr>
      <w:r>
        <w:t xml:space="preserve">The earlier formQuality split was itself a Convention-over-Invention decision (write a generic Joget plugin, follow the marketplace pattern). It accumulated debt because the actual integration ended up tight despite the structural separation. This ADR corrects that.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consequences"/>
      <w:r>
        <w:t xml:space="preserve">7. Consequences</w:t>
      </w:r>
      <w:bookmarkEnd w:id="49"/>
    </w:p>
    <w:p>
      <w:pPr>
        <w:pStyle w:val="FirstParagraph"/>
      </w:pPr>
      <w:r>
        <w:rPr>
          <w:b/>
        </w:rPr>
        <w:t xml:space="preserve">Positive</w:t>
      </w:r>
    </w:p>
    <w:p>
      <w:pPr>
        <w:numPr>
          <w:ilvl w:val="0"/>
          <w:numId w:val="1011"/>
        </w:numPr>
        <w:pStyle w:val="Compact"/>
      </w:pPr>
      <w:r>
        <w:t xml:space="preserve">One rule engine, one storage table, one outcome store, one authoring UI. Conceptual simplicity for analysts and engineers.</w:t>
      </w:r>
    </w:p>
    <w:p>
      <w:pPr>
        <w:numPr>
          <w:ilvl w:val="0"/>
          <w:numId w:val="1011"/>
        </w:numPr>
        <w:pStyle w:val="Compact"/>
      </w:pPr>
      <w:r>
        <w:t xml:space="preserve">New modules add rules in one place. The next MAFSN module (livestock voucher, fishery subsidy, …) configures eligibility + quality together rather than in two app contexts.</w:t>
      </w:r>
    </w:p>
    <w:p>
      <w:pPr>
        <w:numPr>
          <w:ilvl w:val="0"/>
          <w:numId w:val="1011"/>
        </w:numPr>
        <w:pStyle w:val="Compact"/>
      </w:pPr>
      <w:r>
        <w:t xml:space="preserve">The QA Lead and the programme designer use the same tools. Cross-pollination of conventions.</w:t>
      </w:r>
    </w:p>
    <w:p>
      <w:pPr>
        <w:numPr>
          <w:ilvl w:val="0"/>
          <w:numId w:val="1011"/>
        </w:numPr>
        <w:pStyle w:val="Compact"/>
      </w:pPr>
      <w:r>
        <w:t xml:space="preserve">One set of tests guards the rule engine, not two divergent test sets.</w:t>
      </w:r>
    </w:p>
    <w:p>
      <w:pPr>
        <w:pStyle w:val="FirstParagraph"/>
      </w:pPr>
      <w:r>
        <w:rPr>
          <w:b/>
        </w:rPr>
        <w:t xml:space="preserve">Negative</w:t>
      </w:r>
    </w:p>
    <w:p>
      <w:pPr>
        <w:numPr>
          <w:ilvl w:val="0"/>
          <w:numId w:val="1012"/>
        </w:numPr>
        <w:pStyle w:val="Compact"/>
      </w:pPr>
      <w:r>
        <w:t xml:space="preserve">Breaking change: any tooling that references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qa_rule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qa_issue</w:t>
      </w:r>
      <w:r>
        <w:t xml:space="preserve">, etc. by name needs updating. Migration script handles the canonical references; one-off scripts may need touch-up.</w:t>
      </w:r>
    </w:p>
    <w:p>
      <w:pPr>
        <w:numPr>
          <w:ilvl w:val="0"/>
          <w:numId w:val="1012"/>
        </w:numPr>
        <w:pStyle w:val="Compact"/>
      </w:pPr>
      <w:r>
        <w:t xml:space="preserve">The unified table is wider than either of its predecessors. New columns (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triggerOn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affectedFields</w:t>
      </w:r>
      <w:r>
        <w:t xml:space="preserve">) carry meaningful nulls for some rule types, which can confuse first-time readers. Mitigated by documentation.</w:t>
      </w:r>
    </w:p>
    <w:p>
      <w:pPr>
        <w:numPr>
          <w:ilvl w:val="0"/>
          <w:numId w:val="1012"/>
        </w:numPr>
        <w:pStyle w:val="Compact"/>
      </w:pPr>
      <w:r>
        <w:t xml:space="preserve">The formQuality app being retired means the JWA snapshot (</w:t>
      </w:r>
      <w:r>
        <w:rPr>
          <w:rStyle w:val="VerbatimChar"/>
        </w:rPr>
        <w:t xml:space="preserve">APP_formQuality-2-20260507083841.jwa</w:t>
      </w:r>
      <w:r>
        <w:t xml:space="preserve">) is the historical reference. Don’t lose it.</w:t>
      </w:r>
    </w:p>
    <w:p>
      <w:pPr>
        <w:pStyle w:val="FirstParagraph"/>
      </w:pPr>
      <w:r>
        <w:rPr>
          <w:b/>
        </w:rPr>
        <w:t xml:space="preserve">Neutral</w:t>
      </w:r>
    </w:p>
    <w:p>
      <w:pPr>
        <w:numPr>
          <w:ilvl w:val="0"/>
          <w:numId w:val="1013"/>
        </w:numPr>
        <w:pStyle w:val="Compact"/>
      </w:pPr>
      <w:r>
        <w:t xml:space="preserve">The plugin JAR consolidation (form-quality-runtime → reg-bb-engine) means one fewer JAR upload at deploy time. Slight operational simplification.</w:t>
      </w:r>
    </w:p>
    <w:p>
      <w:pPr>
        <w:numPr>
          <w:ilvl w:val="0"/>
          <w:numId w:val="1013"/>
        </w:numPr>
        <w:pStyle w:val="Compact"/>
      </w:pPr>
      <w:r>
        <w:t xml:space="preserve">The renaming of</w:t>
      </w:r>
      <w:r>
        <w:t xml:space="preserve"> </w:t>
      </w:r>
      <w:r>
        <w:rPr>
          <w:rStyle w:val="VerbatimChar"/>
        </w:rPr>
        <w:t xml:space="preserve">mm_determinant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mm_rule</w:t>
      </w:r>
      <w:r>
        <w:t xml:space="preserve"> </w:t>
      </w:r>
      <w:r>
        <w:t xml:space="preserve">requires touching documentation in several places (CLAUDE.md, the SAD, the user manual, this ADR, the architecture overview). Mechanical edit; one PR.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references"/>
      <w:r>
        <w:t xml:space="preserve">8. References</w:t>
      </w:r>
      <w:bookmarkEnd w:id="50"/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gs-plugins/form-quality-runtime/</w:t>
      </w:r>
      <w:r>
        <w:t xml:space="preserve"> </w:t>
      </w:r>
      <w:r>
        <w:t xml:space="preserve">— the form-quality plugin source.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gs-plugins/reg-bb-engine/</w:t>
      </w:r>
      <w:r>
        <w:t xml:space="preserve"> </w:t>
      </w:r>
      <w:r>
        <w:t xml:space="preserve">— the eligibility engine source; will absorb the form-quality logic.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_design/architecture/components/rules-determinants-architecture.md</w:t>
      </w:r>
      <w:r>
        <w:t xml:space="preserve"> </w:t>
      </w:r>
      <w:r>
        <w:t xml:space="preserve">— current architecture; supersedes this ADR for ongoing detail once accepted.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APP_formQuality-2-20260507083841.jwa</w:t>
      </w:r>
      <w:r>
        <w:t xml:space="preserve"> </w:t>
      </w:r>
      <w:r>
        <w:t xml:space="preserve">— the formQuality app archive; the historical reference once retired.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APP_farmersPortal-1-20260507084455.jwa</w:t>
      </w:r>
      <w:r>
        <w:t xml:space="preserve"> </w:t>
      </w:r>
      <w:r>
        <w:t xml:space="preserve">— the live farmersPortal JWA showing the integration shape.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_design/test_strategy.md</w:t>
      </w:r>
      <w:r>
        <w:t xml:space="preserve"> </w:t>
      </w:r>
      <w:r>
        <w:t xml:space="preserve">— companion test architecture document.</w:t>
      </w:r>
    </w:p>
    <w:p>
      <w:pPr>
        <w:numPr>
          <w:ilvl w:val="0"/>
          <w:numId w:val="1014"/>
        </w:numPr>
        <w:pStyle w:val="Compact"/>
      </w:pPr>
      <w:r>
        <w:t xml:space="preserve">L4 parity test:</w:t>
      </w:r>
      <w:r>
        <w:t xml:space="preserve"> </w:t>
      </w:r>
      <w:r>
        <w:rPr>
          <w:rStyle w:val="VerbatimChar"/>
        </w:rPr>
        <w:t xml:space="preserve">_tooling/run_l4_scenarios.py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CLAUDE.md</w:t>
      </w:r>
      <w:r>
        <w:t xml:space="preserve"> </w:t>
      </w:r>
      <w:r>
        <w:t xml:space="preserve">“</w:t>
      </w:r>
      <w:r>
        <w:t xml:space="preserve">Form post-processor vs. storeBinder</w:t>
      </w:r>
      <w:r>
        <w:t xml:space="preserve">”</w:t>
      </w:r>
      <w:r>
        <w:t xml:space="preserve"> </w:t>
      </w:r>
      <w:r>
        <w:t xml:space="preserve">gotcha — relevant to the post-processor migration.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sign-off"/>
      <w:r>
        <w:t xml:space="preserve">9. Sign-off</w:t>
      </w:r>
      <w:bookmarkEnd w:id="51"/>
    </w:p>
    <w:p>
      <w:pPr>
        <w:pStyle w:val="FirstParagraph"/>
      </w:pPr>
      <w:r>
        <w:t xml:space="preserve">This ADR is</w:t>
      </w:r>
      <w:r>
        <w:t xml:space="preserve"> </w:t>
      </w:r>
      <w:r>
        <w:rPr>
          <w:b/>
        </w:rPr>
        <w:t xml:space="preserve">Proposed</w:t>
      </w:r>
      <w:r>
        <w:t xml:space="preserve">. Acceptance requires:</w:t>
      </w:r>
    </w:p>
    <w:p>
      <w:pPr>
        <w:numPr>
          <w:ilvl w:val="0"/>
          <w:numId w:val="1015"/>
        </w:numPr>
        <w:pStyle w:val="Compact"/>
      </w:pPr>
      <w:r>
        <w:t xml:space="preserve">☐ Architecture review by the customer’s technical lead (one architect approval).</w:t>
      </w:r>
    </w:p>
    <w:p>
      <w:pPr>
        <w:numPr>
          <w:ilvl w:val="0"/>
          <w:numId w:val="1015"/>
        </w:numPr>
        <w:pStyle w:val="Compact"/>
      </w:pPr>
      <w:r>
        <w:t xml:space="preserve">☐ Engineering review for migration plan feasibility.</w:t>
      </w:r>
    </w:p>
    <w:p>
      <w:pPr>
        <w:numPr>
          <w:ilvl w:val="0"/>
          <w:numId w:val="1015"/>
        </w:numPr>
        <w:pStyle w:val="Compact"/>
      </w:pPr>
      <w:r>
        <w:t xml:space="preserve">☐ Test strategy review (</w:t>
      </w:r>
      <w:r>
        <w:rPr>
          <w:rStyle w:val="VerbatimChar"/>
        </w:rPr>
        <w:t xml:space="preserve">_design/test_strategy.md</w:t>
      </w:r>
      <w:r>
        <w:t xml:space="preserve">).</w:t>
      </w:r>
    </w:p>
    <w:p>
      <w:pPr>
        <w:pStyle w:val="FirstParagraph"/>
      </w:pPr>
      <w:r>
        <w:t xml:space="preserve">Once accepted, the ADR moves to</w:t>
      </w:r>
      <w:r>
        <w:t xml:space="preserve"> </w:t>
      </w:r>
      <w:r>
        <w:rPr>
          <w:b/>
        </w:rPr>
        <w:t xml:space="preserve">Accepted</w:t>
      </w:r>
      <w:r>
        <w:t xml:space="preserve"> </w:t>
      </w:r>
      <w:r>
        <w:t xml:space="preserve">and the slices begin in order. Any deviation from the plan above produces a new ADR superseding this one.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2026-05-07T09:07:24Z</dcterms:created>
  <dcterms:modified xsi:type="dcterms:W3CDTF">2026-05-07T09:07:24Z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