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est-strategy"/>
      <w:r>
        <w:t xml:space="preserve">Test Strategy</w:t>
      </w:r>
      <w:bookmarkEnd w:id="20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Proposed</w:t>
            </w:r>
            <w:r>
              <w:t xml:space="preserve"> </w:t>
            </w:r>
            <w:r>
              <w:t xml:space="preserve">(2026-05-07)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Farmers Portal architecture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p>
            <w:pPr>
              <w:pStyle w:val="Compact"/>
              <w:jc w:val="left"/>
            </w:pPr>
            <w:r>
              <w:t xml:space="preserve">Engineering, MAFSN ICT, customer architecture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Companion</w:t>
            </w:r>
          </w:p>
        </w:tc>
        <w:tc>
          <w:p>
            <w:pPr>
              <w:pStyle w:val="Compact"/>
              <w:jc w:val="left"/>
            </w:pPr>
            <w:r>
              <w:t xml:space="preserve">ADR-031 (unified rule engine)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y-this-document-exists"/>
      <w:r>
        <w:t xml:space="preserve">1. Why this document exists</w:t>
      </w:r>
      <w:bookmarkEnd w:id="21"/>
    </w:p>
    <w:p>
      <w:pPr>
        <w:pStyle w:val="FirstParagraph"/>
      </w:pPr>
      <w:r>
        <w:t xml:space="preserve">The system is pre-production. The customer’s directive is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whatever we do, the working things stay working as is</w:t>
      </w:r>
      <w:r>
        <w:rPr>
          <w:i/>
        </w:rPr>
        <w:t xml:space="preserve">”</w:t>
      </w:r>
      <w:r>
        <w:t xml:space="preserve">. This document lays out the regression-test architecture that delivers on that directive — both for the unified-rule-engine refactor coming in ADR-031 and for every future change.</w:t>
      </w:r>
    </w:p>
    <w:p>
      <w:pPr>
        <w:pStyle w:val="BodyText"/>
      </w:pPr>
      <w:r>
        <w:t xml:space="preserve">It is not a list of tests to write once. It is the</w:t>
      </w:r>
      <w:r>
        <w:t xml:space="preserve"> </w:t>
      </w:r>
      <w:r>
        <w:rPr>
          <w:b/>
        </w:rPr>
        <w:t xml:space="preserve">architecture</w:t>
      </w:r>
      <w:r>
        <w:t xml:space="preserve"> </w:t>
      </w:r>
      <w:r>
        <w:t xml:space="preserve">of how testing fits into the project’s lifecycle: which tests run when, what each layer guarantees, what failures mean, and how the suite evolves as the system grows.</w:t>
      </w:r>
    </w:p>
    <w:p>
      <w:pPr>
        <w:pStyle w:val="Heading2"/>
      </w:pPr>
      <w:bookmarkStart w:id="22" w:name="the-three-principles"/>
      <w:r>
        <w:t xml:space="preserve">2. The three principles</w:t>
      </w:r>
      <w:bookmarkEnd w:id="22"/>
    </w:p>
    <w:p>
      <w:pPr>
        <w:pStyle w:val="Heading3"/>
      </w:pPr>
      <w:bookmarkStart w:id="23" w:name="tests-are-the-contract"/>
      <w:r>
        <w:t xml:space="preserve">2.1 Tests are the contract</w:t>
      </w:r>
      <w:bookmarkEnd w:id="23"/>
    </w:p>
    <w:p>
      <w:pPr>
        <w:pStyle w:val="FirstParagraph"/>
      </w:pPr>
      <w:r>
        <w:t xml:space="preserve">A behaviour is</w:t>
      </w:r>
      <w:r>
        <w:t xml:space="preserve"> </w:t>
      </w:r>
      <w:r>
        <w:t xml:space="preserve">“</w:t>
      </w:r>
      <w:r>
        <w:t xml:space="preserve">supported</w:t>
      </w:r>
      <w:r>
        <w:t xml:space="preserve">”</w:t>
      </w:r>
      <w:r>
        <w:t xml:space="preserve"> </w:t>
      </w:r>
      <w:r>
        <w:t xml:space="preserve">if and only if a test asserts it. Anything else is incidental and can drift. When a customer says</w:t>
      </w:r>
      <w:r>
        <w:t xml:space="preserve"> </w:t>
      </w:r>
      <w:r>
        <w:t xml:space="preserve">“</w:t>
      </w:r>
      <w:r>
        <w:t xml:space="preserve">voucher redemption produces an EXPENSE event</w:t>
      </w:r>
      <w:r>
        <w:t xml:space="preserve">”</w:t>
      </w:r>
      <w:r>
        <w:t xml:space="preserve">, the proof of that behaviour is the test asserting it — not the prose in the SAD, not the operator manual, not someone’s memory.</w:t>
      </w:r>
    </w:p>
    <w:p>
      <w:pPr>
        <w:pStyle w:val="Heading3"/>
      </w:pPr>
      <w:bookmarkStart w:id="24" w:name="X2389646bb3079a08b40603f892042c7594c0b5b"/>
      <w:r>
        <w:t xml:space="preserve">2.2 Refactor under a regression net or not at all</w:t>
      </w:r>
      <w:bookmarkEnd w:id="24"/>
    </w:p>
    <w:p>
      <w:pPr>
        <w:pStyle w:val="FirstParagraph"/>
      </w:pPr>
      <w:r>
        <w:t xml:space="preserve">Before any non-trivial refactor (the rule-engine unification, a major form schema change, a Joget upgrade), the regression net must already cover the behaviour being refactored. If the test isn’t there, the refactor is not safe — it’s just a guess. The first task of any refactor is therefore:</w:t>
      </w:r>
      <w:r>
        <w:t xml:space="preserve"> </w:t>
      </w:r>
      <w:r>
        <w:rPr>
          <w:i/>
        </w:rPr>
        <w:t xml:space="preserve">write the test that proves the current behaviour, run it green,</w:t>
      </w:r>
      <w:r>
        <w:rPr>
          <w:i/>
        </w:rPr>
        <w:t xml:space="preserve"> </w:t>
      </w:r>
      <w:r>
        <w:rPr>
          <w:b/>
          <w:i/>
        </w:rPr>
        <w:t xml:space="preserve">then</w:t>
      </w:r>
      <w:r>
        <w:rPr>
          <w:i/>
        </w:rPr>
        <w:t xml:space="preserve"> </w:t>
      </w:r>
      <w:r>
        <w:rPr>
          <w:i/>
        </w:rPr>
        <w:t xml:space="preserve">start changing things</w:t>
      </w:r>
      <w:r>
        <w:t xml:space="preserve">.</w:t>
      </w:r>
    </w:p>
    <w:p>
      <w:pPr>
        <w:pStyle w:val="Heading3"/>
      </w:pPr>
      <w:bookmarkStart w:id="25" w:name="X440d219c8b0071f54cde5541ec864aa16ce5fb5"/>
      <w:r>
        <w:t xml:space="preserve">2.3 The pyramid scales by frequency, not by ceremony</w:t>
      </w:r>
      <w:bookmarkEnd w:id="25"/>
    </w:p>
    <w:p>
      <w:pPr>
        <w:pStyle w:val="FirstParagraph"/>
      </w:pPr>
      <w:r>
        <w:t xml:space="preserve">Fast tests run on every change. Slow tests run on every commit. End-to-end tests run before every deploy. Heavyweight equivalence tests run before/after major refactors. Continuous</w:t>
      </w:r>
      <w:r>
        <w:t xml:space="preserve"> </w:t>
      </w:r>
      <w:r>
        <w:rPr>
          <w:i/>
        </w:rPr>
        <w:t xml:space="preserve">frequency</w:t>
      </w:r>
      <w:r>
        <w:t xml:space="preserve"> </w:t>
      </w:r>
      <w:r>
        <w:t xml:space="preserve">matters more than continuous</w:t>
      </w:r>
      <w:r>
        <w:t xml:space="preserve"> </w:t>
      </w:r>
      <w:r>
        <w:rPr>
          <w:i/>
        </w:rPr>
        <w:t xml:space="preserve">integration ceremony</w:t>
      </w:r>
      <w:r>
        <w:t xml:space="preserve"> </w:t>
      </w:r>
      <w:r>
        <w:t xml:space="preserve">— at single-team scale, what matters is that the right test runs at the right moment, not that there’s a Jenkins dashboard.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he-test-pyramid-for-this-system"/>
      <w:r>
        <w:t xml:space="preserve">3. The test pyramid for this system</w:t>
      </w:r>
      <w:bookmarkEnd w:id="26"/>
    </w:p>
    <w:p>
      <w:pPr>
        <w:pStyle w:val="SourceCode"/>
      </w:pPr>
      <w:r>
        <w:rPr>
          <w:rStyle w:val="VerbatimChar"/>
        </w:rPr>
        <w:t xml:space="preserve">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│  Equivalence tests  │   pre-/post-refactor only</w:t>
      </w:r>
      <w:r>
        <w:br/>
      </w:r>
      <w:r>
        <w:rPr>
          <w:rStyle w:val="VerbatimChar"/>
        </w:rPr>
        <w:t xml:space="preserve">                       │   (rule × fixture)  │</w:t>
      </w:r>
      <w:r>
        <w:br/>
      </w:r>
      <w:r>
        <w:rPr>
          <w:rStyle w:val="VerbatimChar"/>
        </w:rPr>
        <w:t xml:space="preserve">         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Performance tests    │   pre-deploy</w:t>
      </w:r>
      <w:r>
        <w:br/>
      </w:r>
      <w:r>
        <w:rPr>
          <w:rStyle w:val="VerbatimChar"/>
        </w:rPr>
        <w:t xml:space="preserve">                    │  (perf baseline + load)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End-to-end / lifecycle      │   nightly + pre-deploy</w:t>
      </w:r>
      <w:r>
        <w:br/>
      </w:r>
      <w:r>
        <w:rPr>
          <w:rStyle w:val="VerbatimChar"/>
        </w:rPr>
        <w:t xml:space="preserve">                │  (e2e_im, e2e_subsidy, L4)     │</w:t>
      </w:r>
      <w:r>
        <w:br/>
      </w:r>
      <w:r>
        <w:rPr>
          <w:rStyle w:val="VerbatimChar"/>
        </w:rPr>
        <w:t xml:space="preserve">                └────────────────────────────────┘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   Integration / per-API / per-DL      │   per-commit</w:t>
      </w:r>
      <w:r>
        <w:br/>
      </w:r>
      <w:r>
        <w:rPr>
          <w:rStyle w:val="VerbatimChar"/>
        </w:rPr>
        <w:t xml:space="preserve">            │     (API smoke, datalist render)  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Unit / per-rule / per-form / per-config    │   per-change</w:t>
      </w:r>
      <w:r>
        <w:br/>
      </w:r>
      <w:r>
        <w:rPr>
          <w:rStyle w:val="VerbatimChar"/>
        </w:rPr>
        <w:t xml:space="preserve">        │     (test_rules, test_forms, test_seeds)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Five layers, each with a clear purpose, scope, and run frequency.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ce77f726e29fcb7575c6cb672329463b84709da"/>
      <w:r>
        <w:t xml:space="preserve">4. Layer 1 — Unit / per-rule / per-form / per-config</w:t>
      </w:r>
      <w:bookmarkEnd w:id="27"/>
    </w:p>
    <w:p>
      <w:pPr>
        <w:pStyle w:val="FirstParagraph"/>
      </w:pPr>
      <w:r>
        <w:rPr>
          <w:b/>
        </w:rPr>
        <w:t xml:space="preserve">Purpose</w:t>
      </w:r>
      <w:r>
        <w:t xml:space="preserve">: assert the smallest unit of system behaviour — one rule, one form definition, one master-data seed.</w:t>
      </w:r>
    </w:p>
    <w:p>
      <w:pPr>
        <w:pStyle w:val="BodyText"/>
      </w:pPr>
      <w:r>
        <w:rPr>
          <w:b/>
        </w:rPr>
        <w:t xml:space="preserve">Scope today</w:t>
      </w:r>
      <w:r>
        <w:t xml:space="preserve"> </w:t>
      </w:r>
      <w:r>
        <w:t xml:space="preserve">(existing):</w:t>
      </w:r>
    </w:p>
    <w:p>
      <w:pPr>
        <w:numPr>
          <w:ilvl w:val="0"/>
          <w:numId w:val="1001"/>
        </w:numPr>
        <w:pStyle w:val="Compact"/>
      </w:pPr>
      <w:r>
        <w:t xml:space="preserve">Java unit tests in</w:t>
      </w:r>
      <w:r>
        <w:t xml:space="preserve"> </w:t>
      </w:r>
      <w:r>
        <w:rPr>
          <w:rStyle w:val="VerbatimChar"/>
        </w:rPr>
        <w:t xml:space="preserve">gs-plugins/*/src/test/java/</w:t>
      </w:r>
      <w:r>
        <w:t xml:space="preserve"> </w:t>
      </w:r>
      <w:r>
        <w:t xml:space="preserve">for the SQL-path / fast-path evaluators.</w:t>
      </w:r>
    </w:p>
    <w:p>
      <w:pPr>
        <w:numPr>
          <w:ilvl w:val="0"/>
          <w:numId w:val="1001"/>
        </w:numPr>
        <w:pStyle w:val="Compact"/>
      </w:pPr>
      <w:r>
        <w:t xml:space="preserve">Schema validity of every form JSON in</w:t>
      </w:r>
      <w:r>
        <w:t xml:space="preserve"> </w:t>
      </w:r>
      <w:r>
        <w:rPr>
          <w:rStyle w:val="VerbatimChar"/>
        </w:rPr>
        <w:t xml:space="preserve">_forms/</w:t>
      </w:r>
      <w:r>
        <w:t xml:space="preserve"> </w:t>
      </w:r>
      <w:r>
        <w:t xml:space="preserve">— the form-creator-api rejects invalid JSON on push.</w:t>
      </w:r>
    </w:p>
    <w:p>
      <w:pPr>
        <w:pStyle w:val="FirstParagraph"/>
      </w:pPr>
      <w:r>
        <w:rPr>
          <w:b/>
        </w:rPr>
        <w:t xml:space="preserve">Scope to add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covers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Authoring 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test_rules_per_rule.py</w:t>
            </w:r>
          </w:p>
        </w:tc>
        <w:tc>
          <w:p>
            <w:pPr>
              <w:pStyle w:val="Compact"/>
              <w:jc w:val="left"/>
            </w:pPr>
            <w:r>
              <w:t xml:space="preserve">For each</w:t>
            </w:r>
            <w:r>
              <w:t xml:space="preserve"> </w:t>
            </w:r>
            <w:r>
              <w:rPr>
                <w:rStyle w:val="VerbatimChar"/>
              </w:rPr>
              <w:t xml:space="preserve">mm_rule</w:t>
            </w:r>
            <w:r>
              <w:t xml:space="preserve"> </w:t>
            </w:r>
            <w:r>
              <w:t xml:space="preserve">row: feed a fixture record where the rule should fire → assert it fires; feed a record where it shouldn’t → assert no issue.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_tooling/test_rules_per_rule.py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test_forms_save_load.py</w:t>
            </w:r>
          </w:p>
        </w:tc>
        <w:tc>
          <w:p>
            <w:pPr>
              <w:pStyle w:val="Compact"/>
              <w:jc w:val="left"/>
            </w:pPr>
            <w:r>
              <w:t xml:space="preserve">For each form: seed a row, read it back, assert all fields round-trip. Catches Hibernate mapping drift.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_tooling/test_forms_save_load.py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test_md_seeds.py</w:t>
            </w:r>
          </w:p>
        </w:tc>
        <w:tc>
          <w:p>
            <w:pPr>
              <w:pStyle w:val="Compact"/>
              <w:jc w:val="left"/>
            </w:pPr>
            <w:r>
              <w:t xml:space="preserve">Confirm every MD lookup table has ≥1 row; no broken FK references; no orphan codes.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_tooling/test_md_seeds.py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test_userview_menus.py</w:t>
            </w:r>
          </w:p>
        </w:tc>
        <w:tc>
          <w:p>
            <w:pPr>
              <w:pStyle w:val="Compact"/>
              <w:jc w:val="left"/>
            </w:pPr>
            <w:r>
              <w:t xml:space="preserve">Every CrudMenu’s</w:t>
            </w:r>
            <w:r>
              <w:t xml:space="preserve"> </w:t>
            </w:r>
            <w:r>
              <w:rPr>
                <w:rStyle w:val="VerbatimChar"/>
              </w:rPr>
              <w:t xml:space="preserve">editFormId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addFormId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datalistId</w:t>
            </w:r>
            <w:r>
              <w:t xml:space="preserve"> </w:t>
            </w:r>
            <w:r>
              <w:t xml:space="preserve">resolves to a live form/datalist. (CLAUDE.md</w:t>
            </w:r>
            <w:r>
              <w:t xml:space="preserve"> </w:t>
            </w:r>
            <w:r>
              <w:t xml:space="preserve">“</w:t>
            </w:r>
            <w:r>
              <w:t xml:space="preserve">Userview menu hygiene</w:t>
            </w:r>
            <w:r>
              <w:t xml:space="preserve">”</w:t>
            </w:r>
            <w:r>
              <w:t xml:space="preserve">.)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_tooling/test_userview_menus.py</w:t>
            </w:r>
          </w:p>
        </w:tc>
      </w:tr>
    </w:tbl>
    <w:p>
      <w:pPr>
        <w:pStyle w:val="BodyText"/>
      </w:pPr>
      <w:r>
        <w:rPr>
          <w:b/>
        </w:rPr>
        <w:t xml:space="preserve">Run frequency</w:t>
      </w:r>
      <w:r>
        <w:t xml:space="preserve">: per-change. The author runs these locally before pushing.</w:t>
      </w:r>
    </w:p>
    <w:p>
      <w:pPr>
        <w:pStyle w:val="BodyText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pass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</w:t>
      </w:r>
      <w:r>
        <w:t xml:space="preserve">: the assertion holds. Stable across repeated runs (no flakes). &lt;30 seconds total to run.</w:t>
      </w:r>
    </w:p>
    <w:p>
      <w:pPr>
        <w:pStyle w:val="BodyText"/>
      </w:pPr>
      <w:r>
        <w:rPr>
          <w:b/>
        </w:rPr>
        <w:t xml:space="preserve">What failure means</w:t>
      </w:r>
      <w:r>
        <w:t xml:space="preserve">: the change broke a unit-level invariant. Fix the change before merging.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layer-2-integration-per-api-per-datalist"/>
      <w:r>
        <w:t xml:space="preserve">5. Layer 2 — Integration / per-API / per-datalist</w:t>
      </w:r>
      <w:bookmarkEnd w:id="28"/>
    </w:p>
    <w:p>
      <w:pPr>
        <w:pStyle w:val="FirstParagraph"/>
      </w:pPr>
      <w:r>
        <w:rPr>
          <w:b/>
        </w:rPr>
        <w:t xml:space="preserve">Purpose</w:t>
      </w:r>
      <w:r>
        <w:t xml:space="preserve">: assert that one component talks correctly to its immediate neighbours — an API endpoint to its handler, a datalist to its binder.</w:t>
      </w:r>
    </w:p>
    <w:p>
      <w:pPr>
        <w:pStyle w:val="BodyText"/>
      </w:pPr>
      <w:r>
        <w:rPr>
          <w:b/>
        </w:rPr>
        <w:t xml:space="preserve">Scope today</w:t>
      </w:r>
      <w:r>
        <w:t xml:space="preserve"> </w:t>
      </w:r>
      <w:r>
        <w:t xml:space="preserve">(existing):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_tooling/test_im_e2e.py</w:t>
      </w:r>
      <w:r>
        <w:t xml:space="preserve"> </w:t>
      </w:r>
      <w:r>
        <w:t xml:space="preserve">runs a 5-report smoke pass that confirms every IM report’s SQL parses and returns rows.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_tooling/run_l4_scenarios.py</w:t>
      </w:r>
      <w:r>
        <w:t xml:space="preserve"> </w:t>
      </w:r>
      <w:r>
        <w:t xml:space="preserve">runs eligibility scenarios via the citizen API end-to-end.</w:t>
      </w:r>
    </w:p>
    <w:p>
      <w:pPr>
        <w:pStyle w:val="FirstParagraph"/>
      </w:pPr>
      <w:r>
        <w:rPr>
          <w:b/>
        </w:rPr>
        <w:t xml:space="preserve">Scope to add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covers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test_api_smoke.py</w:t>
            </w:r>
          </w:p>
        </w:tc>
        <w:tc>
          <w:p>
            <w:pPr>
              <w:pStyle w:val="Compact"/>
              <w:jc w:val="left"/>
            </w:pPr>
            <w:r>
              <w:t xml:space="preserve">Every published REST endpoint (regbb/eval, regbb/submit, regbb/mdm/</w:t>
            </w:r>
            <w:r>
              <w:rPr>
                <w:i/>
              </w:rPr>
              <w:t xml:space="preserve">, budget/</w:t>
            </w:r>
            <w:r>
              <w:t xml:space="preserve">, formcreator/*) returns 200 for a valid input or a documented 4xx for an invalid input.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test_datalist_render.py</w:t>
            </w:r>
          </w:p>
        </w:tc>
        <w:tc>
          <w:p>
            <w:pPr>
              <w:pStyle w:val="Compact"/>
              <w:jc w:val="left"/>
            </w:pPr>
            <w:r>
              <w:t xml:space="preserve">Every datalist in</w:t>
            </w:r>
            <w:r>
              <w:t xml:space="preserve"> </w:t>
            </w:r>
            <w:r>
              <w:rPr>
                <w:rStyle w:val="VerbatimChar"/>
              </w:rPr>
              <w:t xml:space="preserve">_datalists/</w:t>
            </w:r>
            <w:r>
              <w:t xml:space="preserve"> </w:t>
            </w:r>
            <w:r>
              <w:t xml:space="preserve">renders without error against the live database — page 1, page 2, with each filter populated.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test_userview_render.py</w:t>
            </w:r>
          </w:p>
        </w:tc>
        <w:tc>
          <w:p>
            <w:pPr>
              <w:pStyle w:val="Compact"/>
              <w:jc w:val="left"/>
            </w:pPr>
            <w:r>
              <w:t xml:space="preserve">Every menu in the userview opens without throwing</w:t>
            </w:r>
            <w:r>
              <w:t xml:space="preserve"> </w:t>
            </w:r>
            <w:r>
              <w:t xml:space="preserve">“</w:t>
            </w:r>
            <w:r>
              <w:t xml:space="preserve">plugin not installed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data list not exist</w:t>
            </w:r>
            <w:r>
              <w:t xml:space="preserve">”</w:t>
            </w:r>
            <w:r>
              <w:t xml:space="preserve"> </w:t>
            </w:r>
            <w:r>
              <w:t xml:space="preserve">errors.</w:t>
            </w:r>
          </w:p>
        </w:tc>
      </w:tr>
    </w:tbl>
    <w:p>
      <w:pPr>
        <w:pStyle w:val="BodyText"/>
      </w:pPr>
      <w:r>
        <w:rPr>
          <w:b/>
        </w:rPr>
        <w:t xml:space="preserve">Run frequency</w:t>
      </w:r>
      <w:r>
        <w:t xml:space="preserve">: per-commit. CI-style, although today this is run manually from the command line.</w:t>
      </w:r>
    </w:p>
    <w:p>
      <w:pPr>
        <w:pStyle w:val="BodyText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pass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</w:t>
      </w:r>
      <w:r>
        <w:t xml:space="preserve">: every endpoint and every render works end-to-end. &lt;5 minutes total.</w:t>
      </w:r>
    </w:p>
    <w:p>
      <w:pPr>
        <w:pStyle w:val="BodyText"/>
      </w:pPr>
      <w:r>
        <w:rPr>
          <w:b/>
        </w:rPr>
        <w:t xml:space="preserve">What failure means</w:t>
      </w:r>
      <w:r>
        <w:t xml:space="preserve">: an integration boundary broke. Could be a column rename, a missing seed row, a plugin not registered. Bisect to find the change.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layer-3-end-to-end-lifecycle"/>
      <w:r>
        <w:t xml:space="preserve">6. Layer 3 — End-to-end / lifecycle</w:t>
      </w:r>
      <w:bookmarkEnd w:id="29"/>
    </w:p>
    <w:p>
      <w:pPr>
        <w:pStyle w:val="FirstParagraph"/>
      </w:pPr>
      <w:r>
        <w:rPr>
          <w:b/>
        </w:rPr>
        <w:t xml:space="preserve">Purpose</w:t>
      </w:r>
      <w:r>
        <w:t xml:space="preserve">: assert that a complete user journey from start to finish produces the expected outcome.</w:t>
      </w:r>
    </w:p>
    <w:p>
      <w:pPr>
        <w:pStyle w:val="BodyText"/>
      </w:pPr>
      <w:r>
        <w:rPr>
          <w:b/>
        </w:rPr>
        <w:t xml:space="preserve">Scope today</w:t>
      </w:r>
      <w:r>
        <w:t xml:space="preserve"> </w:t>
      </w:r>
      <w:r>
        <w:t xml:space="preserve">(existing):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_tooling/test_im_e2e.py</w:t>
      </w:r>
      <w:r>
        <w:t xml:space="preserve"> </w:t>
      </w:r>
      <w:r>
        <w:t xml:space="preserve">— citizen submits → eligibility worker → auto-approve → voucher issue → counter redeem → distribution receipt. ~15 seconds.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_tooling/test_im_stacking.py</w:t>
      </w:r>
      <w:r>
        <w:t xml:space="preserve"> </w:t>
      </w:r>
      <w:r>
        <w:t xml:space="preserve">— multi-programme stacking against one applicant. Confirms a single applicant can hold multiple concurrent vouchers.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_tooling/run_l4_scenarios.py</w:t>
      </w:r>
      <w:r>
        <w:t xml:space="preserve"> </w:t>
      </w:r>
      <w:r>
        <w:t xml:space="preserve">— 20 eligibility scenarios across 4 programmes. The eligibility regression gate.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_tooling/test_budget_suite.py</w:t>
      </w:r>
      <w:r>
        <w:t xml:space="preserve"> </w:t>
      </w:r>
      <w:r>
        <w:t xml:space="preserve">— budget reports + maker-checker controls + threshold alerts.</w:t>
      </w:r>
    </w:p>
    <w:p>
      <w:pPr>
        <w:pStyle w:val="FirstParagraph"/>
      </w:pPr>
      <w:r>
        <w:rPr>
          <w:b/>
        </w:rPr>
        <w:t xml:space="preserve">Scope to add (rule-engine unification specifically)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covers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test_l5_quality_regression.py</w:t>
            </w:r>
          </w:p>
        </w:tc>
        <w:tc>
          <w:p>
            <w:pPr>
              <w:pStyle w:val="Compact"/>
              <w:jc w:val="left"/>
            </w:pPr>
            <w:r>
              <w:t xml:space="preserve">Each of the 21 quality rules: trigger a save on the relevant form with the issue present → assert QualityBanner state turns red/amber → assert gate behaviour blocks status transition → fix the issue → re-save → assert banner clears.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test_voucher_lifecycle.py</w:t>
            </w:r>
          </w:p>
        </w:tc>
        <w:tc>
          <w:p>
            <w:pPr>
              <w:pStyle w:val="Compact"/>
              <w:jc w:val="left"/>
            </w:pPr>
            <w:r>
              <w:t xml:space="preserve">Issue → partially redeem → partially redeem → expire (sweeper). Confirms RELEASE_COMMITMENT for the unspent portion.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test_voucher_cancel.py</w:t>
            </w:r>
          </w:p>
        </w:tc>
        <w:tc>
          <w:p>
            <w:pPr>
              <w:pStyle w:val="Compact"/>
              <w:jc w:val="left"/>
            </w:pPr>
            <w:r>
              <w:t xml:space="preserve">Issue → cancel → confirm RELEASE_COMMITMENT for the full amount.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test_application_decision_paths.py</w:t>
            </w:r>
          </w:p>
        </w:tc>
        <w:tc>
          <w:p>
            <w:pPr>
              <w:pStyle w:val="Compact"/>
              <w:jc w:val="left"/>
            </w:pPr>
            <w:r>
              <w:t xml:space="preserve">Submit → auto-approve / pending review / sent back / rejected paths each produce the right downstream behaviour (voucher / no voucher / clarification request).</w:t>
            </w:r>
          </w:p>
        </w:tc>
      </w:tr>
    </w:tbl>
    <w:p>
      <w:pPr>
        <w:pStyle w:val="BodyText"/>
      </w:pPr>
      <w:r>
        <w:rPr>
          <w:b/>
        </w:rPr>
        <w:t xml:space="preserve">Run frequency</w:t>
      </w:r>
      <w:r>
        <w:t xml:space="preserve">: nightly + pre-deploy.</w:t>
      </w:r>
    </w:p>
    <w:p>
      <w:pPr>
        <w:pStyle w:val="BodyText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pass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</w:t>
      </w:r>
      <w:r>
        <w:t xml:space="preserve">: a real user journey works end-to-end. The eligibility test takes ~30 seconds; the longest lifecycle test ~60 seconds. &lt;10 minutes total.</w:t>
      </w:r>
    </w:p>
    <w:p>
      <w:pPr>
        <w:pStyle w:val="BodyText"/>
      </w:pPr>
      <w:r>
        <w:rPr>
          <w:b/>
        </w:rPr>
        <w:t xml:space="preserve">What failure means</w:t>
      </w:r>
      <w:r>
        <w:t xml:space="preserve">: a feature regressed at the user level. This is the test layer the customer experiences when something breaks.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layer-4-performance"/>
      <w:r>
        <w:t xml:space="preserve">7. Layer 4 — Performance</w:t>
      </w:r>
      <w:bookmarkEnd w:id="30"/>
    </w:p>
    <w:p>
      <w:pPr>
        <w:pStyle w:val="FirstParagraph"/>
      </w:pPr>
      <w:r>
        <w:rPr>
          <w:b/>
        </w:rPr>
        <w:t xml:space="preserve">Purpose</w:t>
      </w:r>
      <w:r>
        <w:t xml:space="preserve">: assert that the system stays within its performance budget under realistic load.</w:t>
      </w:r>
    </w:p>
    <w:p>
      <w:pPr>
        <w:pStyle w:val="BodyText"/>
      </w:pPr>
      <w:r>
        <w:rPr>
          <w:b/>
        </w:rPr>
        <w:t xml:space="preserve">Scope today</w:t>
      </w:r>
      <w:r>
        <w:t xml:space="preserve"> </w:t>
      </w:r>
      <w:r>
        <w:t xml:space="preserve">(existing):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_tooling/load_test.py</w:t>
      </w:r>
      <w:r>
        <w:t xml:space="preserve"> </w:t>
      </w:r>
      <w:r>
        <w:t xml:space="preserve">— two modes: read-side report query (10 reports × 30 hits each, target &lt;850 ms p95) and HTTP round-trip via</w:t>
      </w:r>
      <w:r>
        <w:t xml:space="preserve"> </w:t>
      </w:r>
      <w:r>
        <w:rPr>
          <w:rStyle w:val="VerbatimChar"/>
        </w:rPr>
        <w:t xml:space="preserve">/budget/timeseries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_07_Implementation_Guides/perf_baseline.md</w:t>
      </w:r>
      <w:r>
        <w:t xml:space="preserve"> </w:t>
      </w:r>
      <w:r>
        <w:t xml:space="preserve">— captured baseline numbers.</w:t>
      </w:r>
    </w:p>
    <w:p>
      <w:pPr>
        <w:pStyle w:val="FirstParagraph"/>
      </w:pPr>
      <w:r>
        <w:rPr>
          <w:b/>
        </w:rPr>
        <w:t xml:space="preserve">Scope to add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covers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Per-save evaluation latency</w:t>
            </w:r>
          </w:p>
        </w:tc>
        <w:tc>
          <w:p>
            <w:pPr>
              <w:pStyle w:val="Compact"/>
              <w:jc w:val="left"/>
            </w:pPr>
            <w:r>
              <w:t xml:space="preserve">Save a record on every QualityBannered form; assert the post-processor’s evaluation budget stays &lt;500 ms. Pre-/post-unification regression check for ADR-031.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Citizen-wizard render</w:t>
            </w:r>
          </w:p>
        </w:tc>
        <w:tc>
          <w:p>
            <w:pPr>
              <w:pStyle w:val="Compact"/>
              <w:jc w:val="left"/>
            </w:pPr>
            <w:r>
              <w:t xml:space="preserve">Open the citizen application wizard 50 times concurrently (simulating 50 farmers at programme launch). Assert p95 render time &lt;2 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Bulk operator action</w:t>
            </w:r>
          </w:p>
        </w:tc>
        <w:tc>
          <w:p>
            <w:pPr>
              <w:pStyle w:val="Compact"/>
              <w:jc w:val="left"/>
            </w:pPr>
            <w:r>
              <w:t xml:space="preserve">Approve 50 applications in one bulk-action transaction. Assert all 50 voucher rows materialise within 60 seconds.</w:t>
            </w:r>
          </w:p>
        </w:tc>
      </w:tr>
    </w:tbl>
    <w:p>
      <w:pPr>
        <w:pStyle w:val="BodyText"/>
      </w:pPr>
      <w:r>
        <w:rPr>
          <w:b/>
        </w:rPr>
        <w:t xml:space="preserve">Run frequency</w:t>
      </w:r>
      <w:r>
        <w:t xml:space="preserve">: pre-deploy. Documented baseline updated quarterly.</w:t>
      </w:r>
    </w:p>
    <w:p>
      <w:pPr>
        <w:pStyle w:val="BodyText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pass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</w:t>
      </w:r>
      <w:r>
        <w:t xml:space="preserve">: budgets hold. p95 numbers stable across runs.</w:t>
      </w:r>
    </w:p>
    <w:p>
      <w:pPr>
        <w:pStyle w:val="BodyText"/>
      </w:pPr>
      <w:r>
        <w:rPr>
          <w:b/>
        </w:rPr>
        <w:t xml:space="preserve">What failure means</w:t>
      </w:r>
      <w:r>
        <w:t xml:space="preserve">: something got slower. Bisect to the change; profile the bottleneck.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layer-5-equivalence-pre-post-refactor"/>
      <w:r>
        <w:t xml:space="preserve">8. Layer 5 — Equivalence (pre-/post-refactor)</w:t>
      </w:r>
      <w:bookmarkEnd w:id="31"/>
    </w:p>
    <w:p>
      <w:pPr>
        <w:pStyle w:val="FirstParagraph"/>
      </w:pPr>
      <w:r>
        <w:rPr>
          <w:b/>
        </w:rPr>
        <w:t xml:space="preserve">Purpose</w:t>
      </w:r>
      <w:r>
        <w:t xml:space="preserve">: assert that two implementations of the same logic produce identical outputs over a representative input corpus. The unique tool for safe refactors.</w:t>
      </w:r>
    </w:p>
    <w:p>
      <w:pPr>
        <w:pStyle w:val="BodyText"/>
      </w:pPr>
      <w:r>
        <w:rPr>
          <w:b/>
        </w:rPr>
        <w:t xml:space="preserve">Scope today</w:t>
      </w:r>
      <w:r>
        <w:t xml:space="preserve">: none. Created for ADR-031.</w:t>
      </w:r>
    </w:p>
    <w:p>
      <w:pPr>
        <w:pStyle w:val="BodyText"/>
      </w:pPr>
      <w:r>
        <w:rPr>
          <w:b/>
        </w:rPr>
        <w:t xml:space="preserve">Scope to add for ADR-031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covers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test_rules_engine_equivalence.py</w:t>
            </w:r>
          </w:p>
        </w:tc>
        <w:tc>
          <w:p>
            <w:pPr>
              <w:pStyle w:val="Compact"/>
              <w:jc w:val="left"/>
            </w:pPr>
            <w:r>
              <w:t xml:space="preserve">For each rule × each fixture record, run the</w:t>
            </w:r>
            <w:r>
              <w:t xml:space="preserve"> </w:t>
            </w:r>
            <w:r>
              <w:rPr>
                <w:b/>
              </w:rPr>
              <w:t xml:space="preserve">legacy engine</w:t>
            </w:r>
            <w:r>
              <w:t xml:space="preserve"> </w:t>
            </w:r>
            <w:r>
              <w:t xml:space="preserve">(form-quality-runtime + eligibility evaluator-as-is) and the</w:t>
            </w:r>
            <w:r>
              <w:t xml:space="preserve"> </w:t>
            </w:r>
            <w:r>
              <w:rPr>
                <w:b/>
              </w:rPr>
              <w:t xml:space="preserve">unified engine</w:t>
            </w:r>
            <w:r>
              <w:t xml:space="preserve"> </w:t>
            </w:r>
            <w:r>
              <w:t xml:space="preserve">(post-merge). Assert byte-for-byte outcome equivalence: same disposition, same issue list, same gate behaviour, same audit row contents.</w:t>
            </w:r>
          </w:p>
        </w:tc>
      </w:tr>
    </w:tbl>
    <w:p>
      <w:pPr>
        <w:pStyle w:val="BodyText"/>
      </w:pPr>
      <w:r>
        <w:t xml:space="preserve">The test runs against a frozen corpus of test fixtures (the existing dev fixture + the L4 scenarios). Both engines must be runnable in parallel during the dual-write window of ADR-031 Slice C — that is the engineering precondition for using equivalence tests at all.</w:t>
      </w:r>
    </w:p>
    <w:p>
      <w:pPr>
        <w:pStyle w:val="BodyText"/>
      </w:pPr>
      <w:r>
        <w:rPr>
          <w:b/>
        </w:rPr>
        <w:t xml:space="preserve">Run frequency</w:t>
      </w:r>
      <w:r>
        <w:t xml:space="preserve">: pre-/post-each slice of the ADR-031 migration. Once unification is complete and the legacy engine is retired (Slice E), this test is</w:t>
      </w:r>
      <w:r>
        <w:t xml:space="preserve"> </w:t>
      </w:r>
      <w:r>
        <w:rPr>
          <w:b/>
        </w:rPr>
        <w:t xml:space="preserve">archived</w:t>
      </w:r>
      <w:r>
        <w:t xml:space="preserve"> </w:t>
      </w:r>
      <w:r>
        <w:t xml:space="preserve">— its job is done. Equivalence tests are not permanent infrastructure; they are migration tooling.</w:t>
      </w:r>
    </w:p>
    <w:p>
      <w:pPr>
        <w:pStyle w:val="BodyText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pass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</w:t>
      </w:r>
      <w:r>
        <w:t xml:space="preserve">: the unified engine reproduces the legacy engine’s behaviour exactly.</w:t>
      </w:r>
    </w:p>
    <w:p>
      <w:pPr>
        <w:pStyle w:val="BodyText"/>
      </w:pPr>
      <w:r>
        <w:rPr>
          <w:b/>
        </w:rPr>
        <w:t xml:space="preserve">What failure means</w:t>
      </w:r>
      <w:r>
        <w:t xml:space="preserve">: the unification has introduced a behavioural change. Either the unification is wrong (fix the engine) or the legacy behaviour was a bug (document and proceed). No silent divergence.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0acb14a150ce8b5e5b1317ada0f6b976548fb5f"/>
      <w:r>
        <w:t xml:space="preserve">9. The regression net for ADR-031, slice by slice</w:t>
      </w:r>
      <w:bookmarkEnd w:id="32"/>
    </w:p>
    <w:p>
      <w:pPr>
        <w:pStyle w:val="FirstParagraph"/>
      </w:pPr>
      <w:r>
        <w:t xml:space="preserve">Mapping each slice of the ADR-031 migration to the test layer that gates its acceptance: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changes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Tests gating acceptance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 — Schema unification</w:t>
            </w:r>
          </w:p>
        </w:tc>
        <w:tc>
          <w:p>
            <w:pPr>
              <w:pStyle w:val="Compact"/>
              <w:jc w:val="left"/>
            </w:pPr>
            <w:r>
              <w:t xml:space="preserve">New columns on</w:t>
            </w:r>
            <w:r>
              <w:t xml:space="preserve"> </w:t>
            </w:r>
            <w:r>
              <w:rPr>
                <w:rStyle w:val="VerbatimChar"/>
              </w:rPr>
              <w:t xml:space="preserve">mm_determinant</w:t>
            </w:r>
            <w:r>
              <w:t xml:space="preserve"> </w:t>
            </w:r>
            <w:r>
              <w:t xml:space="preserve">(now</w:t>
            </w:r>
            <w:r>
              <w:t xml:space="preserve"> </w:t>
            </w:r>
            <w:r>
              <w:rPr>
                <w:rStyle w:val="VerbatimChar"/>
              </w:rPr>
              <w:t xml:space="preserve">mm_rule</w:t>
            </w:r>
            <w:r>
              <w:t xml:space="preserve">); no behavioural change</w:t>
            </w:r>
          </w:p>
        </w:tc>
        <w:tc>
          <w:p>
            <w:pPr>
              <w:pStyle w:val="Compact"/>
              <w:jc w:val="left"/>
            </w:pPr>
            <w:r>
              <w:t xml:space="preserve">Layer 1 (forms round-trip), Layer 3 (L4 passes)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 — Data migration qa_rule → mm_rule</w:t>
            </w:r>
          </w:p>
        </w:tc>
        <w:tc>
          <w:p>
            <w:pPr>
              <w:pStyle w:val="Compact"/>
              <w:jc w:val="left"/>
            </w:pPr>
            <w:r>
              <w:t xml:space="preserve">New rows; legacy still authoritative</w:t>
            </w:r>
          </w:p>
        </w:tc>
        <w:tc>
          <w:p>
            <w:pPr>
              <w:pStyle w:val="Compact"/>
              <w:jc w:val="left"/>
            </w:pPr>
            <w:r>
              <w:t xml:space="preserve">Layer 5 (equivalence test passes for both stores)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 — Switch read paths</w:t>
            </w:r>
          </w:p>
        </w:tc>
        <w:tc>
          <w:p>
            <w:pPr>
              <w:pStyle w:val="Compact"/>
              <w:jc w:val="left"/>
            </w:pPr>
            <w:r>
              <w:t xml:space="preserve">Form-quality-runtime reads from</w:t>
            </w:r>
            <w:r>
              <w:t xml:space="preserve"> </w:t>
            </w:r>
            <w:r>
              <w:rPr>
                <w:rStyle w:val="VerbatimChar"/>
              </w:rPr>
              <w:t xml:space="preserve">mm_rule</w:t>
            </w:r>
            <w:r>
              <w:t xml:space="preserve">; QualityBanner reads from</w:t>
            </w:r>
            <w:r>
              <w:t xml:space="preserve"> </w:t>
            </w:r>
            <w:r>
              <w:rPr>
                <w:rStyle w:val="VerbatimChar"/>
              </w:rPr>
              <w:t xml:space="preserve">rule_outcome</w:t>
            </w:r>
          </w:p>
        </w:tc>
        <w:tc>
          <w:p>
            <w:pPr>
              <w:pStyle w:val="Compact"/>
              <w:jc w:val="left"/>
            </w:pPr>
            <w:r>
              <w:t xml:space="preserve">Layer 5 (equivalence test passes), Layer 3 (L4 passes, new L5 passes), Layer 4 (per-save latency budget holds)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 — Unified authoring UI</w:t>
            </w:r>
          </w:p>
        </w:tc>
        <w:tc>
          <w:p>
            <w:pPr>
              <w:pStyle w:val="Compact"/>
              <w:jc w:val="left"/>
            </w:pPr>
            <w:r>
              <w:t xml:space="preserve">New CRUD list with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 </w:t>
            </w:r>
            <w:r>
              <w:t xml:space="preserve">filter</w:t>
            </w:r>
          </w:p>
        </w:tc>
        <w:tc>
          <w:p>
            <w:pPr>
              <w:pStyle w:val="Compact"/>
              <w:jc w:val="left"/>
            </w:pPr>
            <w:r>
              <w:t xml:space="preserve">Layer 2 (datalist + form render), Layer 1 (every existing rule remains editable)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 — Retire formQuality</w:t>
            </w:r>
          </w:p>
        </w:tc>
        <w:tc>
          <w:p>
            <w:pPr>
              <w:pStyle w:val="Compact"/>
              <w:jc w:val="left"/>
            </w:pPr>
            <w:r>
              <w:t xml:space="preserve">Delete the formQuality app</w:t>
            </w:r>
          </w:p>
        </w:tc>
        <w:tc>
          <w:p>
            <w:pPr>
              <w:pStyle w:val="Compact"/>
              <w:jc w:val="left"/>
            </w:pPr>
            <w:r>
              <w:t xml:space="preserve">Layer 1 (no orphan references), Layer 2 (no broken menu), Layer 3 (L4 + L5 still pass)</w:t>
            </w:r>
          </w:p>
        </w:tc>
      </w:tr>
    </w:tbl>
    <w:p>
      <w:pPr>
        <w:pStyle w:val="BodyText"/>
      </w:pPr>
      <w:r>
        <w:rPr>
          <w:b/>
        </w:rPr>
        <w:t xml:space="preserve">The L4 parity test runs at the end of every slice.</w:t>
      </w:r>
      <w:r>
        <w:t xml:space="preserve"> </w:t>
      </w:r>
      <w:r>
        <w:t xml:space="preserve">If L4 regresses, the slice is rolled back. This is the canary.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the-continuous-execution-strategy"/>
      <w:r>
        <w:t xml:space="preserve">10. The continuous-execution strategy</w:t>
      </w:r>
      <w:bookmarkEnd w:id="33"/>
    </w:p>
    <w:p>
      <w:pPr>
        <w:pStyle w:val="FirstParagraph"/>
      </w:pPr>
      <w:r>
        <w:t xml:space="preserve">Today the project doesn’t have CI. Tests run when the engineer remembers to run them. That’s been adequate at single-team scale; at pre-production with the rule-engine refactor coming, it isn’t anymore. Three concrete steps:</w:t>
      </w:r>
    </w:p>
    <w:p>
      <w:pPr>
        <w:pStyle w:val="Heading3"/>
      </w:pPr>
      <w:bookmarkStart w:id="34" w:name="a-make-test-or-equivalent-entry-point"/>
      <w:r>
        <w:t xml:space="preserve">10.1 A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(or equivalent) entry point</w:t>
      </w:r>
      <w:bookmarkEnd w:id="34"/>
    </w:p>
    <w:p>
      <w:pPr>
        <w:pStyle w:val="FirstParagraph"/>
      </w:pPr>
      <w:r>
        <w:t xml:space="preserve">A single shell command that runs Layers 1 + 2 + 3 in sequence, prints a per-test pass/fail summary, exits non-zero on any failure. ~10 minutes total. Run before any push. Suggested: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 # layers 1-3, ~10 min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test-perf      # layer 4, ~5 min, run pre-deploy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test-equiv     # layer 5, ad-hoc, only during refactors</w:t>
      </w:r>
    </w:p>
    <w:p>
      <w:pPr>
        <w:pStyle w:val="FirstParagraph"/>
      </w:pPr>
      <w:r>
        <w:rPr>
          <w:rStyle w:val="VerbatimChar"/>
        </w:rPr>
        <w:t xml:space="preserve">make test</w:t>
      </w:r>
      <w:r>
        <w:t xml:space="preserve"> </w:t>
      </w:r>
      <w:r>
        <w:t xml:space="preserve">is just a thin wrapper around the existing</w:t>
      </w:r>
      <w:r>
        <w:t xml:space="preserve"> </w:t>
      </w:r>
      <w:r>
        <w:rPr>
          <w:rStyle w:val="VerbatimChar"/>
        </w:rPr>
        <w:t xml:space="preserve">_tooling/test_*.py</w:t>
      </w:r>
      <w:r>
        <w:t xml:space="preserve"> </w:t>
      </w:r>
      <w:r>
        <w:t xml:space="preserve">scripts plus the new ones. No infrastructure required; just a Makefile.</w:t>
      </w:r>
    </w:p>
    <w:p>
      <w:pPr>
        <w:pStyle w:val="Heading3"/>
      </w:pPr>
      <w:bookmarkStart w:id="35" w:name="a-pre-push-git-hook"/>
      <w:r>
        <w:t xml:space="preserve">10.2 A pre-push git hook</w:t>
      </w:r>
      <w:bookmarkEnd w:id="35"/>
    </w:p>
    <w:p>
      <w:pPr>
        <w:pStyle w:val="FirstParagraph"/>
      </w:pPr>
      <w:r>
        <w:rPr>
          <w:rStyle w:val="VerbatimChar"/>
        </w:rPr>
        <w:t xml:space="preserve">.git/hooks/pre-push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and refuses the push if anything fails. Trivial to install; saves the engineer from a broken main branch.</w:t>
      </w:r>
    </w:p>
    <w:p>
      <w:pPr>
        <w:pStyle w:val="Heading3"/>
      </w:pPr>
      <w:bookmarkStart w:id="36" w:name="a-pre-deploy-gate"/>
      <w:r>
        <w:t xml:space="preserve">10.3 A pre-deploy gate</w:t>
      </w:r>
      <w:bookmarkEnd w:id="36"/>
    </w:p>
    <w:p>
      <w:pPr>
        <w:pStyle w:val="FirstParagraph"/>
      </w:pPr>
      <w:r>
        <w:t xml:space="preserve">Before any JAR upload to the dev or production Joget instance, a checklist: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passed within the last hour.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make test-perf</w:t>
      </w:r>
      <w:r>
        <w:t xml:space="preserve"> </w:t>
      </w:r>
      <w:r>
        <w:t xml:space="preserve">baseline within tolerance (no &gt;50 % regression on any p95).</w:t>
      </w:r>
    </w:p>
    <w:p>
      <w:pPr>
        <w:numPr>
          <w:ilvl w:val="0"/>
          <w:numId w:val="1005"/>
        </w:numPr>
        <w:pStyle w:val="Compact"/>
      </w:pPr>
      <w:r>
        <w:t xml:space="preserve">☐ L4 parity test passed (this is in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, but call it out separately because it’s the eligibility canary).</w:t>
      </w:r>
    </w:p>
    <w:p>
      <w:pPr>
        <w:numPr>
          <w:ilvl w:val="0"/>
          <w:numId w:val="1005"/>
        </w:numPr>
        <w:pStyle w:val="Compact"/>
      </w:pPr>
      <w:r>
        <w:t xml:space="preserve">☐ Affected slice’s specific test (e.g. </w:t>
      </w:r>
      <w:r>
        <w:rPr>
          <w:rStyle w:val="VerbatimChar"/>
        </w:rPr>
        <w:t xml:space="preserve">test_l5_quality_regression.py</w:t>
      </w:r>
      <w:r>
        <w:t xml:space="preserve"> </w:t>
      </w:r>
      <w:r>
        <w:t xml:space="preserve">for ADR-031 Slice C) passed.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</w:t>
      </w:r>
      <w:r>
        <w:t xml:space="preserve">we deploy because it’s safe, not because we hope</w:t>
      </w:r>
      <w:r>
        <w:t xml:space="preserve">”</w:t>
      </w:r>
      <w:r>
        <w:t xml:space="preserve"> </w:t>
      </w:r>
      <w:r>
        <w:t xml:space="preserve">gate.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failure-response"/>
      <w:r>
        <w:t xml:space="preserve">11. Failure response</w:t>
      </w:r>
      <w:bookmarkEnd w:id="37"/>
    </w:p>
    <w:p>
      <w:pPr>
        <w:pStyle w:val="FirstParagraph"/>
      </w:pPr>
      <w:r>
        <w:t xml:space="preserve">When a test fails, the response is graded by which layer failed: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Layer 1 fails</w:t>
      </w:r>
      <w:r>
        <w:t xml:space="preserve"> </w:t>
      </w:r>
      <w:r>
        <w:t xml:space="preserve">— the change is broken at unit level. Don’t push. Fix locally.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Layer 2 fails</w:t>
      </w:r>
      <w:r>
        <w:t xml:space="preserve"> </w:t>
      </w:r>
      <w:r>
        <w:t xml:space="preserve">— an integration boundary broke. Bisect; could be a column rename or a missing seed.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Layer 3 fails</w:t>
      </w:r>
      <w:r>
        <w:t xml:space="preserve"> </w:t>
      </w:r>
      <w:r>
        <w:t xml:space="preserve">— a user journey regressed.</w:t>
      </w:r>
      <w:r>
        <w:t xml:space="preserve"> </w:t>
      </w:r>
      <w:r>
        <w:rPr>
          <w:b/>
        </w:rPr>
        <w:t xml:space="preserve">This is the most expensive class of failure</w:t>
      </w:r>
      <w:r>
        <w:t xml:space="preserve"> </w:t>
      </w:r>
      <w:r>
        <w:t xml:space="preserve">because the test usually doesn’t pinpoint the cause; you’ll trace through the lifecycle to find it. Worth investing extra time to make Layer 3 failures produce useful logs.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Layer 4 fails</w:t>
      </w:r>
      <w:r>
        <w:t xml:space="preserve"> </w:t>
      </w:r>
      <w:r>
        <w:t xml:space="preserve">— performance got worse. Profile; usually a missing index or a quadratic loop newly introduced.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Layer 5 fails</w:t>
      </w:r>
      <w:r>
        <w:t xml:space="preserve"> </w:t>
      </w:r>
      <w:r>
        <w:t xml:space="preserve">(during a refactor) — the refactor changes behaviour. Either the change is wrong or the legacy was buggy. Either way,</w:t>
      </w:r>
      <w:r>
        <w:t xml:space="preserve"> </w:t>
      </w:r>
      <w:r>
        <w:rPr>
          <w:b/>
        </w:rPr>
        <w:t xml:space="preserve">stop the refactor</w:t>
      </w:r>
      <w:r>
        <w:t xml:space="preserve"> </w:t>
      </w:r>
      <w:r>
        <w:t xml:space="preserve">and resolve.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what-this-strategy-does-not-cover"/>
      <w:r>
        <w:t xml:space="preserve">12. What this strategy does NOT cover</w:t>
      </w:r>
      <w:bookmarkEnd w:id="38"/>
    </w:p>
    <w:p>
      <w:pPr>
        <w:pStyle w:val="FirstParagraph"/>
      </w:pPr>
      <w:r>
        <w:t xml:space="preserve">To set the boundary explicitly: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Browser-based UI testing.</w:t>
      </w:r>
      <w:r>
        <w:t xml:space="preserve"> </w:t>
      </w:r>
      <w:r>
        <w:t xml:space="preserve">Selenium / Playwright / similar. Not a 2026 task; the operator surfaces are stable enough that prose-based UAT (the existing</w:t>
      </w:r>
      <w:r>
        <w:t xml:space="preserve"> </w:t>
      </w:r>
      <w:r>
        <w:rPr>
          <w:rStyle w:val="VerbatimChar"/>
        </w:rPr>
        <w:t xml:space="preserve">_uat_guide</w:t>
      </w:r>
      <w:r>
        <w:t xml:space="preserve"> </w:t>
      </w:r>
      <w:r>
        <w:t xml:space="preserve">document) catches what unit + e2e tests don’t.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Security testing.</w:t>
      </w:r>
      <w:r>
        <w:t xml:space="preserve"> </w:t>
      </w:r>
      <w:r>
        <w:t xml:space="preserve">Pen testing, dependency-vulnerability scanning, OWASP top-ten regression. The MinAgri IT TO-DO captures these as customer-side responsibilities.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Disaster-recovery testing.</w:t>
      </w:r>
      <w:r>
        <w:t xml:space="preserve"> </w:t>
      </w:r>
      <w:r>
        <w:t xml:space="preserve">Backup + restore drills. Covered in</w:t>
      </w:r>
      <w:r>
        <w:t xml:space="preserve"> </w:t>
      </w:r>
      <w:r>
        <w:rPr>
          <w:rStyle w:val="VerbatimChar"/>
        </w:rPr>
        <w:t xml:space="preserve">_07_Implementation_Guides/backup_restore_runbook.md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Localisation testing.</w:t>
      </w:r>
      <w:r>
        <w:t xml:space="preserve"> </w:t>
      </w:r>
      <w:r>
        <w:t xml:space="preserve">Sesotho translation accuracy. Out of scope for the regression net; handled by MAFSN’s bilingual reviewer.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Accessibility testing.</w:t>
      </w:r>
      <w:r>
        <w:t xml:space="preserve"> </w:t>
      </w:r>
      <w:r>
        <w:t xml:space="preserve">WCAG conformance, screen-reader compatibility. A separate workstream if MAFSN procures it.</w:t>
      </w:r>
    </w:p>
    <w:p>
      <w:pPr>
        <w:pStyle w:val="FirstParagraph"/>
      </w:pPr>
      <w:r>
        <w:t xml:space="preserve">These are valid concerns; they are simply not addressed here. Each has its own document or its own owner.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the-first-concrete-step"/>
      <w:r>
        <w:t xml:space="preserve">13. The first concrete step</w:t>
      </w:r>
      <w:bookmarkEnd w:id="39"/>
    </w:p>
    <w:p>
      <w:pPr>
        <w:pStyle w:val="FirstParagraph"/>
      </w:pPr>
      <w:r>
        <w:t xml:space="preserve">Before ADR-031’s first slice begins,</w:t>
      </w:r>
      <w:r>
        <w:t xml:space="preserve"> </w:t>
      </w:r>
      <w:r>
        <w:rPr>
          <w:b/>
        </w:rPr>
        <w:t xml:space="preserve">author the equivalence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test_rules_engine_equivalence.py</w:t>
      </w:r>
      <w:r>
        <w:t xml:space="preserve">). Run it green against the legacy engine alone (it should produce the same outcome twice in a row). That confirms the test infrastructure works. Only then begin Slice A.</w:t>
      </w:r>
    </w:p>
    <w:p>
      <w:pPr>
        <w:pStyle w:val="BodyText"/>
      </w:pPr>
      <w:r>
        <w:t xml:space="preserve">This is the embodiment of principle §2.2: refactor under a regression net or not at all.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maintenance"/>
      <w:r>
        <w:t xml:space="preserve">14. Maintenance</w:t>
      </w:r>
      <w:bookmarkEnd w:id="40"/>
    </w:p>
    <w:p>
      <w:pPr>
        <w:pStyle w:val="FirstParagraph"/>
      </w:pPr>
      <w:r>
        <w:t xml:space="preserve">This document is updated whenever:</w:t>
      </w:r>
    </w:p>
    <w:p>
      <w:pPr>
        <w:numPr>
          <w:ilvl w:val="0"/>
          <w:numId w:val="1008"/>
        </w:numPr>
        <w:pStyle w:val="Compact"/>
      </w:pPr>
      <w:r>
        <w:t xml:space="preserve">A new test is added → its row goes into the appropriate layer’s table.</w:t>
      </w:r>
    </w:p>
    <w:p>
      <w:pPr>
        <w:numPr>
          <w:ilvl w:val="0"/>
          <w:numId w:val="1008"/>
        </w:numPr>
        <w:pStyle w:val="Compact"/>
      </w:pPr>
      <w:r>
        <w:t xml:space="preserve">A new layer is added → revisit the pyramid section.</w:t>
      </w:r>
    </w:p>
    <w:p>
      <w:pPr>
        <w:numPr>
          <w:ilvl w:val="0"/>
          <w:numId w:val="1008"/>
        </w:numPr>
        <w:pStyle w:val="Compact"/>
      </w:pPr>
      <w:r>
        <w:t xml:space="preserve">A test is retired → mark it archived (don’t delete the entry; future readers should know the test existed).</w:t>
      </w:r>
    </w:p>
    <w:p>
      <w:pPr>
        <w:numPr>
          <w:ilvl w:val="0"/>
          <w:numId w:val="1008"/>
        </w:numPr>
        <w:pStyle w:val="Compact"/>
      </w:pPr>
      <w:r>
        <w:t xml:space="preserve">A failure response changes → update §11.</w:t>
      </w:r>
    </w:p>
    <w:p>
      <w:pPr>
        <w:pStyle w:val="FirstParagraph"/>
      </w:pPr>
      <w:r>
        <w:t xml:space="preserve">Last review date in the header. Next scheduled review: at the conclusion of ADR-031’s migration.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2026-05-07T09:07:24Z</dcterms:created>
  <dcterms:modified xsi:type="dcterms:W3CDTF">2026-05-07T09:07:24Z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