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Lesotho Farmers Portal — API Migration Guide</w:t>
      </w:r>
    </w:p>
    <w:p>
      <w:pPr>
        <w:pStyle w:val="Subtitle"/>
      </w:pPr>
      <w:r>
        <w:t xml:space="preserve">For pilot-data migration developers</w:t>
      </w:r>
    </w:p>
    <w:p>
      <w:pPr>
        <w:pStyle w:val="Author"/>
      </w:pPr>
      <w:r>
        <w:t xml:space="preserve">MAFSN — Ministry of Agriculture, Food Security and Nutrition</w:t>
      </w:r>
    </w:p>
    <w:p>
      <w:pPr>
        <w:pStyle w:val="Date"/>
      </w:pPr>
      <w:r>
        <w:t xml:space="preserve">2026-05-06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eea0dec09f300baf08e2642c9675e3091685945"/>
      <w:r>
        <w:t xml:space="preserve">Lesotho Farmers Portal — API Migration Guide</w:t>
      </w:r>
      <w:bookmarkEnd w:id="20"/>
    </w:p>
    <w:p>
      <w:pPr>
        <w:pStyle w:val="FirstParagraph"/>
      </w:pPr>
      <w:r>
        <w:rPr>
          <w:b/>
        </w:rPr>
        <w:t xml:space="preserve">Audience:</w:t>
      </w:r>
      <w:r>
        <w:t xml:space="preserve"> </w:t>
      </w:r>
      <w:r>
        <w:t xml:space="preserve">Developers migrating pilot farmer + parcel data into the</w:t>
      </w:r>
      <w:r>
        <w:t xml:space="preserve"> </w:t>
      </w:r>
      <w:r>
        <w:t xml:space="preserve">Lesotho Farmers Portal.</w:t>
      </w:r>
      <w:r>
        <w:t xml:space="preserve"> </w:t>
      </w:r>
      <w:r>
        <w:rPr>
          <w:b/>
        </w:rPr>
        <w:t xml:space="preserve">Version:</w:t>
      </w:r>
      <w:r>
        <w:t xml:space="preserve"> </w:t>
      </w:r>
      <w:r>
        <w:t xml:space="preserve">2026-05-06.</w:t>
      </w:r>
      <w:r>
        <w:t xml:space="preserve"> </w:t>
      </w:r>
      <w:r>
        <w:rPr>
          <w:b/>
        </w:rPr>
        <w:t xml:space="preserve">Scope:</w:t>
      </w:r>
      <w:r>
        <w:t xml:space="preserve"> </w:t>
      </w:r>
      <w:r>
        <w:t xml:space="preserve">Farmer registry, Parcel registry, Master Data lookups (MDM).</w:t>
      </w:r>
    </w:p>
    <w:p>
      <w:pPr>
        <w:pStyle w:val="BodyText"/>
      </w:pPr>
      <w:r>
        <w:t xml:space="preserve">This guide explains how to use the portal’s REST API to bulk-load</w:t>
      </w:r>
      <w:r>
        <w:t xml:space="preserve"> </w:t>
      </w:r>
      <w:r>
        <w:t xml:space="preserve">pilot-collected farmer and parcel records into the system. It covers</w:t>
      </w:r>
      <w:r>
        <w:t xml:space="preserve"> </w:t>
      </w:r>
      <w:r>
        <w:t xml:space="preserve">authentication, the relevant endpoints, the field shapes each form</w:t>
      </w:r>
      <w:r>
        <w:t xml:space="preserve"> </w:t>
      </w:r>
      <w:r>
        <w:t xml:space="preserve">expects, the master-data lookup tables, the recommended migration</w:t>
      </w:r>
      <w:r>
        <w:t xml:space="preserve"> </w:t>
      </w:r>
      <w:r>
        <w:t xml:space="preserve">sequence, and a working Python migration script you can adapt.</w:t>
      </w:r>
    </w:p>
    <w:p>
      <w:pPr>
        <w:pStyle w:val="Heading2"/>
      </w:pPr>
      <w:bookmarkStart w:id="21" w:name="section-1-read-this-first"/>
      <w:r>
        <w:t xml:space="preserve">Section 1 — Read this first</w:t>
      </w:r>
      <w:bookmarkEnd w:id="21"/>
    </w:p>
    <w:p>
      <w:pPr>
        <w:pStyle w:val="Heading3"/>
      </w:pPr>
      <w:bookmarkStart w:id="22" w:name="what-you-will-be-doing"/>
      <w:r>
        <w:t xml:space="preserve">What you will be doing</w:t>
      </w:r>
      <w:bookmarkEnd w:id="22"/>
    </w:p>
    <w:p>
      <w:pPr>
        <w:pStyle w:val="FirstParagraph"/>
      </w:pPr>
      <w:r>
        <w:t xml:space="preserve">You’ll be calling REST endpoints that go through Joget’s standard</w:t>
      </w:r>
      <w:r>
        <w:t xml:space="preserve"> </w:t>
      </w:r>
      <w:r>
        <w:t xml:space="preserve">form-data save path (which means: validators run, foreign-key checks</w:t>
      </w:r>
      <w:r>
        <w:t xml:space="preserve"> </w:t>
      </w:r>
      <w:r>
        <w:t xml:space="preserve">run, the audit trail is correct). Each endpoint corresponds to one form</w:t>
      </w:r>
      <w:r>
        <w:t xml:space="preserve"> </w:t>
      </w:r>
      <w:r>
        <w:t xml:space="preserve">in the portal — Farmer Basic Information, Farmer Residency, Parcel</w:t>
      </w:r>
      <w:r>
        <w:t xml:space="preserve"> </w:t>
      </w:r>
      <w:r>
        <w:t xml:space="preserve">Location, Parcel Geometry, etc.</w:t>
      </w:r>
    </w:p>
    <w:p>
      <w:pPr>
        <w:pStyle w:val="BodyText"/>
      </w:pPr>
      <w:r>
        <w:t xml:space="preserve">Your migration runs as a sequence of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calls — one per record per</w:t>
      </w:r>
      <w:r>
        <w:t xml:space="preserve"> </w:t>
      </w:r>
      <w:r>
        <w:t xml:space="preserve">form. The portal accepts each call independently, returns the</w:t>
      </w:r>
      <w:r>
        <w:t xml:space="preserve"> </w:t>
      </w:r>
      <w:r>
        <w:t xml:space="preserve">saved row’s UUID, and handles all the cascade (Hibernate mapping,</w:t>
      </w:r>
      <w:r>
        <w:t xml:space="preserve"> </w:t>
      </w:r>
      <w:r>
        <w:t xml:space="preserve">storeBinder logic, etc.) on its side.</w:t>
      </w:r>
    </w:p>
    <w:p>
      <w:pPr>
        <w:pStyle w:val="Heading3"/>
      </w:pPr>
      <w:bookmarkStart w:id="23" w:name="what-you-must-not-do"/>
      <w:r>
        <w:t xml:space="preserve">What you must NOT do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Do not write directly to the Postgres</w:t>
      </w:r>
      <w:r>
        <w:rPr>
          <w:b/>
        </w:rPr>
        <w:t xml:space="preserve"> </w:t>
      </w:r>
      <w:r>
        <w:rPr>
          <w:rStyle w:val="VerbatimChar"/>
          <w:b/>
        </w:rPr>
        <w:t xml:space="preserve">app_fd_*</w:t>
      </w:r>
      <w:r>
        <w:rPr>
          <w:b/>
        </w:rPr>
        <w:t xml:space="preserve"> </w:t>
      </w:r>
      <w:r>
        <w:rPr>
          <w:b/>
        </w:rPr>
        <w:t xml:space="preserve">tables.</w:t>
      </w:r>
      <w:r>
        <w:t xml:space="preserve"> </w:t>
      </w:r>
      <w:r>
        <w:t xml:space="preserve">Joget</w:t>
      </w:r>
      <w:r>
        <w:t xml:space="preserve"> </w:t>
      </w:r>
      <w:r>
        <w:t xml:space="preserve">caches form definitions and Hibernate mappings in JVM memory, and a</w:t>
      </w:r>
      <w:r>
        <w:t xml:space="preserve"> </w:t>
      </w:r>
      <w:r>
        <w:t xml:space="preserve">raw INSERT silently bypasses both. See the portal’s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“</w:t>
      </w:r>
      <w:r>
        <w:t xml:space="preserve">Hard</w:t>
      </w:r>
      <w:r>
        <w:t xml:space="preserve"> </w:t>
      </w:r>
      <w:r>
        <w:t xml:space="preserve">rule</w:t>
      </w:r>
      <w:r>
        <w:t xml:space="preserve">”</w:t>
      </w:r>
      <w:r>
        <w:t xml:space="preserve"> </w:t>
      </w:r>
      <w:r>
        <w:t xml:space="preserve">section for why this corrupts the system in subtle ways. Always</w:t>
      </w:r>
      <w:r>
        <w:t xml:space="preserve"> </w:t>
      </w:r>
      <w:r>
        <w:t xml:space="preserve">use the API.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Do not skip validation.</w:t>
      </w:r>
      <w:r>
        <w:t xml:space="preserve"> </w:t>
      </w:r>
      <w:r>
        <w:t xml:space="preserve">If a record violates a mandatory or</w:t>
      </w:r>
      <w:r>
        <w:t xml:space="preserve"> </w:t>
      </w:r>
      <w:r>
        <w:t xml:space="preserve">uniqueness check, the API returns HTTP 400 with the error. Don’t</w:t>
      </w:r>
      <w:r>
        <w:t xml:space="preserve"> </w:t>
      </w:r>
      <w:r>
        <w:t xml:space="preserve">retry with bypassed validation — fix the record.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Do not create master-data rows your migration introduces.</w:t>
      </w:r>
      <w:r>
        <w:t xml:space="preserve"> </w:t>
      </w:r>
      <w:r>
        <w:t xml:space="preserve">If your</w:t>
      </w:r>
      <w:r>
        <w:t xml:space="preserve"> </w:t>
      </w:r>
      <w:r>
        <w:t xml:space="preserve">pilot data references a district, village, agro-zone, or any other</w:t>
      </w:r>
      <w:r>
        <w:t xml:space="preserve"> </w:t>
      </w:r>
      <w:r>
        <w:t xml:space="preserve">master-data entity that doesn’t already exist in the portal’s MDM,</w:t>
      </w:r>
      <w:r>
        <w:t xml:space="preserve"> </w:t>
      </w:r>
      <w:r>
        <w:t xml:space="preserve">the migration should HALT for human review. Adding rows to MDM is a</w:t>
      </w:r>
      <w:r>
        <w:t xml:space="preserve"> </w:t>
      </w:r>
      <w:r>
        <w:t xml:space="preserve">separate authorisation; the migration tool isn’t authorised to expand</w:t>
      </w:r>
      <w:r>
        <w:t xml:space="preserve"> </w:t>
      </w:r>
      <w:r>
        <w:t xml:space="preserve">the master-data set.</w:t>
      </w:r>
    </w:p>
    <w:p>
      <w:pPr>
        <w:pStyle w:val="Heading3"/>
      </w:pPr>
      <w:bookmarkStart w:id="24" w:name="whats-the-data-model"/>
      <w:r>
        <w:t xml:space="preserve">What’s the data model</w:t>
      </w:r>
      <w:bookmarkEnd w:id="24"/>
    </w:p>
    <w:p>
      <w:pPr>
        <w:pStyle w:val="FirstParagraph"/>
      </w:pPr>
      <w:r>
        <w:t xml:space="preserve">Two registry trees:</w:t>
      </w:r>
    </w:p>
    <w:p>
      <w:pPr>
        <w:pStyle w:val="SourceCode"/>
      </w:pPr>
      <w:r>
        <w:rPr>
          <w:rStyle w:val="VerbatimChar"/>
        </w:rPr>
        <w:t xml:space="preserve">farmerRegistrationForm (wizard parent)</w:t>
      </w:r>
      <w:r>
        <w:br/>
      </w:r>
      <w:r>
        <w:rPr>
          <w:rStyle w:val="VerbatimChar"/>
        </w:rPr>
        <w:t xml:space="preserve">  ├── farmerBasicInfo          (national_id is the business key)</w:t>
      </w:r>
      <w:r>
        <w:br/>
      </w:r>
      <w:r>
        <w:rPr>
          <w:rStyle w:val="VerbatimChar"/>
        </w:rPr>
        <w:t xml:space="preserve">  ├── farmerResidency          (district, agro-zone, GPS, land sizes)</w:t>
      </w:r>
      <w:r>
        <w:br/>
      </w:r>
      <w:r>
        <w:rPr>
          <w:rStyle w:val="VerbatimChar"/>
        </w:rPr>
        <w:t xml:space="preserve">  ├── farmerHousehold          (with householdMemberForm child grid)</w:t>
      </w:r>
      <w:r>
        <w:br/>
      </w:r>
      <w:r>
        <w:rPr>
          <w:rStyle w:val="VerbatimChar"/>
        </w:rPr>
        <w:t xml:space="preserve">  ├── farmerCropsLivestock     (with livestockDetailsForm child grid)</w:t>
      </w:r>
      <w:r>
        <w:br/>
      </w:r>
      <w:r>
        <w:rPr>
          <w:rStyle w:val="VerbatimChar"/>
        </w:rPr>
        <w:t xml:space="preserve">  ├── farmerIncomePrograms</w:t>
      </w:r>
      <w:r>
        <w:br/>
      </w:r>
      <w:r>
        <w:rPr>
          <w:rStyle w:val="VerbatimChar"/>
        </w:rPr>
        <w:t xml:space="preserve">  └── farmerDeclaration</w:t>
      </w:r>
      <w:r>
        <w:br/>
      </w:r>
      <w:r>
        <w:br/>
      </w:r>
      <w:r>
        <w:rPr>
          <w:rStyle w:val="VerbatimChar"/>
        </w:rPr>
        <w:t xml:space="preserve">parcelRegistration (parcel wizard parent)</w:t>
      </w:r>
      <w:r>
        <w:br/>
      </w:r>
      <w:r>
        <w:rPr>
          <w:rStyle w:val="VerbatimChar"/>
        </w:rPr>
        <w:t xml:space="preserve">  ├── parcelLocation           (district, agro-zone, GPS)</w:t>
      </w:r>
      <w:r>
        <w:br/>
      </w:r>
      <w:r>
        <w:rPr>
          <w:rStyle w:val="VerbatimChar"/>
        </w:rPr>
        <w:t xml:space="preserve">  ├── parcelGeometry           (polygon, area, perimeter)</w:t>
      </w:r>
      <w:r>
        <w:br/>
      </w:r>
      <w:r>
        <w:rPr>
          <w:rStyle w:val="VerbatimChar"/>
        </w:rPr>
        <w:t xml:space="preserve">  ├── parcelClassification     (land use, conservation practices)</w:t>
      </w:r>
      <w:r>
        <w:br/>
      </w:r>
      <w:r>
        <w:rPr>
          <w:rStyle w:val="VerbatimChar"/>
        </w:rPr>
        <w:t xml:space="preserve">  └── parcelCrops              (with cropDetailForm child grid)</w:t>
      </w:r>
    </w:p>
    <w:p>
      <w:pPr>
        <w:pStyle w:val="FirstParagraph"/>
      </w:pPr>
      <w:r>
        <w:t xml:space="preserve">Both trees use a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t xml:space="preserve">HiddenField on each child to link to its</w:t>
      </w:r>
      <w:r>
        <w:t xml:space="preserve"> </w:t>
      </w:r>
      <w:r>
        <w:t xml:space="preserve">wizard parent’s UUID. For pilot migration you may</w:t>
      </w:r>
      <w:r>
        <w:t xml:space="preserve"> </w:t>
      </w:r>
      <w:r>
        <w:rPr>
          <w:b/>
        </w:rPr>
        <w:t xml:space="preserve">skip</w:t>
      </w:r>
      <w:r>
        <w:t xml:space="preserve"> </w:t>
      </w:r>
      <w:r>
        <w:t xml:space="preserve">authoring</w:t>
      </w:r>
      <w:r>
        <w:t xml:space="preserve"> </w:t>
      </w:r>
      <w:r>
        <w:t xml:space="preserve">the wizard parent and just create the sub-form records — the data is</w:t>
      </w:r>
      <w:r>
        <w:t xml:space="preserve"> </w:t>
      </w:r>
      <w:r>
        <w:t xml:space="preserve">queryable that way, and the wizard re-binds correctly when an operator</w:t>
      </w:r>
      <w:r>
        <w:t xml:space="preserve"> </w:t>
      </w:r>
      <w:r>
        <w:t xml:space="preserve">later opens it in the UI.</w:t>
      </w:r>
    </w:p>
    <w:p>
      <w:pPr>
        <w:pStyle w:val="BodyText"/>
      </w:pPr>
      <w:r>
        <w:t xml:space="preserve">The link between farmer and parcel is by the farmer’s</w:t>
      </w:r>
      <w:r>
        <w:t xml:space="preserve"> </w:t>
      </w:r>
      <w:r>
        <w:rPr>
          <w:rStyle w:val="VerbatimChar"/>
        </w:rPr>
        <w:t xml:space="preserve">national_id</w:t>
      </w:r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parcelLocation</w:t>
      </w:r>
      <w:r>
        <w:t xml:space="preserve"> </w:t>
      </w:r>
      <w:r>
        <w:t xml:space="preserve">record carries</w:t>
      </w:r>
      <w:r>
        <w:t xml:space="preserve"> </w:t>
      </w:r>
      <w:r>
        <w:rPr>
          <w:rStyle w:val="VerbatimChar"/>
        </w:rPr>
        <w:t xml:space="preserve">district + village</w:t>
      </w:r>
      <w:r>
        <w:t xml:space="preserve"> </w:t>
      </w:r>
      <w:r>
        <w:t xml:space="preserve">plus the</w:t>
      </w:r>
      <w:r>
        <w:t xml:space="preserve"> </w:t>
      </w:r>
      <w:r>
        <w:t xml:space="preserve">parcel’s identifiers, and the parcel’s link to a specific farmer is</w:t>
      </w:r>
      <w:r>
        <w:t xml:space="preserve"> </w:t>
      </w:r>
      <w:r>
        <w:t xml:space="preserve">recorded in the parcel-registration tree’s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t xml:space="preserve">chain (or, in</w:t>
      </w:r>
      <w:r>
        <w:t xml:space="preserve"> </w:t>
      </w:r>
      <w:r>
        <w:t xml:space="preserve">pilot data, you’ll typically have an explicit</w:t>
      </w:r>
      <w:r>
        <w:t xml:space="preserve"> </w:t>
      </w:r>
      <w:r>
        <w:t xml:space="preserve">“</w:t>
      </w:r>
      <w:r>
        <w:t xml:space="preserve">farmer_nid</w:t>
      </w:r>
      <w:r>
        <w:t xml:space="preserve">”</w:t>
      </w:r>
      <w:r>
        <w:t xml:space="preserve"> </w:t>
      </w:r>
      <w:r>
        <w:t xml:space="preserve">column on</w:t>
      </w:r>
      <w:r>
        <w:t xml:space="preserve"> </w:t>
      </w:r>
      <w:r>
        <w:t xml:space="preserve">each parcel that you map to the right field).</w:t>
      </w:r>
    </w:p>
    <w:p>
      <w:pPr>
        <w:pStyle w:val="Heading2"/>
      </w:pPr>
      <w:bookmarkStart w:id="25" w:name="section-2-authentication"/>
      <w:r>
        <w:t xml:space="preserve">Section 2 — Authentication</w:t>
      </w:r>
      <w:bookmarkEnd w:id="25"/>
    </w:p>
    <w:p>
      <w:pPr>
        <w:pStyle w:val="FirstParagraph"/>
      </w:pPr>
      <w:r>
        <w:t xml:space="preserve">Every API call needs</w:t>
      </w:r>
      <w:r>
        <w:t xml:space="preserve"> </w:t>
      </w:r>
      <w:r>
        <w:rPr>
          <w:b/>
        </w:rPr>
        <w:t xml:space="preserve">two HTTP headers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api_id</w:t>
            </w:r>
          </w:p>
        </w:tc>
        <w:tc>
          <w:p>
            <w:pPr>
              <w:pStyle w:val="Compact"/>
              <w:jc w:val="left"/>
            </w:pPr>
            <w:r>
              <w:t xml:space="preserve">The API definition’s UUID (e.g. </w:t>
            </w:r>
            <w:r>
              <w:rPr>
                <w:rStyle w:val="VerbatimChar"/>
              </w:rPr>
              <w:t xml:space="preserve">API-a7735b09-36be-453d-a385-cdff0c3df7b0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One per endpoint — see Section 4 for the full list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a5af1181f77b4a62b481725b6410e965</w:t>
            </w:r>
          </w:p>
        </w:tc>
        <w:tc>
          <w:p>
            <w:pPr>
              <w:pStyle w:val="Compact"/>
              <w:jc w:val="left"/>
            </w:pPr>
            <w:r>
              <w:t xml:space="preserve">Currently the shared</w:t>
            </w:r>
            <w:r>
              <w:t xml:space="preserve"> </w:t>
            </w:r>
            <w:r>
              <w:rPr>
                <w:rStyle w:val="VerbatimChar"/>
              </w:rPr>
              <w:t xml:space="preserve">farmerPortal</w:t>
            </w:r>
            <w:r>
              <w:t xml:space="preserve"> </w:t>
            </w:r>
            <w:r>
              <w:t xml:space="preserve">key for dev.</w:t>
            </w:r>
            <w:r>
              <w:t xml:space="preserve"> </w:t>
            </w:r>
            <w:r>
              <w:rPr>
                <w:b/>
              </w:rPr>
              <w:t xml:space="preserve">For your migration, request a fresh dedicated credential pair from MAFSN ICT</w:t>
            </w:r>
            <w:r>
              <w:t xml:space="preserve"> </w:t>
            </w:r>
            <w:r>
              <w:t xml:space="preserve">so your activity is auditable separately.</w:t>
            </w:r>
          </w:p>
        </w:tc>
      </w:tr>
    </w:tbl>
    <w:p>
      <w:pPr>
        <w:pStyle w:val="BodyText"/>
      </w:pPr>
      <w:r>
        <w:t xml:space="preserve">A third optional header is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for POST</w:t>
      </w:r>
      <w:r>
        <w:t xml:space="preserve"> </w:t>
      </w:r>
      <w:r>
        <w:t xml:space="preserve">bodies.</w:t>
      </w:r>
    </w:p>
    <w:p>
      <w:pPr>
        <w:pStyle w:val="BodyText"/>
      </w:pPr>
      <w:r>
        <w:t xml:space="preserve">The api_id can also be passed as a query parameter (</w:t>
      </w:r>
      <w:r>
        <w:rPr>
          <w:rStyle w:val="VerbatimChar"/>
        </w:rPr>
        <w:t xml:space="preserve">?api_id=...&amp;api_key=...</w:t>
      </w:r>
      <w:r>
        <w:t xml:space="preserve">)</w:t>
      </w:r>
      <w:r>
        <w:t xml:space="preserve"> </w:t>
      </w:r>
      <w:r>
        <w:t xml:space="preserve">but headers are recommended because they don’t get logged in the access</w:t>
      </w:r>
      <w:r>
        <w:t xml:space="preserve"> </w:t>
      </w:r>
      <w:r>
        <w:t xml:space="preserve">log.</w:t>
      </w:r>
    </w:p>
    <w:p>
      <w:pPr>
        <w:pStyle w:val="Heading3"/>
      </w:pPr>
      <w:bookmarkStart w:id="26" w:name="verifying-auth-works"/>
      <w:r>
        <w:t xml:space="preserve">Verifying auth works</w:t>
      </w:r>
      <w:bookmarkEnd w:id="26"/>
    </w:p>
    <w:p>
      <w:pPr>
        <w:pStyle w:val="FirstParagraph"/>
      </w:pPr>
      <w:r>
        <w:t xml:space="preserve">The simplest auth-only check is to POST a deliberately-empty record</w:t>
      </w:r>
      <w:r>
        <w:t xml:space="preserve"> </w:t>
      </w:r>
      <w:r>
        <w:t xml:space="preserve">and observe that the server gets to validation. The response will be</w:t>
      </w:r>
      <w:r>
        <w:t xml:space="preserve"> </w:t>
      </w:r>
      <w:r>
        <w:t xml:space="preserve">HTTP 200 with a body like this (proving the request reached validation,</w:t>
      </w:r>
      <w:r>
        <w:t xml:space="preserve"> </w:t>
      </w:r>
      <w:r>
        <w:t xml:space="preserve">which means auth passed):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-X POST -H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"api_id: API-a7735b09-36be-453d-a385-cdff0c3df7b0"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"api_key: a5af1181f77b4a62b481725b6410e965"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"http://20.87.213.78:8080/jw/api/form/farmerBasicInfo"</w:t>
      </w:r>
    </w:p>
    <w:p>
      <w:pPr>
        <w:pStyle w:val="FirstParagraph"/>
      </w:pPr>
      <w:r>
        <w:t xml:space="preserve">Expected response (HTTP 200):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"national_id"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"Missing required 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"Missing required 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"Missing required 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"Missing required value"</w:t>
      </w:r>
      <w:r>
        <w:rPr>
          <w:rStyle w:val="FunctionTok"/>
        </w:rPr>
        <w:t xml:space="preserve">}}</w:t>
      </w:r>
    </w:p>
    <w:p>
      <w:pPr>
        <w:pStyle w:val="FirstParagraph"/>
      </w:pPr>
      <w:r>
        <w:t xml:space="preserve">That proves the API auth works (the validator ran). If you get HTTP</w:t>
      </w:r>
      <w:r>
        <w:t xml:space="preserve"> </w:t>
      </w:r>
      <w:r>
        <w:t xml:space="preserve">400 with</w:t>
      </w:r>
      <w:r>
        <w:t xml:space="preserve"> </w:t>
      </w:r>
      <w:r>
        <w:rPr>
          <w:rStyle w:val="VerbatimChar"/>
        </w:rPr>
        <w:t xml:space="preserve">"Bad Request"</w:t>
      </w:r>
      <w:r>
        <w:t xml:space="preserve"> </w:t>
      </w:r>
      <w:r>
        <w:t xml:space="preserve">instead, your headers are wrong (the request</w:t>
      </w:r>
      <w:r>
        <w:t xml:space="preserve"> </w:t>
      </w:r>
      <w:r>
        <w:t xml:space="preserve">got rejected before validation could run). If you get HTTP 404, the</w:t>
      </w:r>
      <w:r>
        <w:t xml:space="preserve"> </w:t>
      </w:r>
      <w:r>
        <w:t xml:space="preserve">URL path is wrong (most common: missing</w:t>
      </w:r>
      <w:r>
        <w:t xml:space="preserve"> </w:t>
      </w:r>
      <w:r>
        <w:rPr>
          <w:rStyle w:val="VerbatimChar"/>
        </w:rPr>
        <w:t xml:space="preserve">/jw</w:t>
      </w:r>
      <w:r>
        <w:t xml:space="preserve"> </w:t>
      </w:r>
      <w:r>
        <w:t xml:space="preserve">prefix or wrong host).</w:t>
      </w:r>
    </w:p>
    <w:p>
      <w:pPr>
        <w:pStyle w:val="BodyText"/>
      </w:pPr>
      <w:r>
        <w:t xml:space="preserve">(We don’t use a</w:t>
      </w:r>
      <w:r>
        <w:t xml:space="preserve"> </w:t>
      </w:r>
      <w:r>
        <w:rPr>
          <w:rStyle w:val="VerbatimChar"/>
        </w:rPr>
        <w:t xml:space="preserve">GET /list</w:t>
      </w:r>
      <w:r>
        <w:t xml:space="preserve"> </w:t>
      </w:r>
      <w:r>
        <w:t xml:space="preserve">for this check because — see Section 3 —</w:t>
      </w:r>
      <w:r>
        <w:t xml:space="preserve"> </w:t>
      </w:r>
      <w:r>
        <w:t xml:space="preserve">that endpoint isn’t functional.)</w:t>
      </w:r>
    </w:p>
    <w:p>
      <w:pPr>
        <w:pStyle w:val="Heading2"/>
      </w:pPr>
      <w:bookmarkStart w:id="27" w:name="section-3-url-pattern"/>
      <w:r>
        <w:t xml:space="preserve">Section 3 — URL pattern</w:t>
      </w:r>
      <w:bookmarkEnd w:id="27"/>
    </w:p>
    <w:p>
      <w:pPr>
        <w:pStyle w:val="FirstParagraph"/>
      </w:pPr>
      <w:r>
        <w:t xml:space="preserve">Every per-form API has the same operation set:</w:t>
      </w:r>
    </w:p>
    <w:p>
      <w:pPr>
        <w:pStyle w:val="SourceCode"/>
      </w:pPr>
      <w:r>
        <w:rPr>
          <w:rStyle w:val="VerbatimChar"/>
        </w:rPr>
        <w:t xml:space="preserve">POST   /jw/api/form/{formId}              Create a new record           ✅ works</w:t>
      </w:r>
      <w:r>
        <w:br/>
      </w:r>
      <w:r>
        <w:rPr>
          <w:rStyle w:val="VerbatimChar"/>
        </w:rPr>
        <w:t xml:space="preserve">GET    /jw/api/form/{formId}/{recordId}   Read by UUID                   ✅ works</w:t>
      </w:r>
      <w:r>
        <w:br/>
      </w:r>
      <w:r>
        <w:rPr>
          <w:rStyle w:val="VerbatimChar"/>
        </w:rPr>
        <w:t xml:space="preserve">PUT    /jw/api/form/{formId}              Update (body must include id)  ✅ works</w:t>
      </w:r>
      <w:r>
        <w:br/>
      </w:r>
      <w:r>
        <w:rPr>
          <w:rStyle w:val="VerbatimChar"/>
        </w:rPr>
        <w:t xml:space="preserve">DELETE /jw/api/form/{formId}/{recordId}   Delete by UUID                 ✅ works</w:t>
      </w:r>
      <w:r>
        <w:br/>
      </w:r>
      <w:r>
        <w:rPr>
          <w:rStyle w:val="VerbatimChar"/>
        </w:rPr>
        <w:t xml:space="preserve">POST   /jw/api/form/{formId}/saveOrUpdate Upsert by id                   ✅ works</w:t>
      </w:r>
      <w:r>
        <w:br/>
      </w:r>
      <w:r>
        <w:rPr>
          <w:rStyle w:val="VerbatimChar"/>
        </w:rPr>
        <w:t xml:space="preserve">POST   /jw/api/form/{formId}/addWithFiles Create with attached files     ✅ works</w:t>
      </w:r>
      <w:r>
        <w:br/>
      </w:r>
      <w:r>
        <w:rPr>
          <w:rStyle w:val="VerbatimChar"/>
        </w:rPr>
        <w:t xml:space="preserve">POST   /jw/api/form/{formId}/updateWithFiles  Update with attached files ✅ works</w:t>
      </w:r>
      <w:r>
        <w:br/>
      </w:r>
      <w:r>
        <w:rPr>
          <w:rStyle w:val="VerbatimChar"/>
        </w:rPr>
        <w:t xml:space="preserve">GET    /jw/api/form/{formId}/list         (LIST)                         ⚠ NOT IMPLEMENTED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{formId}</w:t>
      </w:r>
      <w:r>
        <w:t xml:space="preserve"> </w:t>
      </w:r>
      <w:r>
        <w:t xml:space="preserve">with the formDefId from Section 4 (e.g.</w:t>
      </w:r>
      <w:r>
        <w:t xml:space="preserve"> </w:t>
      </w:r>
      <w:r>
        <w:rPr>
          <w:rStyle w:val="VerbatimChar"/>
        </w:rPr>
        <w:t xml:space="preserve">farmerBasicInfo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parcelGeometry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md03district</w:t>
      </w:r>
      <w:r>
        <w:t xml:space="preserve">).</w:t>
      </w:r>
    </w:p>
    <w:p>
      <w:pPr>
        <w:pStyle w:val="BodyText"/>
      </w:pPr>
      <w:r>
        <w:rPr>
          <w:rStyle w:val="VerbatimChar"/>
          <w:b/>
        </w:rPr>
        <w:t xml:space="preserve">/list</w:t>
      </w:r>
      <w:r>
        <w:rPr>
          <w:b/>
        </w:rPr>
        <w:t xml:space="preserve"> </w:t>
      </w:r>
      <w:r>
        <w:rPr>
          <w:b/>
        </w:rPr>
        <w:t xml:space="preserve">does not work</w:t>
      </w:r>
      <w:r>
        <w:t xml:space="preserve"> </w:t>
      </w:r>
      <w:r>
        <w:t xml:space="preserve">— the path is enabled in API Builder but the</w:t>
      </w:r>
      <w:r>
        <w:t xml:space="preserve"> </w:t>
      </w:r>
      <w:r>
        <w:t xml:space="preserve">underlying</w:t>
      </w:r>
      <w:r>
        <w:t xml:space="preserve"> </w:t>
      </w:r>
      <w:r>
        <w:rPr>
          <w:rStyle w:val="VerbatimChar"/>
        </w:rPr>
        <w:t xml:space="preserve">AppFormAPI</w:t>
      </w:r>
      <w:r>
        <w:t xml:space="preserve"> </w:t>
      </w:r>
      <w:r>
        <w:t xml:space="preserve">plugin doesn’t implement listing; the endpoint</w:t>
      </w:r>
      <w:r>
        <w:t xml:space="preserve"> </w:t>
      </w:r>
      <w:r>
        <w:t xml:space="preserve">returns an empty object. For bulk reads of master data, use the static</w:t>
      </w:r>
      <w:r>
        <w:t xml:space="preserve"> </w:t>
      </w:r>
      <w:r>
        <w:t xml:space="preserve">CSVs in</w:t>
      </w:r>
      <w:r>
        <w:t xml:space="preserve"> </w:t>
      </w:r>
      <w:r>
        <w:rPr>
          <w:rStyle w:val="VerbatimChar"/>
        </w:rPr>
        <w:t xml:space="preserve">mdm_reference/</w:t>
      </w:r>
      <w:r>
        <w:t xml:space="preserve"> </w:t>
      </w:r>
      <w:r>
        <w:t xml:space="preserve">(Section 6). For reading individual records</w:t>
      </w:r>
      <w:r>
        <w:t xml:space="preserve"> </w:t>
      </w:r>
      <w:r>
        <w:t xml:space="preserve">you already know the UUID of, use</w:t>
      </w:r>
      <w:r>
        <w:t xml:space="preserve"> </w:t>
      </w:r>
      <w:r>
        <w:rPr>
          <w:rStyle w:val="VerbatimChar"/>
        </w:rPr>
        <w:t xml:space="preserve">GET /{recordId}</w:t>
      </w:r>
      <w:r>
        <w:t xml:space="preserve">.</w:t>
      </w:r>
    </w:p>
    <w:p>
      <w:pPr>
        <w:pStyle w:val="BodyText"/>
      </w:pPr>
      <w:r>
        <w:t xml:space="preserve">The host in your environment will be different from the dev URL above —</w:t>
      </w:r>
      <w:r>
        <w:t xml:space="preserve"> </w:t>
      </w:r>
      <w:r>
        <w:t xml:space="preserve">ask MAFSN ICT for the production / UAT URL.</w:t>
      </w:r>
    </w:p>
    <w:p>
      <w:pPr>
        <w:pStyle w:val="Heading2"/>
      </w:pPr>
      <w:bookmarkStart w:id="28" w:name="section-4-endpoint-reference"/>
      <w:r>
        <w:t xml:space="preserve">Section 4 — Endpoint reference</w:t>
      </w:r>
      <w:bookmarkEnd w:id="28"/>
    </w:p>
    <w:p>
      <w:pPr>
        <w:pStyle w:val="Heading3"/>
      </w:pPr>
      <w:bookmarkStart w:id="29" w:name="farmer-registry"/>
      <w:r>
        <w:t xml:space="preserve">4.1 Farmer registry</w:t>
      </w:r>
      <w:bookmarkEnd w:id="2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API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farmerBasicInfo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API-a7735b09-36be-453d-a385-cdff0c3df7b0</w:t>
            </w:r>
          </w:p>
        </w:tc>
        <w:tc>
          <w:p>
            <w:pPr>
              <w:pStyle w:val="Compact"/>
              <w:jc w:val="left"/>
            </w:pPr>
            <w:r>
              <w:t xml:space="preserve">National ID, name, gender, DOB, contact, marital status, language, cooperative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farmerResidency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API-30dcfc48-44bf-4aaf-95df-8370590be7b4</w:t>
            </w:r>
          </w:p>
        </w:tc>
        <w:tc>
          <w:p>
            <w:pPr>
              <w:pStyle w:val="Compact"/>
              <w:jc w:val="left"/>
            </w:pPr>
            <w:r>
              <w:t xml:space="preserve">District, agro-zone, village, GPS, land sizes, distance to services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farmerHousehold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API-d67facef-8a05-42e2-a0ab-3eb32ede0023</w:t>
            </w:r>
          </w:p>
        </w:tc>
        <w:tc>
          <w:p>
            <w:pPr>
              <w:pStyle w:val="Compact"/>
              <w:jc w:val="left"/>
            </w:pPr>
            <w:r>
              <w:t xml:space="preserve">Household-level container (parent for member grid)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householdMemberForm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API-a24e8b71-de05-4035-bbf1-ae0be68aa5be</w:t>
            </w:r>
          </w:p>
        </w:tc>
        <w:tc>
          <w:p>
            <w:pPr>
              <w:pStyle w:val="Compact"/>
              <w:jc w:val="left"/>
            </w:pPr>
            <w:r>
              <w:t xml:space="preserve">Per-member rows under farmerHousehold (FormGrid child)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farmerCropsLivestock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API-73375fcb-f3ed-4614-8450-72e9f0029ec1</w:t>
            </w:r>
          </w:p>
        </w:tc>
        <w:tc>
          <w:p>
            <w:pPr>
              <w:pStyle w:val="Compact"/>
              <w:jc w:val="left"/>
            </w:pPr>
            <w:r>
              <w:t xml:space="preserve">Has-livestock indicator + livestock detail child grid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farmerIncomePrograms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API-a8a4405a-0d34-4a3b-b5c9-6bd8d6a464b1</w:t>
            </w:r>
          </w:p>
        </w:tc>
        <w:tc>
          <w:p>
            <w:pPr>
              <w:pStyle w:val="Compact"/>
              <w:jc w:val="left"/>
            </w:pPr>
            <w:r>
              <w:t xml:space="preserve">Income source(s), employment, support programmes, loans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farmerDeclaration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API-b8c3c520-c2df-4a28-b77a-c7990f6d4295</w:t>
            </w:r>
          </w:p>
        </w:tc>
        <w:tc>
          <w:p>
            <w:pPr>
              <w:pStyle w:val="Compact"/>
              <w:jc w:val="left"/>
            </w:pPr>
            <w:r>
              <w:t xml:space="preserve">Consent, declaration date, beneficiary code, registration channel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farmerRegistrationForm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API-068737d6-dfe3-423d-8ab7-e4299189b589</w:t>
            </w:r>
          </w:p>
        </w:tc>
        <w:tc>
          <w:p>
            <w:pPr>
              <w:pStyle w:val="Compact"/>
              <w:jc w:val="left"/>
            </w:pPr>
            <w:r>
              <w:t xml:space="preserve">Wizard parent (optional for migration)</w:t>
            </w:r>
          </w:p>
        </w:tc>
      </w:tr>
    </w:tbl>
    <w:p>
      <w:pPr>
        <w:pStyle w:val="Heading3"/>
      </w:pPr>
      <w:bookmarkStart w:id="30" w:name="parcel-registry"/>
      <w:r>
        <w:t xml:space="preserve">4.2 Parcel registry</w:t>
      </w:r>
      <w:bookmarkEnd w:id="3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API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parcelRegistration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API-f276b1a6-3a94-4953-9257-f1fda2175114</w:t>
            </w:r>
          </w:p>
        </w:tc>
        <w:tc>
          <w:p>
            <w:pPr>
              <w:pStyle w:val="Compact"/>
              <w:jc w:val="left"/>
            </w:pPr>
            <w:r>
              <w:t xml:space="preserve">Parcel wizard parent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API-939995e0-7cc6-4d82-ae34-fa58546f3b77</w:t>
            </w:r>
          </w:p>
        </w:tc>
        <w:tc>
          <w:p>
            <w:pPr>
              <w:pStyle w:val="Compact"/>
              <w:jc w:val="left"/>
            </w:pPr>
            <w:r>
              <w:t xml:space="preserve">District, agro-zone, village, parcel name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parcelGeometry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API-87d12ed1-074a-4368-9d9f-169dd2f04db1</w:t>
            </w:r>
          </w:p>
        </w:tc>
        <w:tc>
          <w:p>
            <w:pPr>
              <w:pStyle w:val="Compact"/>
              <w:jc w:val="left"/>
            </w:pPr>
            <w:r>
              <w:t xml:space="preserve">Polygon, area_hectares, perimeter_meters, centroid (set by GIS widget)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parcelClassification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API-19867883-615c-4012-9a03-d3cb22e6290e</w:t>
            </w:r>
          </w:p>
        </w:tc>
        <w:tc>
          <w:p>
            <w:pPr>
              <w:pStyle w:val="Compact"/>
              <w:jc w:val="left"/>
            </w:pPr>
            <w:r>
              <w:t xml:space="preserve">Cultivated/conservation hectares, conservation practices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parcelCrops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API-cccdca6c-3141-4484-b24c-669399968add</w:t>
            </w:r>
          </w:p>
        </w:tc>
        <w:tc>
          <w:p>
            <w:pPr>
              <w:pStyle w:val="Compact"/>
              <w:jc w:val="left"/>
            </w:pPr>
            <w:r>
              <w:t xml:space="preserve">Crop list (parent for cropDetailForm child grid)</w:t>
            </w:r>
          </w:p>
        </w:tc>
      </w:tr>
    </w:tbl>
    <w:p>
      <w:pPr>
        <w:pStyle w:val="Heading3"/>
      </w:pPr>
      <w:bookmarkStart w:id="31" w:name="master-data-mdm"/>
      <w:r>
        <w:t xml:space="preserve">4.3 Master data (MDM)</w:t>
      </w:r>
      <w:bookmarkEnd w:id="31"/>
    </w:p>
    <w:p>
      <w:pPr>
        <w:pStyle w:val="FirstParagraph"/>
      </w:pPr>
      <w:r>
        <w:t xml:space="preserve">The portal has 50+ master-data forms. The ones most relevant to</w:t>
      </w:r>
      <w:r>
        <w:t xml:space="preserve"> </w:t>
      </w:r>
      <w:r>
        <w:t xml:space="preserve">farmer/parcel migration are listed below. To</w:t>
      </w:r>
      <w:r>
        <w:t xml:space="preserve"> </w:t>
      </w:r>
      <w:r>
        <w:rPr>
          <w:b/>
        </w:rPr>
        <w:t xml:space="preserve">read</w:t>
      </w:r>
      <w:r>
        <w:t xml:space="preserve"> </w:t>
      </w:r>
      <w:r>
        <w:t xml:space="preserve">any of them</w:t>
      </w:r>
      <w:r>
        <w:t xml:space="preserve"> </w:t>
      </w:r>
      <w:r>
        <w:t xml:space="preserve">during your migration, use the dedicated MDM list endpoint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/jw/api/regbb/mdm/list?formId=&lt;form&gt;</w:t>
      </w:r>
      <w:r>
        <w:t xml:space="preserve">) — it works for any form</w:t>
      </w:r>
      <w:r>
        <w:t xml:space="preserve"> </w:t>
      </w:r>
      <w:r>
        <w:t xml:space="preserve">ID in this table that starts with</w:t>
      </w:r>
      <w:r>
        <w:t xml:space="preserve"> </w:t>
      </w:r>
      <w:r>
        <w:rPr>
          <w:rStyle w:val="VerbatimChar"/>
        </w:rPr>
        <w:t xml:space="preserve">md</w:t>
      </w:r>
      <w:r>
        <w:t xml:space="preserve">. See Section 6 for details.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API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Used by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md01maritalStatus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API-b63f36c8-5fd3-4962-8a60-02dd9571735c</w:t>
            </w:r>
          </w:p>
        </w:tc>
        <w:tc>
          <w:p>
            <w:pPr>
              <w:pStyle w:val="Compact"/>
              <w:jc w:val="left"/>
            </w:pPr>
            <w:r>
              <w:t xml:space="preserve">farmerBasicInfo.marital_status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md02language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API-5a747ccc-2c1b-4eb8-9d6c-081f9960690b</w:t>
            </w:r>
          </w:p>
        </w:tc>
        <w:tc>
          <w:p>
            <w:pPr>
              <w:pStyle w:val="Compact"/>
              <w:jc w:val="left"/>
            </w:pPr>
            <w:r>
              <w:t xml:space="preserve">farmerBasicInfo.preferred_language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md03district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API-d793713e-5b0d-4a51-b1d0-4f92bfc76022</w:t>
            </w:r>
          </w:p>
        </w:tc>
        <w:tc>
          <w:p>
            <w:pPr>
              <w:pStyle w:val="Compact"/>
              <w:jc w:val="left"/>
            </w:pPr>
            <w:r>
              <w:t xml:space="preserve">farmerResidency.district, parcelLocation.district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md04agroEcologicalZo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API-90b02a2c-8bbc-4a35-9b4e-dd3985e5100c</w:t>
            </w:r>
          </w:p>
        </w:tc>
        <w:tc>
          <w:p>
            <w:pPr>
              <w:pStyle w:val="Compact"/>
              <w:jc w:val="left"/>
            </w:pPr>
            <w:r>
              <w:t xml:space="preserve">residency / parcel agro-ecological zone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md05residencyType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API-ea109d46-4992-4679-b47e-409dbcf44538</w:t>
            </w:r>
          </w:p>
        </w:tc>
        <w:tc>
          <w:p>
            <w:pPr>
              <w:pStyle w:val="Compact"/>
              <w:jc w:val="left"/>
            </w:pPr>
            <w:r>
              <w:t xml:space="preserve">farmerResidency.residency_type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md06farmLabourSource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API-d9c5626d-c7ca-4b37-9320-42e03b699157</w:t>
            </w:r>
          </w:p>
        </w:tc>
        <w:tc>
          <w:p>
            <w:pPr>
              <w:pStyle w:val="Compact"/>
              <w:jc w:val="left"/>
            </w:pPr>
            <w:r>
              <w:t xml:space="preserve">(informs labour reporting)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md07livelihoodSource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API-87e9df36-e3a9-4bff-86a7-d8fae9063c60</w:t>
            </w:r>
          </w:p>
        </w:tc>
        <w:tc>
          <w:p>
            <w:pPr>
              <w:pStyle w:val="Compact"/>
              <w:jc w:val="left"/>
            </w:pPr>
            <w:r>
              <w:t xml:space="preserve">farmer income reporting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md08educationLevel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API-1392ad15-d3b6-4dfe-95d8-dc227c54e8a1</w:t>
            </w:r>
          </w:p>
        </w:tc>
        <w:tc>
          <w:p>
            <w:pPr>
              <w:pStyle w:val="Compact"/>
              <w:jc w:val="left"/>
            </w:pPr>
            <w:r>
              <w:t xml:space="preserve">household member education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md10conservationPrac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API-56d73871-9cb6-4445-a20d-5e6b5a0e591d</w:t>
            </w:r>
          </w:p>
        </w:tc>
        <w:tc>
          <w:p>
            <w:pPr>
              <w:pStyle w:val="Compact"/>
              <w:jc w:val="left"/>
            </w:pPr>
            <w:r>
              <w:t xml:space="preserve">parcelClassification.conservationPractices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md11hazard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API-6ab1f5e8-4087-4ecc-a04e-28429932c356</w:t>
            </w:r>
          </w:p>
        </w:tc>
        <w:tc>
          <w:p>
            <w:pPr>
              <w:pStyle w:val="Compact"/>
              <w:jc w:val="left"/>
            </w:pPr>
            <w:r>
              <w:t xml:space="preserve">hazard exposure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md12relationship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API-c42f149f-76f4-4a54-bc51-48b1aa72dc79</w:t>
            </w:r>
          </w:p>
        </w:tc>
        <w:tc>
          <w:p>
            <w:pPr>
              <w:pStyle w:val="Compact"/>
              <w:jc w:val="left"/>
            </w:pPr>
            <w:r>
              <w:t xml:space="preserve">householdMemberForm.relationship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md13orphanhoodStatus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API-e4793a36-50ec-4e99-8aae-7f692baf0870</w:t>
            </w:r>
          </w:p>
        </w:tc>
        <w:tc>
          <w:p>
            <w:pPr>
              <w:pStyle w:val="Compact"/>
              <w:jc w:val="left"/>
            </w:pPr>
            <w:r>
              <w:t xml:space="preserve">householdMemberForm.orphanhoodStatus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md14disabilityStatus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API-67127c98-e6e6-4e50-8147-38b6ed9d5d05</w:t>
            </w:r>
          </w:p>
        </w:tc>
        <w:tc>
          <w:p>
            <w:pPr>
              <w:pStyle w:val="Compact"/>
              <w:jc w:val="left"/>
            </w:pPr>
            <w:r>
              <w:t xml:space="preserve">householdMemberForm.disability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md15areaUnits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API-12aad22b-1588-4b44-ab54-97dfcd355573</w:t>
            </w:r>
          </w:p>
        </w:tc>
        <w:tc>
          <w:p>
            <w:pPr>
              <w:pStyle w:val="Compact"/>
              <w:jc w:val="left"/>
            </w:pPr>
            <w:r>
              <w:t xml:space="preserve">unit conversion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md16livestockType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API-1d668daa-66a0-41c7-b617-7a8154fa4302</w:t>
            </w:r>
          </w:p>
        </w:tc>
        <w:tc>
          <w:p>
            <w:pPr>
              <w:pStyle w:val="Compact"/>
              <w:jc w:val="left"/>
            </w:pPr>
            <w:r>
              <w:t xml:space="preserve">livestockDetailsForm.livestockType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md161livestockCategory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API-feefac22-621f-4d41-a2e4-3dff65ebced0</w:t>
            </w:r>
          </w:p>
        </w:tc>
        <w:tc>
          <w:p>
            <w:pPr>
              <w:pStyle w:val="Compact"/>
              <w:jc w:val="left"/>
            </w:pPr>
            <w:r>
              <w:t xml:space="preserve">livestock taxonomy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md17incomeSource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API-d84be52d-dc8c-4ca7-8d22-5d289817bd11</w:t>
            </w:r>
          </w:p>
        </w:tc>
        <w:tc>
          <w:p>
            <w:pPr>
              <w:pStyle w:val="Compact"/>
              <w:jc w:val="left"/>
            </w:pPr>
            <w:r>
              <w:t xml:space="preserve">farmerIncomePrograms.income_sources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md18registrationChan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API-98c60d22-498b-4941-a071-614dec827817</w:t>
            </w:r>
          </w:p>
        </w:tc>
        <w:tc>
          <w:p>
            <w:pPr>
              <w:pStyle w:val="Compact"/>
              <w:jc w:val="left"/>
            </w:pPr>
            <w:r>
              <w:t xml:space="preserve">farmerDeclaration.registrationChannel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md19crops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API-27ec6a6f-e38f-409e-ad78-4a726f5dbda6</w:t>
            </w:r>
          </w:p>
        </w:tc>
        <w:tc>
          <w:p>
            <w:pPr>
              <w:pStyle w:val="Compact"/>
              <w:jc w:val="left"/>
            </w:pPr>
            <w:r>
              <w:t xml:space="preserve">crops the farmer grows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md191cropCategory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API-ff817174-4430-46d1-8916-6afd3cb88da3</w:t>
            </w:r>
          </w:p>
        </w:tc>
        <w:tc>
          <w:p>
            <w:pPr>
              <w:pStyle w:val="Compact"/>
              <w:jc w:val="left"/>
            </w:pPr>
            <w:r>
              <w:t xml:space="preserve">crop taxonomy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md37collectionPoint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API-0f99b01d-60c2-4ac8-94b7-4d97827ed6bd</w:t>
            </w:r>
          </w:p>
        </w:tc>
        <w:tc>
          <w:p>
            <w:pPr>
              <w:pStyle w:val="Compact"/>
              <w:jc w:val="left"/>
            </w:pPr>
            <w:r>
              <w:t xml:space="preserve">farmerResidency.resource_center, parcelLocation.resource_centre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md42TargetCategory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API-545b64e8-3e8b-4ad7-9b82-2d6524b518bf</w:t>
            </w:r>
          </w:p>
        </w:tc>
        <w:tc>
          <w:p>
            <w:pPr>
              <w:pStyle w:val="Compact"/>
              <w:jc w:val="left"/>
            </w:pPr>
            <w:r>
              <w:t xml:space="preserve">farmer category (smallholder, emerging, …)</w:t>
            </w:r>
          </w:p>
        </w:tc>
      </w:tr>
    </w:tbl>
    <w:p>
      <w:pPr>
        <w:pStyle w:val="BodyText"/>
      </w:pPr>
      <w:r>
        <w:t xml:space="preserve">(For the full 50+ master-data list, query the</w:t>
      </w:r>
      <w:r>
        <w:t xml:space="preserve"> </w:t>
      </w:r>
      <w:r>
        <w:rPr>
          <w:rStyle w:val="VerbatimChar"/>
        </w:rPr>
        <w:t xml:space="preserve">/jw/api/formcreator/formcreator/apis</w:t>
      </w:r>
      <w:r>
        <w:t xml:space="preserve"> </w:t>
      </w:r>
      <w:r>
        <w:t xml:space="preserve">endpoint or ask MAFSN ICT.)</w:t>
      </w:r>
    </w:p>
    <w:p>
      <w:pPr>
        <w:pStyle w:val="Heading2"/>
      </w:pPr>
      <w:bookmarkStart w:id="32" w:name="section-5-field-reference-per-form"/>
      <w:r>
        <w:t xml:space="preserve">Section 5 — Field reference per form</w:t>
      </w:r>
      <w:bookmarkEnd w:id="32"/>
    </w:p>
    <w:p>
      <w:pPr>
        <w:pStyle w:val="Heading3"/>
      </w:pPr>
      <w:bookmarkStart w:id="33" w:name="farmerbasicinfo"/>
      <w:r>
        <w:t xml:space="preserve">5.1 farmerBasicInfo</w:t>
      </w:r>
      <w:bookmarkEnd w:id="33"/>
    </w:p>
    <w:p>
      <w:pPr>
        <w:pStyle w:val="FirstParagraph"/>
      </w:pPr>
      <w:r>
        <w:t xml:space="preserve">The registry’s primary record.</w:t>
      </w:r>
      <w:r>
        <w:t xml:space="preserve"> </w:t>
      </w:r>
      <w:r>
        <w:rPr>
          <w:rStyle w:val="VerbatimChar"/>
        </w:rPr>
        <w:t xml:space="preserve">national_id</w:t>
      </w:r>
      <w:r>
        <w:t xml:space="preserve"> </w:t>
      </w:r>
      <w:r>
        <w:t xml:space="preserve">is the business key —</w:t>
      </w:r>
      <w:r>
        <w:t xml:space="preserve"> </w:t>
      </w:r>
      <w:r>
        <w:t xml:space="preserve">duplicates are blocked by the validator.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national_id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Lesotho NID format; uniqueness enforced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gender</w:t>
            </w:r>
          </w:p>
        </w:tc>
        <w:tc>
          <w:p>
            <w:pPr>
              <w:pStyle w:val="Compact"/>
              <w:jc w:val="left"/>
            </w:pPr>
            <w:r>
              <w:t xml:space="preserve">radio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male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female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date_of_birth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Format: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marital_status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md01maritalStatus.code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preferred_language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md02language.code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mobile_number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Suggest international format</w:t>
            </w:r>
            <w:r>
              <w:t xml:space="preserve"> </w:t>
            </w:r>
            <w:r>
              <w:rPr>
                <w:rStyle w:val="VerbatimChar"/>
              </w:rPr>
              <w:t xml:space="preserve">+266XXXXXXXX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email_address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extension_officer_name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member_of_cooperative</w:t>
            </w:r>
          </w:p>
        </w:tc>
        <w:tc>
          <w:p>
            <w:pPr>
              <w:pStyle w:val="Compact"/>
              <w:jc w:val="left"/>
            </w:pPr>
            <w:r>
              <w:t xml:space="preserve">radio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cooperative_name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</w:tbl>
    <w:p>
      <w:pPr>
        <w:pStyle w:val="BodyText"/>
      </w:pPr>
      <w:r>
        <w:t xml:space="preserve">Example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"national_id"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"066257236627"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"Mants'ali"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"Panyane"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"date_of_birth"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"1985-10-01"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"marital_status"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"married"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"preferred_language"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"english"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"mobile_number"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"+26659518328"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"member_of_cooperative"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"cooperative_name"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"Mabote Block Farming Cooperative"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34" w:name="farmerresidency"/>
      <w:r>
        <w:t xml:space="preserve">5.2 farmerResidency</w:t>
      </w:r>
      <w:bookmarkEnd w:id="34"/>
    </w:p>
    <w:p>
      <w:pPr>
        <w:pStyle w:val="FirstParagraph"/>
      </w:pPr>
      <w:r>
        <w:t xml:space="preserve">Where the farmer lives + what they farm. References district, agro-zone,</w:t>
      </w:r>
      <w:r>
        <w:t xml:space="preserve"> </w:t>
      </w:r>
      <w:r>
        <w:t xml:space="preserve">and resource centre by code.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district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FK → md03district.code (e.g. </w:t>
            </w:r>
            <w:r>
              <w:rPr>
                <w:rStyle w:val="VerbatimChar"/>
              </w:rPr>
              <w:t xml:space="preserve">maseru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agroEcologicalZone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md04agroEcologicalZo.code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resource_center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md37collectionPoint.code (e.g. </w:t>
            </w:r>
            <w:r>
              <w:rPr>
                <w:rStyle w:val="VerbatimChar"/>
              </w:rPr>
              <w:t xml:space="preserve">CP_MORIJA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village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Free text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residency_type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md05residencyType.code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yearsInArea</w:t>
            </w:r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gpsLatitude</w:t>
            </w:r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Lesotho range: −28 to −31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gpsLongitude</w:t>
            </w:r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Lesotho range: +27 to +29.5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ownedRentedLand</w:t>
            </w:r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Hectares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totalAvailableLand</w:t>
            </w:r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Hectares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cultivatedLand</w:t>
            </w:r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Hectares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conservationAgricultureLand</w:t>
            </w:r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Hectares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farmerRegistrationForm’s id (optional)</w:t>
            </w:r>
          </w:p>
        </w:tc>
      </w:tr>
    </w:tbl>
    <w:p>
      <w:pPr>
        <w:pStyle w:val="BodyText"/>
      </w:pPr>
      <w:r>
        <w:t xml:space="preserve">(Plus distance-to-services fields:</w:t>
      </w:r>
      <w:r>
        <w:t xml:space="preserve"> </w:t>
      </w:r>
      <w:r>
        <w:rPr>
          <w:rStyle w:val="VerbatimChar"/>
        </w:rPr>
        <w:t xml:space="preserve">distanceWaterSource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distancePrimarySchool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distanceLivestockMarket</w:t>
      </w:r>
      <w:r>
        <w:t xml:space="preserve">, etc.)</w:t>
      </w:r>
    </w:p>
    <w:p>
      <w:pPr>
        <w:pStyle w:val="Heading3"/>
      </w:pPr>
      <w:bookmarkStart w:id="35" w:name="farmerhousehold-householdmemberform"/>
      <w:r>
        <w:t xml:space="preserve">5.3 farmerHousehold + householdMemberForm</w:t>
      </w:r>
      <w:bookmarkEnd w:id="35"/>
    </w:p>
    <w:p>
      <w:pPr>
        <w:pStyle w:val="FirstParagraph"/>
      </w:pPr>
      <w:r>
        <w:rPr>
          <w:rStyle w:val="VerbatimChar"/>
        </w:rPr>
        <w:t xml:space="preserve">farmerHousehold</w:t>
      </w:r>
      <w:r>
        <w:t xml:space="preserve"> </w:t>
      </w:r>
      <w:r>
        <w:t xml:space="preserve">is just a container for household members. The actual</w:t>
      </w:r>
      <w:r>
        <w:t xml:space="preserve"> </w:t>
      </w:r>
      <w:r>
        <w:t xml:space="preserve">member rows go in</w:t>
      </w:r>
      <w:r>
        <w:t xml:space="preserve"> </w:t>
      </w:r>
      <w:r>
        <w:rPr>
          <w:rStyle w:val="VerbatimChar"/>
        </w:rPr>
        <w:t xml:space="preserve">householdMemberForm</w:t>
      </w:r>
      <w:r>
        <w:t xml:space="preserve">, each with a</w:t>
      </w:r>
      <w:r>
        <w:t xml:space="preserve"> </w:t>
      </w:r>
      <w:r>
        <w:rPr>
          <w:rStyle w:val="VerbatimChar"/>
        </w:rPr>
        <w:t xml:space="preserve">farmer_id</w:t>
      </w:r>
      <w:r>
        <w:t xml:space="preserve"> </w:t>
      </w:r>
      <w:r>
        <w:t xml:space="preserve">foreign key pointing back to the farmerHousehold’s UUID.</w:t>
      </w:r>
    </w:p>
    <w:p>
      <w:pPr>
        <w:pStyle w:val="BodyText"/>
      </w:pPr>
      <w:r>
        <w:rPr>
          <w:rStyle w:val="VerbatimChar"/>
        </w:rPr>
        <w:t xml:space="preserve">householdMemberForm</w:t>
      </w:r>
      <w:r>
        <w:t xml:space="preserve"> </w:t>
      </w:r>
      <w:r>
        <w:t xml:space="preserve">fields: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farmer_id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farmerHousehold’s id (FormGrid FK)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sex</w:t>
            </w:r>
          </w:p>
        </w:tc>
        <w:tc>
          <w:p>
            <w:pPr>
              <w:pStyle w:val="Compact"/>
              <w:jc w:val="left"/>
            </w:pPr>
            <w:r>
              <w:t xml:space="preserve">radio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female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date_of_birth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relationship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md12relationship.code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orphanhoodStatus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md13orphanhoodStatus.code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participatesInAgriculture</w:t>
            </w:r>
          </w:p>
        </w:tc>
        <w:tc>
          <w:p>
            <w:pPr>
              <w:pStyle w:val="Compact"/>
              <w:jc w:val="left"/>
            </w:pPr>
            <w:r>
              <w:t xml:space="preserve">radio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disability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md14disabilityStatus.code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chronicallyIll</w:t>
            </w:r>
          </w:p>
        </w:tc>
        <w:tc>
          <w:p>
            <w:pPr>
              <w:pStyle w:val="Compact"/>
              <w:jc w:val="left"/>
            </w:pPr>
            <w:r>
              <w:t xml:space="preserve">radio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</w:tr>
    </w:tbl>
    <w:p>
      <w:pPr>
        <w:pStyle w:val="Heading3"/>
      </w:pPr>
      <w:bookmarkStart w:id="36" w:name="X1e94239c5ce4b56c8cae8dcccdcee2c1ae73af1"/>
      <w:r>
        <w:t xml:space="preserve">5.4 farmerCropsLivestock + livestockDetailsForm</w:t>
      </w:r>
      <w:bookmarkEnd w:id="36"/>
    </w:p>
    <w:p>
      <w:pPr>
        <w:pStyle w:val="FirstParagraph"/>
      </w:pPr>
      <w:r>
        <w:rPr>
          <w:rStyle w:val="VerbatimChar"/>
        </w:rPr>
        <w:t xml:space="preserve">farmerCropsLivestock</w:t>
      </w:r>
      <w:r>
        <w:t xml:space="preserve"> </w:t>
      </w:r>
      <w:r>
        <w:t xml:space="preserve">carries one Boolean (</w:t>
      </w:r>
      <w:r>
        <w:rPr>
          <w:rStyle w:val="VerbatimChar"/>
        </w:rPr>
        <w:t xml:space="preserve">hasLivestock</w:t>
      </w:r>
      <w:r>
        <w:t xml:space="preserve">). If yes,</w:t>
      </w:r>
      <w:r>
        <w:t xml:space="preserve"> </w:t>
      </w:r>
      <w:r>
        <w:t xml:space="preserve">add per-livestock-type rows via</w:t>
      </w:r>
      <w:r>
        <w:t xml:space="preserve"> </w:t>
      </w:r>
      <w:r>
        <w:rPr>
          <w:rStyle w:val="VerbatimChar"/>
        </w:rPr>
        <w:t xml:space="preserve">livestockDetailsForm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farmer_id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farmerCropsLivestock’s 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livestockType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FK → md16livestockType.code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numberOfMale</w:t>
            </w:r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numberOfFemale</w:t>
            </w:r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/>
        </w:tc>
      </w:tr>
    </w:tbl>
    <w:p>
      <w:pPr>
        <w:pStyle w:val="Heading3"/>
      </w:pPr>
      <w:bookmarkStart w:id="37" w:name="farmerincomeprograms"/>
      <w:r>
        <w:t xml:space="preserve">5.5 farmerIncomePrograms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mainSourceIncome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FK → md17incomeSource.code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averageAnnualIncome</w:t>
            </w:r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LSL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monthlyExpenditure</w:t>
            </w:r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LSL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gainfulEmployment</w:t>
            </w:r>
          </w:p>
        </w:tc>
        <w:tc>
          <w:p>
            <w:pPr>
              <w:pStyle w:val="Compact"/>
              <w:jc w:val="left"/>
            </w:pPr>
            <w:r>
              <w:t xml:space="preserve">radio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governmentEmployed</w:t>
            </w:r>
          </w:p>
        </w:tc>
        <w:tc>
          <w:p>
            <w:pPr>
              <w:pStyle w:val="Compact"/>
              <w:jc w:val="left"/>
            </w:pPr>
            <w:r>
              <w:t xml:space="preserve">radio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relativeSupport</w:t>
            </w:r>
          </w:p>
        </w:tc>
        <w:tc>
          <w:p>
            <w:pPr>
              <w:pStyle w:val="Compact"/>
              <w:jc w:val="left"/>
            </w:pPr>
            <w:r>
              <w:t xml:space="preserve">radio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everOnISP</w:t>
            </w:r>
          </w:p>
        </w:tc>
        <w:tc>
          <w:p>
            <w:pPr>
              <w:pStyle w:val="Compact"/>
              <w:jc w:val="left"/>
            </w:pPr>
            <w:r>
              <w:t xml:space="preserve">radio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Have you been on Input Subsidy Programme?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totalLoans12Months</w:t>
            </w:r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(…)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(~21 fields total)</w:t>
            </w:r>
          </w:p>
        </w:tc>
      </w:tr>
    </w:tbl>
    <w:p>
      <w:pPr>
        <w:pStyle w:val="Heading3"/>
      </w:pPr>
      <w:bookmarkStart w:id="38" w:name="farmerdeclaration"/>
      <w:r>
        <w:t xml:space="preserve">5.6 farmerDeclaration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declarationConsent</w:t>
            </w:r>
          </w:p>
        </w:tc>
        <w:tc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Must be checked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declarationFullName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Per NID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field13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Declaration date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registrationStation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registrationChannel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md18registrationChan.code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beneficiaryCode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Auto-generated</w:t>
            </w:r>
            <w:r>
              <w:t xml:space="preserve"> </w:t>
            </w:r>
            <w:r>
              <w:rPr>
                <w:rStyle w:val="VerbatimChar"/>
              </w:rPr>
              <w:t xml:space="preserve">BNF-...</w:t>
            </w:r>
            <w:r>
              <w:t xml:space="preserve"> </w:t>
            </w:r>
            <w:r>
              <w:t xml:space="preserve">if blank</w:t>
            </w:r>
          </w:p>
        </w:tc>
      </w:tr>
    </w:tbl>
    <w:p>
      <w:pPr>
        <w:pStyle w:val="Heading3"/>
      </w:pPr>
      <w:bookmarkStart w:id="39" w:name="parcelregistration-sub-forms"/>
      <w:r>
        <w:t xml:space="preserve">5.7 parcelRegistration + sub-forms</w:t>
      </w:r>
      <w:bookmarkEnd w:id="39"/>
    </w:p>
    <w:p>
      <w:pPr>
        <w:pStyle w:val="FirstParagraph"/>
      </w:pPr>
      <w:r>
        <w:t xml:space="preserve">Parcel records mirror the farmer pattern. Most data lives in</w:t>
      </w:r>
      <w:r>
        <w:t xml:space="preserve"> </w:t>
      </w:r>
      <w:r>
        <w:rPr>
          <w:rStyle w:val="VerbatimChar"/>
        </w:rPr>
        <w:t xml:space="preserve">parcelLocation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parcelGeometry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parcelLocation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parcelRegistration’s 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parcel_number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Auto-generated</w:t>
            </w:r>
            <w:r>
              <w:t xml:space="preserve"> </w:t>
            </w:r>
            <w:r>
              <w:rPr>
                <w:rStyle w:val="VerbatimChar"/>
              </w:rPr>
              <w:t xml:space="preserve">PC-...</w:t>
            </w:r>
            <w:r>
              <w:t xml:space="preserve"> </w:t>
            </w:r>
            <w:r>
              <w:t xml:space="preserve">if blank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district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FK → md03district.code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agroEcologicalZone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md04agroEcologicalZo.code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resource_centre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md37collectionPoint.code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village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Optional human-readable name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parcelGeometry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parcelRegistration’s 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area_hectares</w:t>
            </w:r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left"/>
            </w:pPr>
            <w:r>
              <w:t xml:space="preserve">Computed by GIS widget if drawn; supply directly for migration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perimeter_meters</w:t>
            </w:r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centroid_lat</w:t>
            </w:r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left"/>
            </w:pPr>
            <w:r>
              <w:t xml:space="preserve">Polygon centroid latitude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vertex_count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auto_center_lat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auto_center_lon</w:t>
            </w:r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left"/>
            </w:pPr>
            <w:r>
              <w:t xml:space="preserve">Default Lesotho coords if no polygon (use −29.6 / 28.2)</w:t>
            </w:r>
          </w:p>
        </w:tc>
      </w:tr>
    </w:tbl>
    <w:p>
      <w:pPr>
        <w:pStyle w:val="BodyText"/>
      </w:pPr>
      <w:r>
        <w:t xml:space="preserve">For a polygon, the actual GIS data goes into a separate</w:t>
      </w:r>
      <w:r>
        <w:t xml:space="preserve"> </w:t>
      </w:r>
      <w:r>
        <w:rPr>
          <w:rStyle w:val="VerbatimChar"/>
        </w:rPr>
        <w:t xml:space="preserve">gisPolygonCapture</w:t>
      </w:r>
      <w:r>
        <w:t xml:space="preserve"> </w:t>
      </w:r>
      <w:r>
        <w:t xml:space="preserve">widget — for migration you’ll typically populate</w:t>
      </w:r>
      <w:r>
        <w:t xml:space="preserve"> </w:t>
      </w:r>
      <w:r>
        <w:t xml:space="preserve">just the derived</w:t>
      </w:r>
      <w:r>
        <w:t xml:space="preserve"> </w:t>
      </w:r>
      <w:r>
        <w:rPr>
          <w:rStyle w:val="VerbatimChar"/>
        </w:rPr>
        <w:t xml:space="preserve">area_hectares</w:t>
      </w:r>
      <w:r>
        <w:t xml:space="preserve"> </w:t>
      </w:r>
      <w:r>
        <w:t xml:space="preserve">+ the centroid.</w:t>
      </w:r>
    </w:p>
    <w:p>
      <w:pPr>
        <w:pStyle w:val="BodyText"/>
      </w:pPr>
      <w:r>
        <w:rPr>
          <w:rStyle w:val="VerbatimChar"/>
        </w:rPr>
        <w:t xml:space="preserve">parcelClassification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cultivatedLand</w:t>
            </w:r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Hectares of cultivated portion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conservationAgricultureLand</w:t>
            </w:r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conservationPractices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FK → md10conservationPrac.code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conservationNote</w:t>
            </w:r>
          </w:p>
        </w:tc>
        <w:tc>
          <w:p>
            <w:pPr>
              <w:pStyle w:val="Compact"/>
              <w:jc w:val="left"/>
            </w:pPr>
            <w:r>
              <w:t xml:space="preserve">text (long)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parcelNotes</w:t>
            </w:r>
          </w:p>
        </w:tc>
        <w:tc>
          <w:p>
            <w:pPr>
              <w:pStyle w:val="Compact"/>
              <w:jc w:val="left"/>
            </w:pPr>
            <w:r>
              <w:t xml:space="preserve">text (long)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</w:tr>
    </w:tbl>
    <w:p>
      <w:pPr>
        <w:pStyle w:val="Heading2"/>
      </w:pPr>
      <w:bookmarkStart w:id="40" w:name="section-6-migration-order"/>
      <w:r>
        <w:t xml:space="preserve">Section 6 — Migration order</w:t>
      </w:r>
      <w:bookmarkEnd w:id="40"/>
    </w:p>
    <w:p>
      <w:pPr>
        <w:pStyle w:val="FirstParagraph"/>
      </w:pPr>
      <w:r>
        <w:t xml:space="preserve">The right order matters because of the FK references.</w:t>
      </w:r>
    </w:p>
    <w:p>
      <w:pPr>
        <w:pStyle w:val="Heading3"/>
      </w:pPr>
      <w:bookmarkStart w:id="41" w:name="X455d37cc00cc4bfa0237bb865e09c83fba46d9f"/>
      <w:r>
        <w:t xml:space="preserve">Step 1 — Inventory the master-data your pilot uses</w:t>
      </w:r>
      <w:bookmarkEnd w:id="41"/>
    </w:p>
    <w:p>
      <w:pPr>
        <w:pStyle w:val="FirstParagraph"/>
      </w:pPr>
      <w:r>
        <w:t xml:space="preserve">For each MDM-referenced field in your pilot data, verify every value</w:t>
      </w:r>
      <w:r>
        <w:t xml:space="preserve"> </w:t>
      </w:r>
      <w:r>
        <w:t xml:space="preserve">maps to an existing code in the portal’s master data.</w:t>
      </w:r>
    </w:p>
    <w:p>
      <w:pPr>
        <w:pStyle w:val="BodyText"/>
      </w:pPr>
      <w:r>
        <w:rPr>
          <w:b/>
        </w:rPr>
        <w:t xml:space="preserve">The portal exposes a dedicated MDM-list endpoint</w:t>
      </w:r>
      <w:r>
        <w:t xml:space="preserve"> </w:t>
      </w:r>
      <w:r>
        <w:t xml:space="preserve">(build-109+):</w:t>
      </w:r>
    </w:p>
    <w:p>
      <w:pPr>
        <w:pStyle w:val="SourceCode"/>
      </w:pPr>
      <w:r>
        <w:rPr>
          <w:rStyle w:val="VerbatimChar"/>
        </w:rPr>
        <w:t xml:space="preserve">GET /jw/api/regbb/mdm/list?formId=&lt;form&gt;</w:t>
      </w:r>
      <w:r>
        <w:br/>
      </w:r>
      <w:r>
        <w:rPr>
          <w:rStyle w:val="VerbatimChar"/>
        </w:rPr>
        <w:t xml:space="preserve">api_id:  API-168e3678-1f9a-46fc-8c19-d0d9a917eb73</w:t>
      </w:r>
      <w:r>
        <w:br/>
      </w:r>
      <w:r>
        <w:rPr>
          <w:rStyle w:val="VerbatimChar"/>
        </w:rPr>
        <w:t xml:space="preserve">api_key: &lt;your dedicated key&gt;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"api_id: API-168e3678-1f9a-46fc-8c19-d0d9a917eb73"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"api_key: &lt;KEY&gt;"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"http://&lt;host&gt;/jw/api/regbb/mdm/list?formId=md03district"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"md03district"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"tableName"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"app_fd_md03district"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"berea"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"Berea"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"butha-buthe"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"Butha-Buthe"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Pass any</w:t>
      </w:r>
      <w:r>
        <w:t xml:space="preserve"> </w:t>
      </w:r>
      <w:r>
        <w:rPr>
          <w:rStyle w:val="VerbatimChar"/>
        </w:rPr>
        <w:t xml:space="preserve">formId</w:t>
      </w:r>
      <w:r>
        <w:t xml:space="preserve"> </w:t>
      </w:r>
      <w:r>
        <w:t xml:space="preserve">that starts with</w:t>
      </w:r>
      <w:r>
        <w:t xml:space="preserve"> </w:t>
      </w:r>
      <w:r>
        <w:rPr>
          <w:rStyle w:val="VerbatimChar"/>
        </w:rPr>
        <w:t xml:space="preserve">md</w:t>
      </w:r>
      <w:r>
        <w:t xml:space="preserve"> </w:t>
      </w:r>
      <w:r>
        <w:t xml:space="preserve">(the endpoint is whitelisted to</w:t>
      </w:r>
      <w:r>
        <w:t xml:space="preserve"> </w:t>
      </w:r>
      <w:r>
        <w:t xml:space="preserve">master-data forms only — it won’t return application or transactional</w:t>
      </w:r>
      <w:r>
        <w:t xml:space="preserve"> </w:t>
      </w:r>
      <w:r>
        <w:t xml:space="preserve">data). The</w:t>
      </w:r>
      <w:r>
        <w:t xml:space="preserve"> </w:t>
      </w:r>
      <w:r>
        <w:rPr>
          <w:rStyle w:val="VerbatimChar"/>
        </w:rPr>
        <w:t xml:space="preserve">c_</w:t>
      </w:r>
      <w:r>
        <w:t xml:space="preserve"> </w:t>
      </w:r>
      <w:r>
        <w:t xml:space="preserve">column prefix is stripped in the output for clean</w:t>
      </w:r>
      <w:r>
        <w:t xml:space="preserve"> </w:t>
      </w:r>
      <w:r>
        <w:t xml:space="preserve">client-side handling.</w:t>
      </w:r>
    </w:p>
    <w:p>
      <w:pPr>
        <w:pStyle w:val="BodyText"/>
      </w:pPr>
      <w:r>
        <w:rPr>
          <w:b/>
        </w:rPr>
        <w:t xml:space="preserve">Why this dedicated endpoint?</w:t>
      </w:r>
      <w:r>
        <w:t xml:space="preserve"> </w:t>
      </w:r>
      <w:r>
        <w:t xml:space="preserve">Joget’s standard per-form</w:t>
      </w:r>
      <w:r>
        <w:t xml:space="preserve"> </w:t>
      </w:r>
      <w:r>
        <w:rPr>
          <w:rStyle w:val="VerbatimChar"/>
        </w:rPr>
        <w:t xml:space="preserve">/list</w:t>
      </w:r>
      <w:r>
        <w:t xml:space="preserve"> </w:t>
      </w:r>
      <w:r>
        <w:t xml:space="preserve">endpoint (e.g. </w:t>
      </w:r>
      <w:r>
        <w:rPr>
          <w:rStyle w:val="VerbatimChar"/>
        </w:rPr>
        <w:t xml:space="preserve">/jw/api/form/md03district/list</w:t>
      </w:r>
      <w:r>
        <w:t xml:space="preserve">) is enabled in the API</w:t>
      </w:r>
      <w:r>
        <w:t xml:space="preserve"> </w:t>
      </w:r>
      <w:r>
        <w:t xml:space="preserve">config but the underlying plugin (</w:t>
      </w:r>
      <w:r>
        <w:rPr>
          <w:rStyle w:val="VerbatimChar"/>
        </w:rPr>
        <w:t xml:space="preserve">AppFormAPI</w:t>
      </w:r>
      <w:r>
        <w:t xml:space="preserve">) doesn’t implement</w:t>
      </w:r>
      <w:r>
        <w:t xml:space="preserve"> </w:t>
      </w:r>
      <w:r>
        <w:t xml:space="preserve">listing — calls return</w:t>
      </w:r>
      <w:r>
        <w:t xml:space="preserve"> </w:t>
      </w:r>
      <w:r>
        <w:rPr>
          <w:rStyle w:val="VerbatimChar"/>
        </w:rPr>
        <w:t xml:space="preserve">{}</w:t>
      </w:r>
      <w:r>
        <w:t xml:space="preserve">. The dedicated</w:t>
      </w:r>
      <w:r>
        <w:t xml:space="preserve"> </w:t>
      </w:r>
      <w:r>
        <w:rPr>
          <w:rStyle w:val="VerbatimChar"/>
        </w:rPr>
        <w:t xml:space="preserve">/regbb/mdm/list</w:t>
      </w:r>
      <w:r>
        <w:t xml:space="preserve"> </w:t>
      </w:r>
      <w:r>
        <w:t xml:space="preserve">endpoint</w:t>
      </w:r>
      <w:r>
        <w:t xml:space="preserve"> </w:t>
      </w:r>
      <w:r>
        <w:t xml:space="preserve">fills that gap specifically for migration / integration use cases.</w:t>
      </w:r>
    </w:p>
    <w:p>
      <w:pPr>
        <w:pStyle w:val="BodyText"/>
      </w:pPr>
      <w:r>
        <w:rPr>
          <w:b/>
        </w:rPr>
        <w:t xml:space="preserve">Offline fallback: static CSVs.</w:t>
      </w:r>
      <w:r>
        <w:t xml:space="preserve"> </w:t>
      </w:r>
      <w:r>
        <w:t xml:space="preserve">A pre-exported snapshot of all</w:t>
      </w:r>
      <w:r>
        <w:t xml:space="preserve"> </w:t>
      </w:r>
      <w:r>
        <w:t xml:space="preserve">relevant master-data forms ships in</w:t>
      </w:r>
      <w:r>
        <w:t xml:space="preserve"> </w:t>
      </w:r>
      <w:r>
        <w:rPr>
          <w:rStyle w:val="VerbatimChar"/>
        </w:rPr>
        <w:t xml:space="preserve">mdm_reference/</w:t>
      </w:r>
      <w:r>
        <w:t xml:space="preserve"> </w:t>
      </w:r>
      <w:r>
        <w:t xml:space="preserve">next to this</w:t>
      </w:r>
      <w:r>
        <w:t xml:space="preserve"> </w:t>
      </w:r>
      <w:r>
        <w:t xml:space="preserve">guide, in case you need to validate offline (e.g. while developing</w:t>
      </w:r>
      <w:r>
        <w:t xml:space="preserve"> </w:t>
      </w:r>
      <w:r>
        <w:t xml:space="preserve">your migration script before the portal is reachable).</w:t>
      </w:r>
    </w:p>
    <w:p>
      <w:pPr>
        <w:pStyle w:val="SourceCode"/>
      </w:pPr>
      <w:r>
        <w:rPr>
          <w:rStyle w:val="VerbatimChar"/>
        </w:rPr>
        <w:t xml:space="preserve">mdm_reference/</w:t>
      </w:r>
      <w:r>
        <w:br/>
      </w:r>
      <w:r>
        <w:rPr>
          <w:rStyle w:val="VerbatimChar"/>
        </w:rPr>
        <w:t xml:space="preserve">  districts.csv               (10 rows)</w:t>
      </w:r>
      <w:r>
        <w:br/>
      </w:r>
      <w:r>
        <w:rPr>
          <w:rStyle w:val="VerbatimChar"/>
        </w:rPr>
        <w:t xml:space="preserve">  agro_zones.csv              (4 rows)</w:t>
      </w:r>
      <w:r>
        <w:br/>
      </w:r>
      <w:r>
        <w:rPr>
          <w:rStyle w:val="VerbatimChar"/>
        </w:rPr>
        <w:t xml:space="preserve">  resource_centres.csv        (70 rows — code, name, district_code)</w:t>
      </w:r>
      <w:r>
        <w:br/>
      </w:r>
      <w:r>
        <w:rPr>
          <w:rStyle w:val="VerbatimChar"/>
        </w:rPr>
        <w:t xml:space="preserve">  marital_status.csv</w:t>
      </w:r>
      <w:r>
        <w:br/>
      </w:r>
      <w:r>
        <w:rPr>
          <w:rStyle w:val="VerbatimChar"/>
        </w:rPr>
        <w:t xml:space="preserve">  languages.csv</w:t>
      </w:r>
      <w:r>
        <w:br/>
      </w:r>
      <w:r>
        <w:rPr>
          <w:rStyle w:val="VerbatimChar"/>
        </w:rPr>
        <w:t xml:space="preserve">  residency_types.csv</w:t>
      </w:r>
      <w:r>
        <w:br/>
      </w:r>
      <w:r>
        <w:rPr>
          <w:rStyle w:val="VerbatimChar"/>
        </w:rPr>
        <w:t xml:space="preserve">  relationships.csv</w:t>
      </w:r>
      <w:r>
        <w:br/>
      </w:r>
      <w:r>
        <w:rPr>
          <w:rStyle w:val="VerbatimChar"/>
        </w:rPr>
        <w:t xml:space="preserve">  livestock_types.csv</w:t>
      </w:r>
      <w:r>
        <w:br/>
      </w:r>
      <w:r>
        <w:rPr>
          <w:rStyle w:val="VerbatimChar"/>
        </w:rPr>
        <w:t xml:space="preserve">  income_sources.csv</w:t>
      </w:r>
      <w:r>
        <w:br/>
      </w:r>
      <w:r>
        <w:rPr>
          <w:rStyle w:val="VerbatimChar"/>
        </w:rPr>
        <w:t xml:space="preserve">  conservation_practices.csv</w:t>
      </w:r>
      <w:r>
        <w:br/>
      </w:r>
      <w:r>
        <w:rPr>
          <w:rStyle w:val="VerbatimChar"/>
        </w:rPr>
        <w:t xml:space="preserve">  ... (15 files total)</w:t>
      </w:r>
    </w:p>
    <w:p>
      <w:pPr>
        <w:pStyle w:val="FirstParagraph"/>
      </w:pPr>
      <w:r>
        <w:t xml:space="preserve">Open these CSVs as your authoritative reference. For example, valid</w:t>
      </w:r>
      <w:r>
        <w:t xml:space="preserve"> </w:t>
      </w:r>
      <w:r>
        <w:t xml:space="preserve">districts:</w:t>
      </w:r>
    </w:p>
    <w:p>
      <w:pPr>
        <w:pStyle w:val="SourceCode"/>
      </w:pPr>
      <w:r>
        <w:rPr>
          <w:rStyle w:val="VerbatimChar"/>
        </w:rPr>
        <w:t xml:space="preserve">code,name</w:t>
      </w:r>
      <w:r>
        <w:br/>
      </w:r>
      <w:r>
        <w:rPr>
          <w:rStyle w:val="VerbatimChar"/>
        </w:rPr>
        <w:t xml:space="preserve">berea,Berea</w:t>
      </w:r>
      <w:r>
        <w:br/>
      </w:r>
      <w:r>
        <w:rPr>
          <w:rStyle w:val="VerbatimChar"/>
        </w:rPr>
        <w:t xml:space="preserve">butha-buthe,Butha-Buthe</w:t>
      </w:r>
      <w:r>
        <w:br/>
      </w:r>
      <w:r>
        <w:rPr>
          <w:rStyle w:val="VerbatimChar"/>
        </w:rPr>
        <w:t xml:space="preserve">leribe,Leribe</w:t>
      </w:r>
      <w:r>
        <w:br/>
      </w:r>
      <w:r>
        <w:rPr>
          <w:rStyle w:val="VerbatimChar"/>
        </w:rPr>
        <w:t xml:space="preserve">mafeteng,Mafeteng</w:t>
      </w:r>
      <w:r>
        <w:br/>
      </w:r>
      <w:r>
        <w:rPr>
          <w:rStyle w:val="VerbatimChar"/>
        </w:rPr>
        <w:t xml:space="preserve">maseru,Maseru</w:t>
      </w:r>
      <w:r>
        <w:br/>
      </w:r>
      <w:r>
        <w:rPr>
          <w:rStyle w:val="VerbatimChar"/>
        </w:rPr>
        <w:t xml:space="preserve">mohales-hoek,Mohale's Hoek</w:t>
      </w:r>
      <w:r>
        <w:br/>
      </w:r>
      <w:r>
        <w:rPr>
          <w:rStyle w:val="VerbatimChar"/>
        </w:rPr>
        <w:t xml:space="preserve">mokhotlong,Mokhotlong</w:t>
      </w:r>
      <w:r>
        <w:br/>
      </w:r>
      <w:r>
        <w:rPr>
          <w:rStyle w:val="VerbatimChar"/>
        </w:rPr>
        <w:t xml:space="preserve">qachas-nek,Qacha's Nek</w:t>
      </w:r>
      <w:r>
        <w:br/>
      </w:r>
      <w:r>
        <w:rPr>
          <w:rStyle w:val="VerbatimChar"/>
        </w:rPr>
        <w:t xml:space="preserve">quthing,Quthing</w:t>
      </w:r>
      <w:r>
        <w:br/>
      </w:r>
      <w:r>
        <w:rPr>
          <w:rStyle w:val="VerbatimChar"/>
        </w:rPr>
        <w:t xml:space="preserve">thaba-tseka,Thaba-Tseka</w:t>
      </w:r>
    </w:p>
    <w:p>
      <w:pPr>
        <w:pStyle w:val="FirstParagraph"/>
      </w:pPr>
      <w:r>
        <w:t xml:space="preserve">Note the convention: lower-case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 hyphen-separated.</w:t>
      </w:r>
      <w:r>
        <w:t xml:space="preserve"> </w:t>
      </w:r>
      <w:r>
        <w:rPr>
          <w:rStyle w:val="VerbatimChar"/>
        </w:rPr>
        <w:t xml:space="preserve">Maseru</w:t>
      </w:r>
      <w:r>
        <w:t xml:space="preserve"> </w:t>
      </w:r>
      <w:r>
        <w:t xml:space="preserve">(capital M) won’t match.</w:t>
      </w:r>
      <w:r>
        <w:t xml:space="preserve"> </w:t>
      </w:r>
      <w:r>
        <w:rPr>
          <w:rStyle w:val="VerbatimChar"/>
        </w:rPr>
        <w:t xml:space="preserve">thaba_tseka</w:t>
      </w:r>
      <w:r>
        <w:t xml:space="preserve"> </w:t>
      </w:r>
      <w:r>
        <w:t xml:space="preserve">(underscore) won’t match.</w:t>
      </w:r>
      <w:r>
        <w:t xml:space="preserve"> </w:t>
      </w:r>
      <w:r>
        <w:rPr>
          <w:rStyle w:val="VerbatimChar"/>
        </w:rPr>
        <w:t xml:space="preserve">thaba-tseka</w:t>
      </w:r>
      <w:r>
        <w:t xml:space="preserve"> </w:t>
      </w:r>
      <w:r>
        <w:t xml:space="preserve">(hyphen, lowercase) is correct.</w:t>
      </w:r>
    </w:p>
    <w:p>
      <w:pPr>
        <w:pStyle w:val="BodyText"/>
      </w:pPr>
      <w:r>
        <w:t xml:space="preserve">For each pilot data column that maps to an MDM code, build a translation</w:t>
      </w:r>
      <w:r>
        <w:t xml:space="preserve"> </w:t>
      </w:r>
      <w:r>
        <w:t xml:space="preserve">table: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pilot_value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portal_code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Maseru</w:t>
            </w:r>
          </w:p>
        </w:tc>
        <w:tc>
          <w:p>
            <w:pPr>
              <w:pStyle w:val="Compact"/>
              <w:jc w:val="left"/>
            </w:pPr>
            <w:r>
              <w:t xml:space="preserve">maseru</w:t>
            </w:r>
          </w:p>
        </w:tc>
        <w:tc>
          <w:p>
            <w:pPr>
              <w:pStyle w:val="Compact"/>
              <w:jc w:val="left"/>
            </w:pPr>
            <w:r>
              <w:t xml:space="preserve">normalise to lowercase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Maseru District</w:t>
            </w:r>
          </w:p>
        </w:tc>
        <w:tc>
          <w:p>
            <w:pPr>
              <w:pStyle w:val="Compact"/>
              <w:jc w:val="left"/>
            </w:pPr>
            <w:r>
              <w:t xml:space="preserve">maseru</w:t>
            </w:r>
          </w:p>
        </w:tc>
        <w:tc>
          <w:p>
            <w:pPr>
              <w:pStyle w:val="Compact"/>
              <w:jc w:val="left"/>
            </w:pPr>
            <w:r>
              <w:t xml:space="preserve">strip suffix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Mafetenq</w:t>
            </w:r>
          </w:p>
        </w:tc>
        <w:tc>
          <w:p>
            <w:pPr>
              <w:pStyle w:val="Compact"/>
              <w:jc w:val="left"/>
            </w:pPr>
            <w:r>
              <w:t xml:space="preserve">mafeteng</w:t>
            </w:r>
          </w:p>
        </w:tc>
        <w:tc>
          <w:p>
            <w:pPr>
              <w:pStyle w:val="Compact"/>
              <w:jc w:val="left"/>
            </w:pPr>
            <w:r>
              <w:t xml:space="preserve">typo in pilot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Thaba_Tseka</w:t>
            </w:r>
          </w:p>
        </w:tc>
        <w:tc>
          <w:p>
            <w:pPr>
              <w:pStyle w:val="Compact"/>
              <w:jc w:val="left"/>
            </w:pPr>
            <w:r>
              <w:t xml:space="preserve">thaba-tseka</w:t>
            </w:r>
          </w:p>
        </w:tc>
        <w:tc>
          <w:p>
            <w:pPr>
              <w:pStyle w:val="Compact"/>
              <w:jc w:val="left"/>
            </w:pPr>
            <w:r>
              <w:t xml:space="preserve">underscore → hyphen, lowercase</w:t>
            </w:r>
          </w:p>
        </w:tc>
      </w:tr>
    </w:tbl>
    <w:p>
      <w:pPr>
        <w:pStyle w:val="BodyText"/>
      </w:pPr>
      <w:r>
        <w:t xml:space="preserve">If your pilot has values that don’t map even after normalisation (e.g.</w:t>
      </w:r>
      <w:r>
        <w:t xml:space="preserve"> </w:t>
      </w:r>
      <w:r>
        <w:t xml:space="preserve">a centre that doesn’t exist in</w:t>
      </w:r>
      <w:r>
        <w:t xml:space="preserve"> </w:t>
      </w:r>
      <w:r>
        <w:rPr>
          <w:rStyle w:val="VerbatimChar"/>
        </w:rPr>
        <w:t xml:space="preserve">resource_centres.csv</w:t>
      </w:r>
      <w:r>
        <w:t xml:space="preserve">),</w:t>
      </w:r>
      <w:r>
        <w:t xml:space="preserve"> </w:t>
      </w:r>
      <w:r>
        <w:rPr>
          <w:b/>
        </w:rPr>
        <w:t xml:space="preserve">stop and ask</w:t>
      </w:r>
      <w:r>
        <w:rPr>
          <w:b/>
        </w:rPr>
        <w:t xml:space="preserve"> </w:t>
      </w:r>
      <w:r>
        <w:rPr>
          <w:b/>
        </w:rPr>
        <w:t xml:space="preserve">MAFSN ICT</w:t>
      </w:r>
      <w:r>
        <w:t xml:space="preserve"> </w:t>
      </w:r>
      <w:r>
        <w:t xml:space="preserve">— the master data should be authored before migration runs,</w:t>
      </w:r>
      <w:r>
        <w:t xml:space="preserve"> </w:t>
      </w:r>
      <w:r>
        <w:t xml:space="preserve">not during. The migration tool isn’t authorised to expand MDM.</w:t>
      </w:r>
    </w:p>
    <w:p>
      <w:pPr>
        <w:pStyle w:val="BodyText"/>
      </w:pPr>
      <w:r>
        <w:rPr>
          <w:b/>
        </w:rPr>
        <w:t xml:space="preserve">Refresh cadence.</w:t>
      </w:r>
      <w:r>
        <w:t xml:space="preserve"> </w:t>
      </w:r>
      <w:r>
        <w:t xml:space="preserve">Whenever MAFSN updates master data, the CSVs in</w:t>
      </w:r>
      <w:r>
        <w:t xml:space="preserve"> </w:t>
      </w:r>
      <w:r>
        <w:rPr>
          <w:rStyle w:val="VerbatimChar"/>
        </w:rPr>
        <w:t xml:space="preserve">mdm_reference/</w:t>
      </w:r>
      <w:r>
        <w:t xml:space="preserve"> </w:t>
      </w:r>
      <w:r>
        <w:t xml:space="preserve">go stale. If your migration is more than ~2 weeks old</w:t>
      </w:r>
      <w:r>
        <w:t xml:space="preserve"> </w:t>
      </w:r>
      <w:r>
        <w:t xml:space="preserve">relative to the CSV snapshot date, ask MAFSN ICT for a fresh export</w:t>
      </w:r>
      <w:r>
        <w:t xml:space="preserve"> </w:t>
      </w:r>
      <w:r>
        <w:t xml:space="preserve">(they can re-run the SQL</w:t>
      </w:r>
      <w:r>
        <w:t xml:space="preserve"> </w:t>
      </w:r>
      <w:r>
        <w:rPr>
          <w:rStyle w:val="VerbatimChar"/>
        </w:rPr>
        <w:t xml:space="preserve">SELECT c_code, c_name FROM app_fd_md*</w:t>
      </w:r>
      <w:r>
        <w:t xml:space="preserve"> </w:t>
      </w:r>
      <w:r>
        <w:t xml:space="preserve">for</w:t>
      </w:r>
      <w:r>
        <w:t xml:space="preserve"> </w:t>
      </w:r>
      <w:r>
        <w:t xml:space="preserve">each form and post the new CSV).</w:t>
      </w:r>
    </w:p>
    <w:p>
      <w:pPr>
        <w:pStyle w:val="BodyText"/>
      </w:pPr>
      <w:r>
        <w:t xml:space="preserve">The included</w:t>
      </w:r>
      <w:r>
        <w:t xml:space="preserve"> </w:t>
      </w:r>
      <w:r>
        <w:rPr>
          <w:rStyle w:val="VerbatimChar"/>
        </w:rPr>
        <w:t xml:space="preserve">sample_migration.py</w:t>
      </w:r>
      <w:r>
        <w:t xml:space="preserve"> </w:t>
      </w:r>
      <w:r>
        <w:t xml:space="preserve">script reads these CSVs as its</w:t>
      </w:r>
      <w:r>
        <w:t xml:space="preserve"> </w:t>
      </w:r>
      <w:r>
        <w:t xml:space="preserve">master-data source — see Section 7 for how it uses them.</w:t>
      </w:r>
    </w:p>
    <w:p>
      <w:pPr>
        <w:pStyle w:val="Heading3"/>
      </w:pPr>
      <w:bookmarkStart w:id="42" w:name="step-2-create-farmer-records"/>
      <w:r>
        <w:t xml:space="preserve">Step 2 — Create farmer records</w:t>
      </w:r>
      <w:bookmarkEnd w:id="42"/>
    </w:p>
    <w:p>
      <w:pPr>
        <w:pStyle w:val="FirstParagraph"/>
      </w:pPr>
      <w:r>
        <w:t xml:space="preserve">Order: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farmerBasicInfo</w:t>
      </w:r>
      <w:r>
        <w:t xml:space="preserve"> </w:t>
      </w:r>
      <w:r>
        <w:t xml:space="preserve">— gets you a UUID per farmer (call this</w:t>
      </w:r>
      <w:r>
        <w:t xml:space="preserve"> </w:t>
      </w:r>
      <w:r>
        <w:rPr>
          <w:rStyle w:val="VerbatimChar"/>
        </w:rPr>
        <w:t xml:space="preserve">FBI_UUID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farmerResidency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parent_id = FBI_UUID</w:t>
      </w:r>
      <w:r>
        <w:t xml:space="preserve"> </w:t>
      </w:r>
      <w:r>
        <w:t xml:space="preserve">(or skip parent_id)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farmerHousehold</w:t>
      </w:r>
      <w:r>
        <w:t xml:space="preserve"> </w:t>
      </w:r>
      <w:r>
        <w:t xml:space="preserve">if you have household data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householdMemberForm</w:t>
      </w:r>
      <w:r>
        <w:t xml:space="preserve"> </w:t>
      </w:r>
      <w:r>
        <w:t xml:space="preserve">rows (one per household member, with</w:t>
      </w:r>
      <w:r>
        <w:t xml:space="preserve"> </w:t>
      </w:r>
      <w:r>
        <w:rPr>
          <w:rStyle w:val="VerbatimChar"/>
        </w:rPr>
        <w:t xml:space="preserve">farmer_id</w:t>
      </w:r>
      <w:r>
        <w:t xml:space="preserve"> </w:t>
      </w:r>
      <w:r>
        <w:t xml:space="preserve">pointing at the farmerHousehold’s UUID)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farmerCropsLivestock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livestockDetailsForm</w:t>
      </w:r>
      <w:r>
        <w:t xml:space="preserve"> </w:t>
      </w:r>
      <w:r>
        <w:t xml:space="preserve">rows (same pattern)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farmerIncomePrograms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farmerDeclaration</w:t>
      </w:r>
    </w:p>
    <w:p>
      <w:pPr>
        <w:pStyle w:val="FirstParagraph"/>
      </w:pPr>
      <w:r>
        <w:t xml:space="preserve">You can stop at step 1 (just farmerBasicInfo) for a minimal migration —</w:t>
      </w:r>
      <w:r>
        <w:t xml:space="preserve"> </w:t>
      </w:r>
      <w:r>
        <w:t xml:space="preserve">the rest are optional sub-forms. The system will tolerate gaps.</w:t>
      </w:r>
    </w:p>
    <w:p>
      <w:pPr>
        <w:pStyle w:val="Heading3"/>
      </w:pPr>
      <w:bookmarkStart w:id="43" w:name="step-3-create-parcel-records"/>
      <w:r>
        <w:t xml:space="preserve">Step 3 — Create parcel records</w:t>
      </w:r>
      <w:bookmarkEnd w:id="43"/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parcelRegistration</w:t>
      </w:r>
      <w:r>
        <w:t xml:space="preserve"> </w:t>
      </w:r>
      <w:r>
        <w:t xml:space="preserve">— gets you a UUID (</w:t>
      </w:r>
      <w:r>
        <w:rPr>
          <w:rStyle w:val="VerbatimChar"/>
        </w:rPr>
        <w:t xml:space="preserve">PR_UUID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parcelLocation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parent_id = PR_UUID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parcelGeometry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parent_id = PR_UUID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parcelClassification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parent_id = PR_UUID</w:t>
      </w:r>
    </w:p>
    <w:p>
      <w:pPr>
        <w:pStyle w:val="FirstParagraph"/>
      </w:pPr>
      <w:r>
        <w:t xml:space="preserve">To link the parcel to its farmer, your pilot data should carry the</w:t>
      </w:r>
      <w:r>
        <w:t xml:space="preserve"> </w:t>
      </w:r>
      <w:r>
        <w:t xml:space="preserve">farmer’s NID or some other identifier on each parcel. Map that to the</w:t>
      </w:r>
      <w:r>
        <w:t xml:space="preserve"> </w:t>
      </w:r>
      <w:r>
        <w:rPr>
          <w:rStyle w:val="VerbatimChar"/>
        </w:rPr>
        <w:t xml:space="preserve">farmerBasicInfo</w:t>
      </w:r>
      <w:r>
        <w:t xml:space="preserve"> </w:t>
      </w:r>
      <w:r>
        <w:t xml:space="preserve">UUID and persist it on the parcel via the</w:t>
      </w:r>
      <w:r>
        <w:t xml:space="preserve"> </w:t>
      </w:r>
      <w:r>
        <w:rPr>
          <w:rStyle w:val="VerbatimChar"/>
        </w:rPr>
        <w:t xml:space="preserve">parcelLocation.parent_id</w:t>
      </w:r>
      <w:r>
        <w:t xml:space="preserve"> </w:t>
      </w:r>
      <w:r>
        <w:t xml:space="preserve">(if you choose to use the wizard parent</w:t>
      </w:r>
      <w:r>
        <w:t xml:space="preserve"> </w:t>
      </w:r>
      <w:r>
        <w:t xml:space="preserve">chain) or via a custom mapping table you maintain.</w:t>
      </w:r>
    </w:p>
    <w:p>
      <w:pPr>
        <w:pStyle w:val="Heading3"/>
      </w:pPr>
      <w:bookmarkStart w:id="44" w:name="step-4-verify"/>
      <w:r>
        <w:t xml:space="preserve">Step 4 — Verify</w:t>
      </w:r>
      <w:bookmarkEnd w:id="44"/>
    </w:p>
    <w:p>
      <w:pPr>
        <w:pStyle w:val="FirstParagraph"/>
      </w:pPr>
      <w:r>
        <w:t xml:space="preserve">Spot-check 5–10 records by reading them back through the API and</w:t>
      </w:r>
      <w:r>
        <w:t xml:space="preserve"> </w:t>
      </w:r>
      <w:r>
        <w:t xml:space="preserve">comparing to the pilot source.</w:t>
      </w:r>
    </w:p>
    <w:p>
      <w:pPr>
        <w:pStyle w:val="SourceCode"/>
      </w:pPr>
      <w:r>
        <w:rPr>
          <w:rStyle w:val="CommentTok"/>
        </w:rPr>
        <w:t xml:space="preserve"># Read by NID — there's no native get-by-NID, so use the list endpoint: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"api_id: API-a7735b09-..."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"api_key: ..."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"http://&lt;host&gt;/jw/api/form/farmerBasicInfo/list?national_id=066257236627"</w:t>
      </w:r>
    </w:p>
    <w:p>
      <w:pPr>
        <w:pStyle w:val="Heading3"/>
      </w:pPr>
      <w:bookmarkStart w:id="45" w:name="step-5-validate-aggregate-counts"/>
      <w:r>
        <w:t xml:space="preserve">Step 5 — Validate aggregate counts</w:t>
      </w:r>
      <w:bookmarkEnd w:id="45"/>
    </w:p>
    <w:p>
      <w:pPr>
        <w:pStyle w:val="FirstParagraph"/>
      </w:pPr>
      <w:r>
        <w:t xml:space="preserve">Compare the count of rows in your source vs the count returned by the</w:t>
      </w:r>
      <w:r>
        <w:t xml:space="preserve"> </w:t>
      </w:r>
      <w:r>
        <w:t xml:space="preserve">portal’s APIs. If they don’t match, find the missing records (they</w:t>
      </w:r>
      <w:r>
        <w:t xml:space="preserve"> </w:t>
      </w:r>
      <w:r>
        <w:t xml:space="preserve">likely failed validation; check the migration log).</w:t>
      </w:r>
    </w:p>
    <w:p>
      <w:pPr>
        <w:pStyle w:val="Heading2"/>
      </w:pPr>
      <w:bookmarkStart w:id="46" w:name="section-7-sample-python-migration-script"/>
      <w:r>
        <w:t xml:space="preserve">Section 7 — Sample Python migration script</w:t>
      </w:r>
      <w:bookmarkEnd w:id="46"/>
    </w:p>
    <w:p>
      <w:pPr>
        <w:pStyle w:val="FirstParagraph"/>
      </w:pPr>
      <w:r>
        <w:t xml:space="preserve">A minimal end-to-end migration script lives at</w:t>
      </w:r>
      <w:r>
        <w:t xml:space="preserve"> </w:t>
      </w:r>
      <w:r>
        <w:rPr>
          <w:rStyle w:val="VerbatimChar"/>
        </w:rPr>
        <w:t xml:space="preserve">_07_Implementation_Guides/sample_migration.py</w:t>
      </w:r>
      <w:r>
        <w:t xml:space="preserve">. The structure: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csv, json, urllib.request</w:t>
      </w:r>
      <w:r>
        <w:br/>
      </w:r>
      <w:r>
        <w:br/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"http://20.87.213.78:8080/jw"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or your environment's URL</w:t>
      </w:r>
      <w:r>
        <w:br/>
      </w:r>
      <w:r>
        <w:rPr>
          <w:rStyle w:val="NormalTok"/>
        </w:rPr>
        <w:t xml:space="preserve">KEY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"a5af1181f77b4a62b481725b6410e965"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ASK FOR YOUR DEDICATED KEY</w:t>
      </w:r>
      <w:r>
        <w:br/>
      </w:r>
      <w:r>
        <w:br/>
      </w:r>
      <w:r>
        <w:rPr>
          <w:rStyle w:val="NormalTok"/>
        </w:rPr>
        <w:t xml:space="preserve">API_FBI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"API-a7735b09-36be-453d-a385-cdff0c3df7b0"</w:t>
      </w:r>
      <w:r>
        <w:br/>
      </w:r>
      <w:r>
        <w:rPr>
          <w:rStyle w:val="NormalTok"/>
        </w:rPr>
        <w:t xml:space="preserve">API_RES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"API-30dcfc48-44bf-4aaf-95df-8370590be7b4"</w:t>
      </w:r>
      <w:r>
        <w:br/>
      </w:r>
      <w:r>
        <w:rPr>
          <w:rStyle w:val="NormalTok"/>
        </w:rPr>
        <w:t xml:space="preserve">API_DISTR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"API-d793713e-5b0d-4a51-b1d0-4f92bfc76022"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post(form_id, body, api_id):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/api/form/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form_id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urllib.request.Request(url,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json.dumps(body).encode(),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"api_id"</w:t>
      </w:r>
      <w:r>
        <w:rPr>
          <w:rStyle w:val="NormalTok"/>
        </w:rPr>
        <w:t xml:space="preserve">:api_id, </w:t>
      </w:r>
      <w:r>
        <w:rPr>
          <w:rStyle w:val="StringTok"/>
        </w:rPr>
        <w:t xml:space="preserve">"api_key"</w:t>
      </w:r>
      <w:r>
        <w:rPr>
          <w:rStyle w:val="NormalTok"/>
        </w:rPr>
        <w:t xml:space="preserve">:KEY})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urllib.request.urlopen(req,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json.loads(r.read())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get_list(form_id, api_id):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/api/form/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form_id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/list"</w:t>
      </w:r>
      <w:r>
        <w:br/>
      </w:r>
      <w:r>
        <w:rPr>
          <w:rStyle w:val="NormalTok"/>
        </w:rPr>
        <w:t xml:space="preserve">   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urllib.request.Request(url,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"api_id"</w:t>
      </w:r>
      <w:r>
        <w:rPr>
          <w:rStyle w:val="NormalTok"/>
        </w:rPr>
        <w:t xml:space="preserve">:api_id, </w:t>
      </w:r>
      <w:r>
        <w:rPr>
          <w:rStyle w:val="StringTok"/>
        </w:rPr>
        <w:t xml:space="preserve">"api_key"</w:t>
      </w:r>
      <w:r>
        <w:rPr>
          <w:rStyle w:val="NormalTok"/>
        </w:rPr>
        <w:t xml:space="preserve">:KEY})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urllib.request.urlopen(req,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json.loads(r.read())</w:t>
      </w:r>
      <w:r>
        <w:br/>
      </w:r>
      <w:r>
        <w:br/>
      </w:r>
      <w:r>
        <w:rPr>
          <w:rStyle w:val="CommentTok"/>
        </w:rPr>
        <w:t xml:space="preserve"># 1. Read MDM lookups so we can validate codes</w:t>
      </w:r>
      <w:r>
        <w:br/>
      </w:r>
      <w:r>
        <w:rPr>
          <w:rStyle w:val="NormalTok"/>
        </w:rPr>
        <w:t xml:space="preserve">districts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{d[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]: d[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get_list(</w:t>
      </w:r>
      <w:r>
        <w:rPr>
          <w:rStyle w:val="StringTok"/>
        </w:rPr>
        <w:t xml:space="preserve">"md03district"</w:t>
      </w:r>
      <w:r>
        <w:rPr>
          <w:rStyle w:val="NormalTok"/>
        </w:rPr>
        <w:t xml:space="preserve">, API_DISTR)}</w:t>
      </w:r>
      <w:r>
        <w:br/>
      </w:r>
      <w:r>
        <w:br/>
      </w:r>
      <w:r>
        <w:rPr>
          <w:rStyle w:val="CommentTok"/>
        </w:rPr>
        <w:t xml:space="preserve"># 2. Walk the pilot CSV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"pilot_farmers.csv"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csv.DictReader(f):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Validate district maps to an existing code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"district"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districts: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f"SKIP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'national_id'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unknown district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'district'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the basic info record</w:t>
      </w:r>
      <w:r>
        <w:br/>
      </w:r>
      <w:r>
        <w:rPr>
          <w:rStyle w:val="NormalTok"/>
        </w:rPr>
        <w:t xml:space="preserve">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"national_id"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"national_id"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"first_name"</w:t>
      </w:r>
      <w:r>
        <w:rPr>
          <w:rStyle w:val="NormalTok"/>
        </w:rPr>
        <w:t xml:space="preserve">:  row[</w:t>
      </w:r>
      <w:r>
        <w:rPr>
          <w:rStyle w:val="StringTok"/>
        </w:rPr>
        <w:t xml:space="preserve">"first_name"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"last_name"</w:t>
      </w:r>
      <w:r>
        <w:rPr>
          <w:rStyle w:val="NormalTok"/>
        </w:rPr>
        <w:t xml:space="preserve">:   row[</w:t>
      </w:r>
      <w:r>
        <w:rPr>
          <w:rStyle w:val="StringTok"/>
        </w:rPr>
        <w:t xml:space="preserve">"last_name"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:      row[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].lower(),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"date_of_birth"</w:t>
      </w:r>
      <w:r>
        <w:rPr>
          <w:rStyle w:val="NormalTok"/>
        </w:rPr>
        <w:t xml:space="preserve">: row.get(</w:t>
      </w:r>
      <w:r>
        <w:rPr>
          <w:rStyle w:val="StringTok"/>
        </w:rPr>
        <w:t xml:space="preserve">"dob"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"mobile_number"</w:t>
      </w:r>
      <w:r>
        <w:rPr>
          <w:rStyle w:val="NormalTok"/>
        </w:rPr>
        <w:t xml:space="preserve">: row.get(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post(</w:t>
      </w:r>
      <w:r>
        <w:rPr>
          <w:rStyle w:val="StringTok"/>
        </w:rPr>
        <w:t xml:space="preserve">"farmerBasicInfo"</w:t>
      </w:r>
      <w:r>
        <w:rPr>
          <w:rStyle w:val="NormalTok"/>
        </w:rPr>
        <w:t xml:space="preserve">, body, API_FBI)</w:t>
      </w:r>
      <w:r>
        <w:br/>
      </w:r>
      <w:r>
        <w:rPr>
          <w:rStyle w:val="NormalTok"/>
        </w:rPr>
        <w:t xml:space="preserve">        farmer_id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f"OK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'national_id'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farmer_id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residency</w:t>
      </w:r>
      <w:r>
        <w:br/>
      </w:r>
      <w:r>
        <w:rPr>
          <w:rStyle w:val="NormalTok"/>
        </w:rPr>
        <w:t xml:space="preserve">        residency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"parent_id"</w:t>
      </w:r>
      <w:r>
        <w:rPr>
          <w:rStyle w:val="NormalTok"/>
        </w:rPr>
        <w:t xml:space="preserve">:  farmer_id,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"district"</w:t>
      </w:r>
      <w:r>
        <w:rPr>
          <w:rStyle w:val="NormalTok"/>
        </w:rPr>
        <w:t xml:space="preserve">:   row[</w:t>
      </w:r>
      <w:r>
        <w:rPr>
          <w:rStyle w:val="StringTok"/>
        </w:rPr>
        <w:t xml:space="preserve">"district"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"village"</w:t>
      </w:r>
      <w:r>
        <w:rPr>
          <w:rStyle w:val="NormalTok"/>
        </w:rPr>
        <w:t xml:space="preserve">:    row[</w:t>
      </w:r>
      <w:r>
        <w:rPr>
          <w:rStyle w:val="StringTok"/>
        </w:rPr>
        <w:t xml:space="preserve">"village"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"gpsLatitude"</w:t>
      </w:r>
      <w:r>
        <w:rPr>
          <w:rStyle w:val="NormalTok"/>
        </w:rPr>
        <w:t xml:space="preserve">:  row.get(</w:t>
      </w:r>
      <w:r>
        <w:rPr>
          <w:rStyle w:val="StringTok"/>
        </w:rPr>
        <w:t xml:space="preserve">"lat"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"gpsLongitude"</w:t>
      </w:r>
      <w:r>
        <w:rPr>
          <w:rStyle w:val="NormalTok"/>
        </w:rPr>
        <w:t xml:space="preserve">: row.get(</w:t>
      </w:r>
      <w:r>
        <w:rPr>
          <w:rStyle w:val="StringTok"/>
        </w:rPr>
        <w:t xml:space="preserve">"lon"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post(</w:t>
      </w:r>
      <w:r>
        <w:rPr>
          <w:rStyle w:val="StringTok"/>
        </w:rPr>
        <w:t xml:space="preserve">"farmerResidency"</w:t>
      </w:r>
      <w:r>
        <w:rPr>
          <w:rStyle w:val="NormalTok"/>
        </w:rPr>
        <w:t xml:space="preserve">, residency, API_RES)</w:t>
      </w:r>
    </w:p>
    <w:p>
      <w:pPr>
        <w:pStyle w:val="FirstParagraph"/>
      </w:pPr>
      <w:r>
        <w:t xml:space="preserve">The full example script handles errors, logs failures to a CSV, supports</w:t>
      </w:r>
      <w:r>
        <w:t xml:space="preserve"> </w:t>
      </w:r>
      <w:r>
        <w:t xml:space="preserve">resume-on-restart via the existing</w:t>
      </w:r>
      <w:r>
        <w:t xml:space="preserve"> </w:t>
      </w:r>
      <w:r>
        <w:rPr>
          <w:rStyle w:val="VerbatimChar"/>
        </w:rPr>
        <w:t xml:space="preserve">national_id</w:t>
      </w:r>
      <w:r>
        <w:t xml:space="preserve"> </w:t>
      </w:r>
      <w:r>
        <w:t xml:space="preserve">check, and processes</w:t>
      </w:r>
      <w:r>
        <w:t xml:space="preserve"> </w:t>
      </w:r>
      <w:r>
        <w:t xml:space="preserve">parcels in a second pass.</w:t>
      </w:r>
    </w:p>
    <w:p>
      <w:pPr>
        <w:pStyle w:val="Heading2"/>
      </w:pPr>
      <w:bookmarkStart w:id="47" w:name="section-8-common-gotchas"/>
      <w:r>
        <w:t xml:space="preserve">Section 8 — Common gotchas</w:t>
      </w:r>
      <w:bookmarkEnd w:id="47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Date format.</w:t>
      </w:r>
      <w:r>
        <w:t xml:space="preserve"> </w:t>
      </w:r>
      <w:r>
        <w:t xml:space="preserve">Joget DatePickers expect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 </w:t>
      </w:r>
      <w:r>
        <w:t xml:space="preserve">strings, not</w:t>
      </w:r>
      <w:r>
        <w:t xml:space="preserve"> </w:t>
      </w:r>
      <w:r>
        <w:t xml:space="preserve">ISO datetime.</w:t>
      </w:r>
      <w:r>
        <w:t xml:space="preserve"> </w:t>
      </w:r>
      <w:r>
        <w:rPr>
          <w:rStyle w:val="VerbatimChar"/>
        </w:rPr>
        <w:t xml:space="preserve">1985-10-01</w:t>
      </w:r>
      <w:r>
        <w:t xml:space="preserve"> </w:t>
      </w:r>
      <w:r>
        <w:t xml:space="preserve">is correct;</w:t>
      </w:r>
      <w:r>
        <w:t xml:space="preserve"> </w:t>
      </w:r>
      <w:r>
        <w:rPr>
          <w:rStyle w:val="VerbatimChar"/>
        </w:rPr>
        <w:t xml:space="preserve">1985-10-01T00:00:00Z</w:t>
      </w:r>
      <w:r>
        <w:t xml:space="preserve"> </w:t>
      </w:r>
      <w:r>
        <w:t xml:space="preserve">is not.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Foreign-key codes are case-sensitive.</w:t>
      </w:r>
      <w:r>
        <w:t xml:space="preserve"> </w:t>
      </w:r>
      <w:r>
        <w:t xml:space="preserve">District</w:t>
      </w:r>
      <w:r>
        <w:t xml:space="preserve"> </w:t>
      </w:r>
      <w:r>
        <w:rPr>
          <w:rStyle w:val="VerbatimChar"/>
        </w:rPr>
        <w:t xml:space="preserve">maseru</w:t>
      </w:r>
      <w:r>
        <w:t xml:space="preserve"> </w:t>
      </w:r>
      <w:r>
        <w:t xml:space="preserve">is not the</w:t>
      </w:r>
      <w:r>
        <w:t xml:space="preserve"> </w:t>
      </w:r>
      <w:r>
        <w:t xml:space="preserve">same as</w:t>
      </w:r>
      <w:r>
        <w:t xml:space="preserve"> </w:t>
      </w:r>
      <w:r>
        <w:rPr>
          <w:rStyle w:val="VerbatimChar"/>
        </w:rPr>
        <w:t xml:space="preserve">Maseru</w:t>
      </w:r>
      <w:r>
        <w:t xml:space="preserve">. Always read the master-data list with</w:t>
      </w:r>
      <w:r>
        <w:t xml:space="preserve"> </w:t>
      </w:r>
      <w:r>
        <w:rPr>
          <w:rStyle w:val="VerbatimChar"/>
        </w:rPr>
        <w:t xml:space="preserve">/list</w:t>
      </w:r>
      <w:r>
        <w:t xml:space="preserve"> </w:t>
      </w:r>
      <w:r>
        <w:t xml:space="preserve">and</w:t>
      </w:r>
      <w:r>
        <w:t xml:space="preserve"> </w:t>
      </w:r>
      <w:r>
        <w:t xml:space="preserve">match exactly.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Numeric fields are strings.</w:t>
      </w:r>
      <w:r>
        <w:t xml:space="preserve"> </w:t>
      </w:r>
      <w:r>
        <w:t xml:space="preserve">Joget stores all form-data as text in</w:t>
      </w:r>
      <w:r>
        <w:t xml:space="preserve"> </w:t>
      </w:r>
      <w:r>
        <w:rPr>
          <w:rStyle w:val="VerbatimChar"/>
        </w:rPr>
        <w:t xml:space="preserve">app_fd_*</w:t>
      </w:r>
      <w:r>
        <w:t xml:space="preserve">. Send</w:t>
      </w:r>
      <w:r>
        <w:t xml:space="preserve"> </w:t>
      </w:r>
      <w:r>
        <w:rPr>
          <w:rStyle w:val="VerbatimChar"/>
        </w:rPr>
        <w:t xml:space="preserve">"3.5"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3.5</w:t>
      </w:r>
      <w:r>
        <w:t xml:space="preserve"> </w:t>
      </w:r>
      <w:r>
        <w:t xml:space="preserve">for hectares — both work but the</w:t>
      </w:r>
      <w:r>
        <w:t xml:space="preserve"> </w:t>
      </w:r>
      <w:r>
        <w:t xml:space="preserve">string form is what’s actually stored, so consistency matters when</w:t>
      </w:r>
      <w:r>
        <w:t xml:space="preserve"> </w:t>
      </w:r>
      <w:r>
        <w:t xml:space="preserve">you’re scripting.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Validation errors return HTTP 400 with a JSON body.</w:t>
      </w:r>
      <w:r>
        <w:t xml:space="preserve"> </w:t>
      </w:r>
      <w:r>
        <w:t xml:space="preserve">Parse it for</w:t>
      </w:r>
      <w:r>
        <w:t xml:space="preserve"> </w:t>
      </w:r>
      <w:r>
        <w:t xml:space="preserve">the field name and the error message. Don’t retry blindly — fix the</w:t>
      </w:r>
      <w:r>
        <w:t xml:space="preserve"> </w:t>
      </w:r>
      <w:r>
        <w:t xml:space="preserve">record.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Duplicate national_id triggers the validator.</w:t>
      </w:r>
      <w:r>
        <w:t xml:space="preserve"> </w:t>
      </w:r>
      <w:r>
        <w:t xml:space="preserve">If you re-run a</w:t>
      </w:r>
      <w:r>
        <w:t xml:space="preserve"> </w:t>
      </w:r>
      <w:r>
        <w:t xml:space="preserve">migration after a partial failure, expect HTTP 400 saying</w:t>
      </w:r>
      <w:r>
        <w:t xml:space="preserve"> </w:t>
      </w:r>
      <w:r>
        <w:t xml:space="preserve">“</w:t>
      </w:r>
      <w:r>
        <w:t xml:space="preserve">duplicate</w:t>
      </w:r>
      <w:r>
        <w:t xml:space="preserve"> </w:t>
      </w:r>
      <w:r>
        <w:t xml:space="preserve">national_id</w:t>
      </w:r>
      <w:r>
        <w:t xml:space="preserve">”</w:t>
      </w:r>
      <w:r>
        <w:t xml:space="preserve"> </w:t>
      </w:r>
      <w:r>
        <w:t xml:space="preserve">for already-imported rows. Skip them — they’re already</w:t>
      </w:r>
      <w:r>
        <w:t xml:space="preserve"> </w:t>
      </w:r>
      <w:r>
        <w:t xml:space="preserve">in the system.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/>
        </w:rPr>
        <w:t xml:space="preserve">parent_id</w:t>
      </w:r>
      <w:r>
        <w:rPr>
          <w:b/>
        </w:rPr>
        <w:t xml:space="preserve"> </w:t>
      </w:r>
      <w:r>
        <w:rPr>
          <w:b/>
        </w:rPr>
        <w:t xml:space="preserve">is optional but useful.</w:t>
      </w:r>
      <w:r>
        <w:t xml:space="preserve"> </w:t>
      </w:r>
      <w:r>
        <w:t xml:space="preserve">If you don’t set it, the</w:t>
      </w:r>
      <w:r>
        <w:t xml:space="preserve"> </w:t>
      </w:r>
      <w:r>
        <w:t xml:space="preserve">sub-forms still work but the wizard navigation in the UI won’t</w:t>
      </w:r>
      <w:r>
        <w:t xml:space="preserve"> </w:t>
      </w:r>
      <w:r>
        <w:t xml:space="preserve">re-bind correctly. Operators see the data when they click into each</w:t>
      </w:r>
      <w:r>
        <w:t xml:space="preserve"> </w:t>
      </w:r>
      <w:r>
        <w:t xml:space="preserve">sub-form individually but the wizard’s Next/Previous flow is broken.</w:t>
      </w:r>
      <w:r>
        <w:t xml:space="preserve"> </w:t>
      </w:r>
      <w:r>
        <w:t xml:space="preserve">For migration data that operators won’t edit, this is fine. For</w:t>
      </w:r>
      <w:r>
        <w:t xml:space="preserve"> </w:t>
      </w:r>
      <w:r>
        <w:t xml:space="preserve">migration data they might continue to edit, set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t xml:space="preserve">properly.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The</w:t>
      </w:r>
      <w:r>
        <w:rPr>
          <w:b/>
        </w:rPr>
        <w:t xml:space="preserve"> </w:t>
      </w:r>
      <w:r>
        <w:rPr>
          <w:rStyle w:val="VerbatimChar"/>
          <w:b/>
        </w:rPr>
        <w:t xml:space="preserve">/list</w:t>
      </w:r>
      <w:r>
        <w:rPr>
          <w:b/>
        </w:rPr>
        <w:t xml:space="preserve"> </w:t>
      </w:r>
      <w:r>
        <w:rPr>
          <w:b/>
        </w:rPr>
        <w:t xml:space="preserve">endpoint is NOT functional.</w:t>
      </w:r>
      <w:r>
        <w:t xml:space="preserve"> </w:t>
      </w:r>
      <w:r>
        <w:t xml:space="preserve">It’s enabled in the API</w:t>
      </w:r>
      <w:r>
        <w:t xml:space="preserve"> </w:t>
      </w:r>
      <w:r>
        <w:t xml:space="preserve">config but</w:t>
      </w:r>
      <w:r>
        <w:t xml:space="preserve"> </w:t>
      </w:r>
      <w:r>
        <w:rPr>
          <w:rStyle w:val="VerbatimChar"/>
        </w:rPr>
        <w:t xml:space="preserve">AppFormAPI</w:t>
      </w:r>
      <w:r>
        <w:t xml:space="preserve"> </w:t>
      </w:r>
      <w:r>
        <w:t xml:space="preserve">doesn’t implement listing — calls return</w:t>
      </w:r>
      <w:r>
        <w:t xml:space="preserve"> </w:t>
      </w:r>
      <w:r>
        <w:rPr>
          <w:rStyle w:val="VerbatimChar"/>
        </w:rPr>
        <w:t xml:space="preserve">{}</w:t>
      </w:r>
      <w:r>
        <w:t xml:space="preserve">. Use the static CSVs in</w:t>
      </w:r>
      <w:r>
        <w:t xml:space="preserve"> </w:t>
      </w:r>
      <w:r>
        <w:rPr>
          <w:rStyle w:val="VerbatimChar"/>
        </w:rPr>
        <w:t xml:space="preserve">mdm_reference/</w:t>
      </w:r>
      <w:r>
        <w:t xml:space="preserve"> </w:t>
      </w:r>
      <w:r>
        <w:t xml:space="preserve">(see Section 6) for</w:t>
      </w:r>
      <w:r>
        <w:t xml:space="preserve"> </w:t>
      </w:r>
      <w:r>
        <w:t xml:space="preserve">master-data validation. For</w:t>
      </w:r>
      <w:r>
        <w:t xml:space="preserve"> </w:t>
      </w:r>
      <w:r>
        <w:t xml:space="preserve">“</w:t>
      </w:r>
      <w:r>
        <w:t xml:space="preserve">is this NID already in the registry?</w:t>
      </w:r>
      <w:r>
        <w:t xml:space="preserve">”</w:t>
      </w:r>
      <w:r>
        <w:t xml:space="preserve"> </w:t>
      </w:r>
      <w:r>
        <w:t xml:space="preserve">questions, the migration script tracks state locally via</w:t>
      </w:r>
      <w:r>
        <w:t xml:space="preserve"> </w:t>
      </w:r>
      <w:r>
        <w:rPr>
          <w:rStyle w:val="VerbatimChar"/>
        </w:rPr>
        <w:t xml:space="preserve">migration_log.csv</w:t>
      </w:r>
      <w:r>
        <w:t xml:space="preserve"> </w:t>
      </w:r>
      <w:r>
        <w:t xml:space="preserve">rather than querying the portal. If you need to</w:t>
      </w:r>
      <w:r>
        <w:t xml:space="preserve"> </w:t>
      </w:r>
      <w:r>
        <w:t xml:space="preserve">bulk-read records during the migration (rare), ask MAFSN ICT to run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for you.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The</w:t>
      </w:r>
      <w:r>
        <w:rPr>
          <w:b/>
        </w:rPr>
        <w:t xml:space="preserve"> </w:t>
      </w:r>
      <w:r>
        <w:rPr>
          <w:rStyle w:val="VerbatimChar"/>
          <w:b/>
        </w:rPr>
        <w:t xml:space="preserve">id</w:t>
      </w:r>
      <w:r>
        <w:rPr>
          <w:b/>
        </w:rPr>
        <w:t xml:space="preserve"> </w:t>
      </w:r>
      <w:r>
        <w:rPr>
          <w:b/>
        </w:rPr>
        <w:t xml:space="preserve">returned in the response is a UUID, not the business</w:t>
      </w:r>
      <w:r>
        <w:rPr>
          <w:b/>
        </w:rPr>
        <w:t xml:space="preserve"> </w:t>
      </w:r>
      <w:r>
        <w:rPr>
          <w:b/>
        </w:rPr>
        <w:t xml:space="preserve">code.</w:t>
      </w:r>
      <w:r>
        <w:t xml:space="preserve"> </w:t>
      </w:r>
      <w:r>
        <w:t xml:space="preserve">Joget’s internal id and the business code (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national_id</w:t>
      </w:r>
      <w:r>
        <w:t xml:space="preserve">, etc.) are separate. Use the UUID for parent_id /</w:t>
      </w:r>
      <w:r>
        <w:t xml:space="preserve"> </w:t>
      </w:r>
      <w:r>
        <w:t xml:space="preserve">foreign-key fields; the business code is what humans see in the</w:t>
      </w:r>
      <w:r>
        <w:t xml:space="preserve"> </w:t>
      </w:r>
      <w:r>
        <w:t xml:space="preserve">dropdowns and reports.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Don’t bypass via</w:t>
      </w:r>
      <w:r>
        <w:rPr>
          <w:b/>
        </w:rPr>
        <w:t xml:space="preserve"> </w:t>
      </w:r>
      <w:r>
        <w:rPr>
          <w:rStyle w:val="VerbatimChar"/>
          <w:b/>
        </w:rPr>
        <w:t xml:space="preserve">formcreator/seed</w:t>
      </w:r>
      <w:r>
        <w:rPr>
          <w:b/>
        </w:rPr>
        <w:t xml:space="preserve"> </w:t>
      </w:r>
      <w:r>
        <w:rPr>
          <w:b/>
        </w:rPr>
        <w:t xml:space="preserve">for transactional data.</w:t>
      </w:r>
      <w:r>
        <w:t xml:space="preserve"> </w:t>
      </w:r>
      <w:r>
        <w:t xml:space="preserve">That</w:t>
      </w:r>
      <w:r>
        <w:t xml:space="preserve"> </w:t>
      </w:r>
      <w:r>
        <w:t xml:space="preserve">endpoint exists for fixture seeding (master data, demo data) and</w:t>
      </w:r>
      <w:r>
        <w:t xml:space="preserve"> </w:t>
      </w:r>
      <w:r>
        <w:t xml:space="preserve">intentionally bypasses some validators. For citizen-data migration,</w:t>
      </w:r>
      <w:r>
        <w:t xml:space="preserve"> </w:t>
      </w:r>
      <w:r>
        <w:t xml:space="preserve">always use the per-form</w:t>
      </w:r>
      <w:r>
        <w:t xml:space="preserve"> </w:t>
      </w:r>
      <w:r>
        <w:rPr>
          <w:rStyle w:val="VerbatimChar"/>
        </w:rPr>
        <w:t xml:space="preserve">/api/form/&lt;id&gt;</w:t>
      </w:r>
      <w:r>
        <w:t xml:space="preserve"> </w:t>
      </w:r>
      <w:r>
        <w:t xml:space="preserve">endpoints.</w:t>
      </w:r>
    </w:p>
    <w:p>
      <w:pPr>
        <w:pStyle w:val="Heading2"/>
      </w:pPr>
      <w:bookmarkStart w:id="48" w:name="section-9-error-handling-pattern"/>
      <w:r>
        <w:t xml:space="preserve">Section 9 — Error handling pattern</w:t>
      </w:r>
      <w:bookmarkEnd w:id="48"/>
    </w:p>
    <w:p>
      <w:pPr>
        <w:pStyle w:val="FirstParagraph"/>
      </w:pPr>
      <w:r>
        <w:t xml:space="preserve">The form-data APIs use a slightly unusual response shape:</w:t>
      </w:r>
      <w:r>
        <w:t xml:space="preserve"> </w:t>
      </w:r>
      <w:r>
        <w:rPr>
          <w:b/>
        </w:rPr>
        <w:t xml:space="preserve">HTTP 200</w:t>
      </w:r>
      <w:r>
        <w:rPr>
          <w:b/>
        </w:rPr>
        <w:t xml:space="preserve"> </w:t>
      </w:r>
      <w:r>
        <w:rPr>
          <w:b/>
        </w:rPr>
        <w:t xml:space="preserve">even when validation fails</w:t>
      </w:r>
      <w:r>
        <w:t xml:space="preserve">, with the failure surfaced inside the</w:t>
      </w:r>
      <w:r>
        <w:t xml:space="preserve"> </w:t>
      </w:r>
      <w:r>
        <w:t xml:space="preserve">JSON body.</w:t>
      </w:r>
    </w:p>
    <w:p>
      <w:pPr>
        <w:pStyle w:val="BodyText"/>
      </w:pPr>
      <w:r>
        <w:rPr>
          <w:b/>
        </w:rPr>
        <w:t xml:space="preserve">Success response</w:t>
      </w:r>
      <w:r>
        <w:t xml:space="preserve"> </w:t>
      </w:r>
      <w:r>
        <w:t xml:space="preserve">(record was saved):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"abc12345-..."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"national_id"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"066257236627"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"Mants'ali"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ErrorTok"/>
        </w:rPr>
        <w:t xml:space="preserve">(all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fields</w:t>
      </w:r>
      <w:r>
        <w:rPr>
          <w:rStyle w:val="NormalTok"/>
        </w:rPr>
        <w:t xml:space="preserve"> </w:t>
      </w:r>
      <w:r>
        <w:rPr>
          <w:rStyle w:val="ErrorTok"/>
        </w:rPr>
        <w:t xml:space="preserve">you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sent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echoed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back)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is the saved row’s UUID — capture it for any FK references</w:t>
      </w:r>
      <w:r>
        <w:t xml:space="preserve"> </w:t>
      </w:r>
      <w:r>
        <w:t xml:space="preserve">you’ll need (e.g. </w:t>
      </w:r>
      <w:r>
        <w:rPr>
          <w:rStyle w:val="VerbatimChar"/>
        </w:rPr>
        <w:t xml:space="preserve">parent_id</w:t>
      </w:r>
      <w:r>
        <w:t xml:space="preserve"> </w:t>
      </w:r>
      <w:r>
        <w:t xml:space="preserve">on a sub-form record).</w:t>
      </w:r>
    </w:p>
    <w:p>
      <w:pPr>
        <w:pStyle w:val="BodyText"/>
      </w:pPr>
      <w:r>
        <w:rPr>
          <w:b/>
        </w:rPr>
        <w:t xml:space="preserve">Validation failure</w:t>
      </w:r>
      <w:r>
        <w:t xml:space="preserve"> </w:t>
      </w:r>
      <w:r>
        <w:t xml:space="preserve">(HTTP 200 body,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is empty):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"national_id"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required 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"Missing required value"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 </w:t>
      </w:r>
      <w:r>
        <w:t xml:space="preserve">object maps each failing field to its error message. To</w:t>
      </w:r>
      <w:r>
        <w:t xml:space="preserve"> </w:t>
      </w:r>
      <w:r>
        <w:t xml:space="preserve">detect a failure, check whether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 </w:t>
      </w:r>
      <w:r>
        <w:t xml:space="preserve">is present (or whether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is empty / missing).</w:t>
      </w:r>
    </w:p>
    <w:p>
      <w:pPr>
        <w:pStyle w:val="BodyText"/>
      </w:pPr>
      <w:r>
        <w:rPr>
          <w:b/>
        </w:rPr>
        <w:t xml:space="preserve">Other failures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HTTP 400 with</w:t>
      </w:r>
      <w:r>
        <w:t xml:space="preserve"> </w:t>
      </w:r>
      <w:r>
        <w:rPr>
          <w:rStyle w:val="VerbatimChar"/>
        </w:rPr>
        <w:t xml:space="preserve">"Bad Request"</w:t>
      </w:r>
      <w:r>
        <w:t xml:space="preserve"> </w:t>
      </w:r>
      <w:r>
        <w:t xml:space="preserve">body → auth / request shape was wrong;</w:t>
      </w:r>
      <w:r>
        <w:t xml:space="preserve"> </w:t>
      </w:r>
      <w:r>
        <w:t xml:space="preserve">request didn’t reach the form save path. Check headers + URL.</w:t>
      </w:r>
    </w:p>
    <w:p>
      <w:pPr>
        <w:numPr>
          <w:ilvl w:val="0"/>
          <w:numId w:val="1005"/>
        </w:numPr>
        <w:pStyle w:val="Compact"/>
      </w:pPr>
      <w:r>
        <w:t xml:space="preserve">HTTP 401 / 403 → credentials rejected.</w:t>
      </w:r>
    </w:p>
    <w:p>
      <w:pPr>
        <w:numPr>
          <w:ilvl w:val="0"/>
          <w:numId w:val="1005"/>
        </w:numPr>
        <w:pStyle w:val="Compact"/>
      </w:pPr>
      <w:r>
        <w:t xml:space="preserve">HTTP 5xx → server error; retry with backoff.</w:t>
      </w:r>
    </w:p>
    <w:p>
      <w:pPr>
        <w:numPr>
          <w:ilvl w:val="0"/>
          <w:numId w:val="1005"/>
        </w:numPr>
        <w:pStyle w:val="Compact"/>
      </w:pPr>
      <w:r>
        <w:t xml:space="preserve">HTTP 404 → URL path wrong (most often missing</w:t>
      </w:r>
      <w:r>
        <w:t xml:space="preserve"> </w:t>
      </w:r>
      <w:r>
        <w:rPr>
          <w:rStyle w:val="VerbatimChar"/>
        </w:rPr>
        <w:t xml:space="preserve">/jw</w:t>
      </w:r>
      <w:r>
        <w:t xml:space="preserve"> </w:t>
      </w:r>
      <w:r>
        <w:t xml:space="preserve">prefix).</w:t>
      </w:r>
    </w:p>
    <w:p>
      <w:pPr>
        <w:pStyle w:val="FirstParagraph"/>
      </w:pPr>
      <w:r>
        <w:t xml:space="preserve">Recommended retry / log strategy in your migration script: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 200,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non-empty</w:t>
            </w:r>
          </w:p>
        </w:tc>
        <w:tc>
          <w:p>
            <w:pPr>
              <w:pStyle w:val="Compact"/>
              <w:jc w:val="left"/>
            </w:pPr>
            <w:r>
              <w:t xml:space="preserve">Record saved; move to next row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 200,</w:t>
            </w:r>
            <w:r>
              <w:t xml:space="preserve"> </w:t>
            </w:r>
            <w:r>
              <w:rPr>
                <w:rStyle w:val="VerbatimChar"/>
              </w:rPr>
              <w:t xml:space="preserve">errors</w:t>
            </w:r>
            <w:r>
              <w:t xml:space="preserve"> </w:t>
            </w:r>
            <w:r>
              <w:t xml:space="preserve">non-empty</w:t>
            </w:r>
          </w:p>
        </w:tc>
        <w:tc>
          <w:p>
            <w:pPr>
              <w:pStyle w:val="Compact"/>
              <w:jc w:val="left"/>
            </w:pPr>
            <w:r>
              <w:t xml:space="preserve">Validation failure — log row + the errors map; don’t retry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 400 / 401 / 403</w:t>
            </w:r>
          </w:p>
        </w:tc>
        <w:tc>
          <w:p>
            <w:pPr>
              <w:pStyle w:val="Compact"/>
              <w:jc w:val="left"/>
            </w:pPr>
            <w:r>
              <w:t xml:space="preserve">Auth/request misconfigured — STOP the whole run; fix and resume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 5xx</w:t>
            </w:r>
          </w:p>
        </w:tc>
        <w:tc>
          <w:p>
            <w:pPr>
              <w:pStyle w:val="Compact"/>
              <w:jc w:val="left"/>
            </w:pPr>
            <w:r>
              <w:t xml:space="preserve">Server error — exponential backoff, max 3 retries, then log + skip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 timeout / connection refused</w:t>
            </w:r>
          </w:p>
        </w:tc>
        <w:tc>
          <w:p>
            <w:pPr>
              <w:pStyle w:val="Compact"/>
              <w:jc w:val="left"/>
            </w:pPr>
            <w:r>
              <w:t xml:space="preserve">Retry with backoff; if persistent, STOP</w:t>
            </w:r>
          </w:p>
        </w:tc>
      </w:tr>
    </w:tbl>
    <w:p>
      <w:pPr>
        <w:pStyle w:val="BodyText"/>
      </w:pPr>
      <w:r>
        <w:t xml:space="preserve">After the migration completes, hand the failure log to MAFSN ICT — it’s</w:t>
      </w:r>
      <w:r>
        <w:t xml:space="preserve"> </w:t>
      </w:r>
      <w:r>
        <w:t xml:space="preserve">the punchlist for manual cleanup. Common validation failures and how</w:t>
      </w:r>
      <w:r>
        <w:t xml:space="preserve"> </w:t>
      </w:r>
      <w:r>
        <w:t xml:space="preserve">to interpret them: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"Missing required value"</w:t>
      </w:r>
      <w:r>
        <w:t xml:space="preserve"> </w:t>
      </w:r>
      <w:r>
        <w:t xml:space="preserve">→ mandatory field not supplied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"This value already exists"</w:t>
      </w:r>
      <w:r>
        <w:t xml:space="preserve"> </w:t>
      </w:r>
      <w:r>
        <w:t xml:space="preserve">(on national_id) → duplicate; the row</w:t>
      </w:r>
      <w:r>
        <w:t xml:space="preserve"> </w:t>
      </w:r>
      <w:r>
        <w:t xml:space="preserve">is already in the system. Skip with status</w:t>
      </w:r>
      <w:r>
        <w:t xml:space="preserve"> </w:t>
      </w:r>
      <w:r>
        <w:rPr>
          <w:rStyle w:val="VerbatimChar"/>
        </w:rPr>
        <w:t xml:space="preserve">already_imported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"Numeric value required"</w:t>
      </w:r>
      <w:r>
        <w:t xml:space="preserve"> </w:t>
      </w:r>
      <w:r>
        <w:t xml:space="preserve">→ you sent a non-numeric value into a</w:t>
      </w:r>
      <w:r>
        <w:t xml:space="preserve"> </w:t>
      </w:r>
      <w:r>
        <w:t xml:space="preserve">numeric field. Strip whitespace and re-try.</w:t>
      </w:r>
    </w:p>
    <w:p>
      <w:pPr>
        <w:pStyle w:val="Heading2"/>
      </w:pPr>
      <w:bookmarkStart w:id="49" w:name="section-10-performance-expectations"/>
      <w:r>
        <w:t xml:space="preserve">Section 10 — Performance expectations</w:t>
      </w:r>
      <w:bookmarkEnd w:id="49"/>
    </w:p>
    <w:p>
      <w:pPr>
        <w:pStyle w:val="FirstParagraph"/>
      </w:pPr>
      <w:r>
        <w:t xml:space="preserve">The system can comfortably handle ~10 records/second per form</w:t>
      </w:r>
      <w:r>
        <w:t xml:space="preserve"> </w:t>
      </w:r>
      <w:r>
        <w:t xml:space="preserve">endpoint. For a 50,000-farmer migration that’s about 1.5 hours per</w:t>
      </w:r>
      <w:r>
        <w:t xml:space="preserve"> </w:t>
      </w:r>
      <w:r>
        <w:t xml:space="preserve">form, or roughly 5 hours total if you do basicInfo + residency +</w:t>
      </w:r>
      <w:r>
        <w:t xml:space="preserve"> </w:t>
      </w:r>
      <w:r>
        <w:t xml:space="preserve">income + declaration sequentially.</w:t>
      </w:r>
    </w:p>
    <w:p>
      <w:pPr>
        <w:pStyle w:val="BodyText"/>
      </w:pPr>
      <w:r>
        <w:t xml:space="preserve">Parallelisation across form types (basicInfo for farmer N runs</w:t>
      </w:r>
      <w:r>
        <w:t xml:space="preserve"> </w:t>
      </w:r>
      <w:r>
        <w:t xml:space="preserve">simultaneously with residency for farmer N-1) can roughly halve total</w:t>
      </w:r>
      <w:r>
        <w:t xml:space="preserve"> </w:t>
      </w:r>
      <w:r>
        <w:t xml:space="preserve">time. Don’t parallelise across the same form (you’ll hit lock</w:t>
      </w:r>
      <w:r>
        <w:t xml:space="preserve"> </w:t>
      </w:r>
      <w:r>
        <w:t xml:space="preserve">contention on the underlying Hibernate transactions).</w:t>
      </w:r>
    </w:p>
    <w:p>
      <w:pPr>
        <w:pStyle w:val="BodyText"/>
      </w:pPr>
      <w:r>
        <w:t xml:space="preserve">If your pilot has more than 100,000 records, talk to MAFSN ICT before</w:t>
      </w:r>
      <w:r>
        <w:t xml:space="preserve"> </w:t>
      </w:r>
      <w:r>
        <w:t xml:space="preserve">starting — they may want to schedule a quiet window and check that</w:t>
      </w:r>
      <w:r>
        <w:t xml:space="preserve"> </w:t>
      </w:r>
      <w:r>
        <w:t xml:space="preserve">the database has enough free space for the audit log entries that</w:t>
      </w:r>
      <w:r>
        <w:t xml:space="preserve"> </w:t>
      </w:r>
      <w:r>
        <w:t xml:space="preserve">each save generates.</w:t>
      </w:r>
    </w:p>
    <w:p>
      <w:pPr>
        <w:pStyle w:val="Heading2"/>
      </w:pPr>
      <w:bookmarkStart w:id="50" w:name="section-11-support"/>
      <w:r>
        <w:t xml:space="preserve">Section 11 — Support</w:t>
      </w:r>
      <w:bookmarkEnd w:id="50"/>
    </w:p>
    <w:p>
      <w:pPr>
        <w:pStyle w:val="FirstParagraph"/>
      </w:pPr>
      <w:r>
        <w:t xml:space="preserve">For migration-time questions:</w:t>
      </w:r>
    </w:p>
    <w:p>
      <w:pPr>
        <w:numPr>
          <w:ilvl w:val="0"/>
          <w:numId w:val="1007"/>
        </w:numPr>
      </w:pPr>
      <w:r>
        <w:t xml:space="preserve">MAFSN ICT — provides UAT URL, dedicated api_key, support during</w:t>
      </w:r>
      <w:r>
        <w:t xml:space="preserve"> </w:t>
      </w:r>
      <w:r>
        <w:t xml:space="preserve">migration window.</w:t>
      </w:r>
    </w:p>
    <w:p>
      <w:pPr>
        <w:numPr>
          <w:ilvl w:val="0"/>
          <w:numId w:val="1007"/>
        </w:numPr>
      </w:pPr>
      <w:r>
        <w:t xml:space="preserve">Portal documentation —</w:t>
      </w:r>
      <w:r>
        <w:t xml:space="preserve"> </w:t>
      </w:r>
      <w:r>
        <w:rPr>
          <w:rStyle w:val="VerbatimChar"/>
        </w:rPr>
        <w:t xml:space="preserve">_design/</w:t>
      </w:r>
      <w:r>
        <w:t xml:space="preserve"> </w:t>
      </w:r>
      <w:r>
        <w:t xml:space="preserve">directory in the source repo</w:t>
      </w:r>
      <w:r>
        <w:t xml:space="preserve"> </w:t>
      </w:r>
      <w:r>
        <w:t xml:space="preserve">(architecture, decision log, playbooks).</w:t>
      </w:r>
    </w:p>
    <w:p>
      <w:pPr>
        <w:numPr>
          <w:ilvl w:val="0"/>
          <w:numId w:val="1007"/>
        </w:numPr>
      </w:pPr>
      <w:r>
        <w:t xml:space="preserve">For any field not covered here, query the live form definition: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-- read-only; safe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json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app_form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appid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'farmersPortal'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formid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'&lt;form_id&gt;'</w:t>
      </w:r>
      <w:r>
        <w:rPr>
          <w:rStyle w:val="NormalTok"/>
        </w:rPr>
        <w:t xml:space="preserve">;</w:t>
      </w:r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elements</w:t>
      </w:r>
      <w:r>
        <w:t xml:space="preserve"> </w:t>
      </w:r>
      <w:r>
        <w:t xml:space="preserve">array in the JSON has every field with its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, and any</w:t>
      </w:r>
      <w:r>
        <w:t xml:space="preserve"> </w:t>
      </w:r>
      <w:r>
        <w:rPr>
          <w:rStyle w:val="VerbatimChar"/>
        </w:rPr>
        <w:t xml:space="preserve">validator</w:t>
      </w:r>
      <w:r>
        <w:t xml:space="preserve"> </w:t>
      </w:r>
      <w:r>
        <w:t xml:space="preserve">configuration.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Authored: 2026-05-06.</w:t>
      </w:r>
      <w:r>
        <w:t xml:space="preserve"> </w:t>
      </w:r>
      <w:r>
        <w:rPr>
          <w:i/>
        </w:rPr>
        <w:t xml:space="preserve">If your environment differs (UAT, prod), the api_id values in this</w:t>
      </w:r>
      <w:r>
        <w:rPr>
          <w:i/>
        </w:rPr>
        <w:t xml:space="preserve"> </w:t>
      </w:r>
      <w:r>
        <w:rPr>
          <w:i/>
        </w:rPr>
        <w:t xml:space="preserve">document should still match — they’re stable across environments — but</w:t>
      </w:r>
      <w:r>
        <w:rPr>
          <w:i/>
        </w:rPr>
        <w:t xml:space="preserve"> </w:t>
      </w:r>
      <w:r>
        <w:rPr>
          <w:i/>
        </w:rPr>
        <w:t xml:space="preserve">the api_key and base URL will differ. Always confirm with MAFSN ICT</w:t>
      </w:r>
      <w:r>
        <w:rPr>
          <w:i/>
        </w:rPr>
        <w:t xml:space="preserve"> </w:t>
      </w:r>
      <w:r>
        <w:rPr>
          <w:i/>
        </w:rPr>
        <w:t xml:space="preserve">before running against a live system.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Lesotho Farmers Portal — API Migration Guide</dc:title>
  <dc:creator>MAFSN — Ministry of Agriculture, Food Security and Nutrition</dc:creator>
  <cp:keywords/>
  <dcterms:created xsi:type="dcterms:W3CDTF">2026-05-06T16:31:52Z</dcterms:created>
  <dcterms:modified xsi:type="dcterms:W3CDTF">2026-05-06T16:31:52Z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2026-05-06</vt:lpwstr>
  </property>
  <property fmtid="{D5CDD505-2E9C-101B-9397-08002B2CF9AE}" pid="3" name="subtitle">
    <vt:lpwstr>For pilot-data migration developers</vt:lpwstr>
  </property>
</Properties>
</file>