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MAFSN ICT — Configuration TO-DO</w:t>
      </w:r>
    </w:p>
    <w:p>
      <w:pPr>
        <w:pStyle w:val="Subtitle"/>
      </w:pPr>
      <w:r>
        <w:t xml:space="preserve">Joget configuration tasks owned by the MAFSN ICT team</w:t>
      </w:r>
    </w:p>
    <w:p>
      <w:pPr>
        <w:pStyle w:val="Author"/>
      </w:pPr>
      <w:r>
        <w:t xml:space="preserve">Lesotho Farmers Portal — implementation team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afsn-ict-configuration-to-do"/>
      <w:r>
        <w:t xml:space="preserve">MAFSN ICT — Configuration TO-DO</w:t>
      </w:r>
      <w:bookmarkEnd w:id="2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MAFSN ICT team running the Lesotho Farmers Portal in</w:t>
      </w:r>
      <w:r>
        <w:t xml:space="preserve"> </w:t>
      </w:r>
      <w:r>
        <w:t xml:space="preserve">production.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A list of configuration tasks that MAFSN owns directly —</w:t>
      </w:r>
      <w:r>
        <w:t xml:space="preserve"> </w:t>
      </w:r>
      <w:r>
        <w:t xml:space="preserve">nothing here requires us to write code or rebuild a plugin. All items are</w:t>
      </w:r>
      <w:r>
        <w:t xml:space="preserve"> </w:t>
      </w:r>
      <w:r>
        <w:t xml:space="preserve">done through Joget’s standard configuration surfaces (App Composer, user</w:t>
      </w:r>
      <w:r>
        <w:t xml:space="preserve"> </w:t>
      </w:r>
      <w:r>
        <w:t xml:space="preserve">management, plugin properties).</w:t>
      </w:r>
      <w:r>
        <w:t xml:space="preserve"> </w:t>
      </w:r>
      <w:r>
        <w:rPr>
          <w:b/>
        </w:rPr>
        <w:t xml:space="preserve">Estimated total effort:</w:t>
      </w:r>
      <w:r>
        <w:t xml:space="preserve"> </w:t>
      </w:r>
      <w:r>
        <w:t xml:space="preserve">2–3 days of focused configuration + 1–2</w:t>
      </w:r>
      <w:r>
        <w:t xml:space="preserve"> </w:t>
      </w:r>
      <w:r>
        <w:t xml:space="preserve">weeks elapsed for the security-review item which depends on an external</w:t>
      </w:r>
      <w:r>
        <w:t xml:space="preserve"> </w:t>
      </w:r>
      <w:r>
        <w:t xml:space="preserve">auditor.</w:t>
      </w:r>
    </w:p>
    <w:p>
      <w:pPr>
        <w:pStyle w:val="BodyText"/>
      </w:pPr>
      <w:r>
        <w:t xml:space="preserve">The four items below are sequenced in recommended order — items 1 and 2</w:t>
      </w:r>
      <w:r>
        <w:t xml:space="preserve"> </w:t>
      </w:r>
      <w:r>
        <w:t xml:space="preserve">should ideally be in place before opening the system to real citizens or</w:t>
      </w:r>
      <w:r>
        <w:t xml:space="preserve"> </w:t>
      </w:r>
      <w:r>
        <w:t xml:space="preserve">real operators; items 3 and 4 are ongoing process disciplines.</w:t>
      </w:r>
    </w:p>
    <w:p>
      <w:pPr>
        <w:pStyle w:val="Heading2"/>
      </w:pPr>
      <w:bookmarkStart w:id="21" w:name="Xd4920a513671cd5e75302e09e9674544d13772a"/>
      <w:r>
        <w:t xml:space="preserve">1. Citizen notifications (SMS + email gateway integration)</w:t>
      </w:r>
      <w:bookmarkEnd w:id="21"/>
    </w:p>
    <w:p>
      <w:pPr>
        <w:pStyle w:val="FirstParagraph"/>
      </w:pPr>
      <w:r>
        <w:t xml:space="preserve">The portal currently tracks every voucher state change but doesn’t</w:t>
      </w:r>
      <w:r>
        <w:t xml:space="preserve"> </w:t>
      </w:r>
      <w:r>
        <w:t xml:space="preserve">proactively tell the farmer. Citizens learn that their voucher has been</w:t>
      </w:r>
      <w:r>
        <w:t xml:space="preserve"> </w:t>
      </w:r>
      <w:r>
        <w:t xml:space="preserve">issued by going to the centre and asking. SMS notification fixes this.</w:t>
      </w:r>
    </w:p>
    <w:p>
      <w:pPr>
        <w:pStyle w:val="Heading3"/>
      </w:pPr>
      <w:bookmarkStart w:id="22" w:name="what-to-send"/>
      <w:r>
        <w:t xml:space="preserve">What to send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submitted</w:t>
            </w:r>
          </w:p>
        </w:tc>
        <w:tc>
          <w:p>
            <w:pPr>
              <w:pStyle w:val="Compact"/>
              <w:jc w:val="left"/>
            </w:pPr>
            <w:r>
              <w:t xml:space="preserve">SMS + email</w:t>
            </w:r>
          </w:p>
        </w:tc>
        <w:tc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application AP-XXXXX has been submitted. We will SMS you when the review is complete.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auto-approved</w:t>
            </w:r>
          </w:p>
        </w:tc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application is approved. Voucher VCH-… is valid until DD-MM-YYYY at</w:t>
            </w:r>
            <w:r>
              <w:t xml:space="preserve"> 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rejected</w:t>
            </w:r>
          </w:p>
        </w:tc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application could not be approved. Reason:</w:t>
            </w:r>
            <w:r>
              <w:t xml:space="preserve"> </w:t>
            </w:r>
            <w:r>
              <w:t xml:space="preserve">. Please contact your local extension officer.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Voucher 7 days from expiry</w:t>
            </w:r>
          </w:p>
        </w:tc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voucher VCH-… expires on DD-MM-YYYY. Please collect at</w:t>
            </w:r>
            <w:r>
              <w:t xml:space="preserve"> 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Voucher redeemed</w:t>
            </w:r>
          </w:p>
        </w:tc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have collected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. Thank you.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Email is optional; SMS is the primary channel because mobile network</w:t>
      </w:r>
      <w:r>
        <w:t xml:space="preserve"> </w:t>
      </w:r>
      <w:r>
        <w:t xml:space="preserve">coverage (~85% of Lesotho population) significantly exceeds smartphone</w:t>
      </w:r>
      <w:r>
        <w:t xml:space="preserve"> </w:t>
      </w:r>
      <w:r>
        <w:t xml:space="preserve">penetration.</w:t>
      </w:r>
    </w:p>
    <w:p>
      <w:pPr>
        <w:pStyle w:val="Heading3"/>
      </w:pPr>
      <w:bookmarkStart w:id="23" w:name="X60e699fb9901201bf0fa1af7651fdcbcef4af12"/>
      <w:r>
        <w:t xml:space="preserve">How to wire it (Joget configuration, no code)</w:t>
      </w:r>
      <w:bookmarkEnd w:id="23"/>
    </w:p>
    <w:p>
      <w:pPr>
        <w:pStyle w:val="FirstParagraph"/>
      </w:pPr>
      <w:r>
        <w:t xml:space="preserve">The portal already exposes the lifecycle hooks; you just need to attach</w:t>
      </w:r>
      <w:r>
        <w:t xml:space="preserve"> </w:t>
      </w:r>
      <w:r>
        <w:t xml:space="preserve">notification tools to them.</w:t>
      </w:r>
    </w:p>
    <w:p>
      <w:pPr>
        <w:pStyle w:val="BodyText"/>
      </w:pPr>
      <w:r>
        <w:rPr>
          <w:b/>
        </w:rPr>
        <w:t xml:space="preserve">For email:</w:t>
      </w:r>
      <w:r>
        <w:t xml:space="preserve"> </w:t>
      </w:r>
      <w:r>
        <w:t xml:space="preserve">Joget DX 8 ships with the</w:t>
      </w:r>
      <w:r>
        <w:t xml:space="preserve"> </w:t>
      </w:r>
      <w:r>
        <w:rPr>
          <w:b/>
        </w:rPr>
        <w:t xml:space="preserve">Email Tool</w:t>
      </w:r>
      <w:r>
        <w:t xml:space="preserve"> </w:t>
      </w:r>
      <w:r>
        <w:t xml:space="preserve">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org.joget.apps.app.lib.EmailTool</w:t>
      </w:r>
      <w:r>
        <w:t xml:space="preserve">). To use it:</w:t>
      </w:r>
    </w:p>
    <w:p>
      <w:pPr>
        <w:numPr>
          <w:ilvl w:val="0"/>
          <w:numId w:val="1001"/>
        </w:numPr>
        <w:pStyle w:val="Compact"/>
      </w:pPr>
      <w:r>
        <w:t xml:space="preserve">App Composer → Generic &gt; Email Tool — configure SMTP host / port /</w:t>
      </w:r>
      <w:r>
        <w:t xml:space="preserve"> </w:t>
      </w:r>
      <w:r>
        <w:t xml:space="preserve">username / password / from-address.</w:t>
      </w:r>
    </w:p>
    <w:p>
      <w:pPr>
        <w:numPr>
          <w:ilvl w:val="0"/>
          <w:numId w:val="1001"/>
        </w:numPr>
        <w:pStyle w:val="Compact"/>
      </w:pPr>
      <w:r>
        <w:t xml:space="preserve">App Composer → APIs → Tool Plugin — wire Email Tool to the</w:t>
      </w:r>
      <w:r>
        <w:t xml:space="preserve"> </w:t>
      </w:r>
      <w:r>
        <w:t xml:space="preserve">appropriate process step or form post-processor:</w:t>
      </w:r>
    </w:p>
    <w:p>
      <w:pPr>
        <w:numPr>
          <w:ilvl w:val="1"/>
          <w:numId w:val="1002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subsidyApplication2025</w:t>
      </w:r>
      <w:r>
        <w:t xml:space="preserve"> </w:t>
      </w:r>
      <w:r>
        <w:t xml:space="preserve">form’s</w:t>
      </w:r>
      <w:r>
        <w:t xml:space="preserve"> </w:t>
      </w:r>
      <w:r>
        <w:rPr>
          <w:rStyle w:val="VerbatimChar"/>
        </w:rPr>
        <w:t xml:space="preserve">postProcessor</w:t>
      </w:r>
      <w:r>
        <w:t xml:space="preserve"> </w:t>
      </w:r>
      <w:r>
        <w:t xml:space="preserve">(after submit)</w:t>
      </w:r>
    </w:p>
    <w:p>
      <w:pPr>
        <w:numPr>
          <w:ilvl w:val="1"/>
          <w:numId w:val="1002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subsidyApplicationOperator2025</w:t>
      </w:r>
      <w:r>
        <w:t xml:space="preserve"> </w:t>
      </w:r>
      <w:r>
        <w:t xml:space="preserve">form’s</w:t>
      </w:r>
      <w:r>
        <w:t xml:space="preserve"> </w:t>
      </w:r>
      <w:r>
        <w:rPr>
          <w:rStyle w:val="VerbatimChar"/>
        </w:rPr>
        <w:t xml:space="preserve">postProcessor</w:t>
      </w:r>
      <w:r>
        <w:t xml:space="preserve"> </w:t>
      </w:r>
      <w:r>
        <w:t xml:space="preserve">(after</w:t>
      </w:r>
      <w:r>
        <w:t xml:space="preserve"> </w:t>
      </w:r>
      <w:r>
        <w:t xml:space="preserve">operator decision)</w:t>
      </w:r>
    </w:p>
    <w:p>
      <w:pPr>
        <w:numPr>
          <w:ilvl w:val="1"/>
          <w:numId w:val="1002"/>
        </w:numPr>
        <w:pStyle w:val="Compact"/>
      </w:pPr>
      <w:r>
        <w:t xml:space="preserve">On the existing voucher / redemption / expiry process tool steps.</w:t>
      </w:r>
    </w:p>
    <w:p>
      <w:pPr>
        <w:pStyle w:val="FirstParagraph"/>
      </w:pPr>
      <w:r>
        <w:t xml:space="preserve">For each, 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#form.subsidy_app_2025.email_address#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#form.farmerBasicInfo.email_address#</w:t>
      </w:r>
      <w:r>
        <w:t xml:space="preserve"> </w:t>
      </w:r>
      <w:r>
        <w:t xml:space="preserve">for registry-resolved address)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= templated string (use Joget’s hash-variable syntax)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= templated message body</w:t>
      </w:r>
    </w:p>
    <w:p>
      <w:pPr>
        <w:pStyle w:val="BodyText"/>
      </w:pPr>
      <w:r>
        <w:rPr>
          <w:b/>
        </w:rPr>
        <w:t xml:space="preserve">For SMS:</w:t>
      </w:r>
      <w:r>
        <w:t xml:space="preserve"> </w:t>
      </w:r>
      <w:r>
        <w:t xml:space="preserve">Joget Marketplace has plugins for several gateways. For</w:t>
      </w:r>
      <w:r>
        <w:t xml:space="preserve"> </w:t>
      </w:r>
      <w:r>
        <w:t xml:space="preserve">Lesotho: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Vodacom Lesotho Bulk SMS</w:t>
      </w:r>
      <w:r>
        <w:t xml:space="preserve"> </w:t>
      </w:r>
      <w:r>
        <w:t xml:space="preserve">— they expose an HTTP POST endpoint;</w:t>
      </w:r>
      <w:r>
        <w:t xml:space="preserve"> </w:t>
      </w:r>
      <w:r>
        <w:t xml:space="preserve">use Joget’s</w:t>
      </w:r>
      <w:r>
        <w:t xml:space="preserve"> </w:t>
      </w:r>
      <w:r>
        <w:rPr>
          <w:b/>
        </w:rPr>
        <w:t xml:space="preserve">REST Tool</w:t>
      </w:r>
      <w:r>
        <w:t xml:space="preserve"> </w:t>
      </w:r>
      <w:r>
        <w:t xml:space="preserve">(built-in) to wire it. You’ll need a</w:t>
      </w:r>
      <w:r>
        <w:t xml:space="preserve"> </w:t>
      </w:r>
      <w:r>
        <w:t xml:space="preserve">Vodacom Bulk SMS account first.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Africa’s Talking</w:t>
      </w:r>
      <w:r>
        <w:t xml:space="preserve"> </w:t>
      </w:r>
      <w:r>
        <w:t xml:space="preserve">— a regional aggregator with Lesotho coverage.</w:t>
      </w:r>
      <w:r>
        <w:t xml:space="preserve"> </w:t>
      </w:r>
      <w:r>
        <w:t xml:space="preserve">Africa’s Talking ships a Joget plugin (search</w:t>
      </w:r>
      <w:r>
        <w:t xml:space="preserve"> </w:t>
      </w:r>
      <w:r>
        <w:t xml:space="preserve">“</w:t>
      </w:r>
      <w:r>
        <w:t xml:space="preserve">Africa’s Talking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Joget Marketplace).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Twilio</w:t>
      </w:r>
      <w:r>
        <w:t xml:space="preserve"> </w:t>
      </w:r>
      <w:r>
        <w:t xml:space="preserve">— international-grade, plugin available, more expensive.</w:t>
      </w:r>
    </w:p>
    <w:p>
      <w:pPr>
        <w:pStyle w:val="FirstParagraph"/>
      </w:pPr>
      <w:r>
        <w:t xml:space="preserve">Whichever gateway, the wiring shape is the same: a tool plugin attached</w:t>
      </w:r>
      <w:r>
        <w:t xml:space="preserve"> </w:t>
      </w:r>
      <w:r>
        <w:t xml:space="preserve">to the same lifecycle hooks listed above. Use</w:t>
      </w:r>
      <w:r>
        <w:t xml:space="preserve"> </w:t>
      </w:r>
      <w:r>
        <w:rPr>
          <w:rStyle w:val="VerbatimChar"/>
        </w:rPr>
        <w:t xml:space="preserve">#form.field_name#</w:t>
      </w:r>
      <w:r>
        <w:t xml:space="preserve"> </w:t>
      </w:r>
      <w:r>
        <w:t xml:space="preserve">to</w:t>
      </w:r>
      <w:r>
        <w:t xml:space="preserve"> </w:t>
      </w:r>
      <w:r>
        <w:t xml:space="preserve">substitute farmer name, voucher code, etc.</w:t>
      </w:r>
    </w:p>
    <w:p>
      <w:pPr>
        <w:pStyle w:val="BodyText"/>
      </w:pPr>
      <w:r>
        <w:rPr>
          <w:b/>
        </w:rPr>
        <w:t xml:space="preserve">Costs to budget for:</w:t>
      </w:r>
      <w:r>
        <w:t xml:space="preserve"> </w:t>
      </w:r>
      <w:r>
        <w:t xml:space="preserve">SMS in Lesotho is roughly LSL 0.30–0.50 per</w:t>
      </w:r>
      <w:r>
        <w:t xml:space="preserve"> </w:t>
      </w:r>
      <w:r>
        <w:t xml:space="preserve">message at bulk rates. At 50,000 farmers × 3 SMS each per cycle, budget</w:t>
      </w:r>
      <w:r>
        <w:t xml:space="preserve"> </w:t>
      </w:r>
      <w:r>
        <w:t xml:space="preserve">roughly LSL 60,000–80,000 per cycle. Email is effectively free.</w:t>
      </w:r>
    </w:p>
    <w:p>
      <w:pPr>
        <w:pStyle w:val="BodyText"/>
      </w:pPr>
      <w:r>
        <w:rPr>
          <w:b/>
        </w:rPr>
        <w:t xml:space="preserve">Decision required from MAFSN:</w:t>
      </w:r>
      <w:r>
        <w:t xml:space="preserve"> </w:t>
      </w:r>
      <w:r>
        <w:t xml:space="preserve">which SMS gateway, and what’s the</w:t>
      </w:r>
      <w:r>
        <w:t xml:space="preserve"> </w:t>
      </w:r>
      <w:r>
        <w:t xml:space="preserve">budget allocation. Once decided, configuration is one Joget-admin day.</w:t>
      </w:r>
    </w:p>
    <w:p>
      <w:pPr>
        <w:pStyle w:val="Heading2"/>
      </w:pPr>
      <w:bookmarkStart w:id="24" w:name="X903e2bc3216104ddfc50f45b23535d60b16b7e2"/>
      <w:r>
        <w:t xml:space="preserve">2. Role-Based Access Control (RBAC) enforcement</w:t>
      </w:r>
      <w:bookmarkEnd w:id="24"/>
    </w:p>
    <w:p>
      <w:pPr>
        <w:pStyle w:val="FirstParagraph"/>
      </w:pPr>
      <w:r>
        <w:t xml:space="preserve">Today every logged-in user sees every menu in the userview. In</w:t>
      </w:r>
      <w:r>
        <w:t xml:space="preserve"> </w:t>
      </w:r>
      <w:r>
        <w:t xml:space="preserve">production, MAFSN should restrict what each role can do. This is</w:t>
      </w:r>
      <w:r>
        <w:t xml:space="preserve"> </w:t>
      </w:r>
      <w:r>
        <w:t xml:space="preserve">configuration only — Joget supports it natively.</w:t>
      </w:r>
    </w:p>
    <w:p>
      <w:pPr>
        <w:pStyle w:val="Heading3"/>
      </w:pPr>
      <w:bookmarkStart w:id="25" w:name="step-2a-define-groups"/>
      <w:r>
        <w:t xml:space="preserve">Step 2a — Define groups</w:t>
      </w:r>
      <w:bookmarkEnd w:id="25"/>
    </w:p>
    <w:p>
      <w:pPr>
        <w:pStyle w:val="FirstParagraph"/>
      </w:pPr>
      <w:r>
        <w:t xml:space="preserve">Joget calls them</w:t>
      </w:r>
      <w:r>
        <w:t xml:space="preserve"> </w:t>
      </w:r>
      <w:r>
        <w:t xml:space="preserve">“</w:t>
      </w:r>
      <w:r>
        <w:t xml:space="preserve">Groups</w:t>
      </w:r>
      <w:r>
        <w:t xml:space="preserve">”</w:t>
      </w:r>
      <w:r>
        <w:t xml:space="preserve">. Open Settings → Setup Users → Groups → New.</w:t>
      </w:r>
      <w:r>
        <w:t xml:space="preserve"> </w:t>
      </w:r>
      <w:r>
        <w:t xml:space="preserve">Recommended group taxonomy (matches the role model in</w:t>
      </w:r>
      <w:r>
        <w:t xml:space="preserve"> </w:t>
      </w:r>
      <w:r>
        <w:rPr>
          <w:rStyle w:val="VerbatimChar"/>
        </w:rPr>
        <w:t xml:space="preserve">_design/architecture/components/im-module-roles.md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need access 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programme_manager</w:t>
            </w:r>
          </w:p>
        </w:tc>
        <w:tc>
          <w:p>
            <w:pPr>
              <w:pStyle w:val="Compact"/>
              <w:jc w:val="left"/>
            </w:pPr>
            <w:r>
              <w:t xml:space="preserve">Programme Manager</w:t>
            </w:r>
          </w:p>
        </w:tc>
        <w:tc>
          <w:p>
            <w:pPr>
              <w:pStyle w:val="Compact"/>
              <w:jc w:val="left"/>
            </w:pPr>
            <w:r>
              <w:t xml:space="preserve">Programme design (mm_registration), determinant authoring, allocation plans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operator_inbox</w:t>
            </w:r>
          </w:p>
        </w:tc>
        <w:tc>
          <w:p>
            <w:pPr>
              <w:pStyle w:val="Compact"/>
              <w:jc w:val="left"/>
            </w:pPr>
            <w:r>
              <w:t xml:space="preserve">Operator (Application Reviewer)</w:t>
            </w:r>
          </w:p>
        </w:tc>
        <w:tc>
          <w:p>
            <w:pPr>
              <w:pStyle w:val="Compact"/>
              <w:jc w:val="left"/>
            </w:pPr>
            <w:r>
              <w:t xml:space="preserve">MOA Office category, operator inbox, application detail, decision 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warehouse_manager</w:t>
            </w:r>
          </w:p>
        </w:tc>
        <w:tc>
          <w:p>
            <w:pPr>
              <w:pStyle w:val="Compact"/>
              <w:jc w:val="left"/>
            </w:pPr>
            <w:r>
              <w:t xml:space="preserve">Warehouse Manager</w:t>
            </w:r>
          </w:p>
        </w:tc>
        <w:tc>
          <w:p>
            <w:pPr>
              <w:pStyle w:val="Compact"/>
              <w:jc w:val="left"/>
            </w:pPr>
            <w:r>
              <w:t xml:space="preserve">Inputs Management → Inventory + Stock Transactions; can see Suppliers (read)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counter_staff</w:t>
            </w:r>
          </w:p>
        </w:tc>
        <w:tc>
          <w:p>
            <w:pPr>
              <w:pStyle w:val="Compact"/>
              <w:jc w:val="left"/>
            </w:pPr>
            <w:r>
              <w:t xml:space="preserve">Counter Operator (Distribution Agent)</w:t>
            </w:r>
          </w:p>
        </w:tc>
        <w:tc>
          <w:p>
            <w:pPr>
              <w:pStyle w:val="Compact"/>
              <w:jc w:val="left"/>
            </w:pPr>
            <w:r>
              <w:t xml:space="preserve">Inputs Management → Redeem Voucher, Distribution Receipts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finance_lead</w:t>
            </w:r>
          </w:p>
        </w:tc>
        <w:tc>
          <w:p>
            <w:pPr>
              <w:pStyle w:val="Compact"/>
              <w:jc w:val="left"/>
            </w:pPr>
            <w:r>
              <w:t xml:space="preserve">Finance Lead</w:t>
            </w:r>
          </w:p>
        </w:tc>
        <w:tc>
          <w:p>
            <w:pPr>
              <w:pStyle w:val="Compact"/>
              <w:jc w:val="left"/>
            </w:pPr>
            <w:r>
              <w:t xml:space="preserve">Budget category in full + GL Export + manual adjustments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me_lead</w:t>
            </w:r>
          </w:p>
        </w:tc>
        <w:tc>
          <w:p>
            <w:pPr>
              <w:pStyle w:val="Compact"/>
              <w:jc w:val="left"/>
            </w:pPr>
            <w:r>
              <w:t xml:space="preserve">M&amp;E Lead</w:t>
            </w:r>
          </w:p>
        </w:tc>
        <w:tc>
          <w:p>
            <w:pPr>
              <w:pStyle w:val="Compact"/>
              <w:jc w:val="left"/>
            </w:pPr>
            <w:r>
              <w:t xml:space="preserve">Reports category + read-only on most other surfaces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analyst</w:t>
            </w:r>
          </w:p>
        </w:tc>
        <w:tc>
          <w:p>
            <w:pPr>
              <w:pStyle w:val="Compact"/>
              <w:jc w:val="left"/>
            </w:pPr>
            <w:r>
              <w:t xml:space="preserve">Analyst (Configuration)</w:t>
            </w:r>
          </w:p>
        </w:tc>
        <w:tc>
          <w:p>
            <w:pPr>
              <w:pStyle w:val="Compact"/>
              <w:jc w:val="left"/>
            </w:pPr>
            <w:r>
              <w:t xml:space="preserve">MM - Configuration category (mm_screen, mm_field, etc.); read-only on operational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sysadmin</w:t>
            </w:r>
          </w:p>
        </w:tc>
        <w:tc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p>
            <w:pPr>
              <w:pStyle w:val="Compact"/>
              <w:jc w:val="left"/>
            </w:pPr>
            <w:r>
              <w:t xml:space="preserve">Admin category; full access for emergencies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citizen</w:t>
            </w:r>
          </w:p>
        </w:tc>
        <w:tc>
          <w:p>
            <w:pPr>
              <w:pStyle w:val="Compact"/>
              <w:jc w:val="left"/>
            </w:pPr>
            <w:r>
              <w:t xml:space="preserve">Citizen</w:t>
            </w:r>
          </w:p>
        </w:tc>
        <w:tc>
          <w:p>
            <w:pPr>
              <w:pStyle w:val="Compact"/>
              <w:jc w:val="left"/>
            </w:pPr>
            <w:r>
              <w:t xml:space="preserve">Registration Forms category only (the public wizard)</w:t>
            </w:r>
          </w:p>
        </w:tc>
      </w:tr>
    </w:tbl>
    <w:p>
      <w:pPr>
        <w:pStyle w:val="BodyText"/>
      </w:pPr>
      <w:r>
        <w:t xml:space="preserve">(Joget supports user-to-multiple-groups membership, so a person who</w:t>
      </w:r>
      <w:r>
        <w:t xml:space="preserve"> </w:t>
      </w:r>
      <w:r>
        <w:t xml:space="preserve">is both Programme Manager and Finance Lead joins both groups.)</w:t>
      </w:r>
    </w:p>
    <w:p>
      <w:pPr>
        <w:pStyle w:val="Heading3"/>
      </w:pPr>
      <w:bookmarkStart w:id="26" w:name="step-2b-apply-per-menu-permissions"/>
      <w:r>
        <w:t xml:space="preserve">Step 2b — Apply per-menu permissions</w:t>
      </w:r>
      <w:bookmarkEnd w:id="26"/>
    </w:p>
    <w:p>
      <w:pPr>
        <w:pStyle w:val="FirstParagraph"/>
      </w:pPr>
      <w:r>
        <w:t xml:space="preserve">The 8 userview categories have ~140 menus today. Edit</w:t>
      </w:r>
      <w:r>
        <w:t xml:space="preserve"> </w:t>
      </w:r>
      <w:r>
        <w:rPr>
          <w:rStyle w:val="VerbatimChar"/>
        </w:rPr>
        <w:t xml:space="preserve">_userviews/v.json</w:t>
      </w:r>
      <w:r>
        <w:t xml:space="preserve"> </w:t>
      </w:r>
      <w:r>
        <w:t xml:space="preserve">or use App Composer’s Userview Builder, and on each menu set the</w:t>
      </w:r>
      <w:r>
        <w:t xml:space="preserve"> </w:t>
      </w:r>
      <w:r>
        <w:rPr>
          <w:b/>
        </w:rPr>
        <w:t xml:space="preserve">Permission</w:t>
      </w:r>
      <w:r>
        <w:t xml:space="preserve"> </w:t>
      </w:r>
      <w:r>
        <w:t xml:space="preserve">property to the appropriate group.</w:t>
      </w:r>
    </w:p>
    <w:p>
      <w:pPr>
        <w:pStyle w:val="BodyText"/>
      </w:pPr>
      <w:r>
        <w:t xml:space="preserve">Recommended mapping (group → categories visible):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Visible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Registration Forms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citizen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operator_inbox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MOA Office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operator_inbox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me_lead</w:t>
            </w:r>
            <w:r>
              <w:t xml:space="preserve"> </w:t>
            </w:r>
            <w:r>
              <w:t xml:space="preserve">(read-only menus only),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Inputs Management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counter_staff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MM - 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</w:p>
        </w:tc>
      </w:tr>
    </w:tbl>
    <w:p>
      <w:pPr>
        <w:pStyle w:val="BodyText"/>
      </w:pPr>
      <w:r>
        <w:t xml:space="preserve">(Within each category, individual menus may need finer grain — e.g. in</w:t>
      </w:r>
      <w:r>
        <w:t xml:space="preserve"> </w:t>
      </w:r>
      <w:r>
        <w:t xml:space="preserve">Inputs Management, the</w:t>
      </w:r>
      <w:r>
        <w:t xml:space="preserve"> </w:t>
      </w:r>
      <w:r>
        <w:rPr>
          <w:rStyle w:val="VerbatimChar"/>
        </w:rPr>
        <w:t xml:space="preserve">Redeem Voucher</w:t>
      </w:r>
      <w:r>
        <w:t xml:space="preserve"> </w:t>
      </w:r>
      <w:r>
        <w:t xml:space="preserve">HtmlPage is for</w:t>
      </w:r>
      <w:r>
        <w:t xml:space="preserve"> </w:t>
      </w:r>
      <w:r>
        <w:rPr>
          <w:rStyle w:val="VerbatimChar"/>
        </w:rPr>
        <w:t xml:space="preserve">counter_staff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warehouse_manager</w:t>
      </w:r>
      <w:r>
        <w:t xml:space="preserve"> </w:t>
      </w:r>
      <w:r>
        <w:t xml:space="preserve">only, while the audit log is for</w:t>
      </w:r>
      <w:r>
        <w:t xml:space="preserve"> </w:t>
      </w:r>
      <w:r>
        <w:rPr>
          <w:rStyle w:val="VerbatimChar"/>
        </w:rPr>
        <w:t xml:space="preserve">me_lead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sysadmin</w:t>
      </w:r>
      <w:r>
        <w:t xml:space="preserve">.)</w:t>
      </w:r>
    </w:p>
    <w:p>
      <w:pPr>
        <w:pStyle w:val="Heading3"/>
      </w:pPr>
      <w:bookmarkStart w:id="27" w:name="step-2c-enforce-on-api-endpoints"/>
      <w:r>
        <w:t xml:space="preserve">Step 2c — Enforce on API endpoints</w:t>
      </w:r>
      <w:bookmarkEnd w:id="27"/>
    </w:p>
    <w:p>
      <w:pPr>
        <w:pStyle w:val="FirstParagraph"/>
      </w:pPr>
      <w:r>
        <w:t xml:space="preserve">API Builder lets you scope each API definition to an authenticated user</w:t>
      </w:r>
      <w:r>
        <w:t xml:space="preserve"> </w:t>
      </w:r>
      <w:r>
        <w:t xml:space="preserve">or service account, not just the shared key. For the production</w:t>
      </w:r>
      <w:r>
        <w:t xml:space="preserve"> </w:t>
      </w:r>
      <w:r>
        <w:t xml:space="preserve">deployment:</w:t>
      </w:r>
    </w:p>
    <w:p>
      <w:pPr>
        <w:numPr>
          <w:ilvl w:val="0"/>
          <w:numId w:val="1004"/>
        </w:numPr>
        <w:pStyle w:val="Compact"/>
      </w:pPr>
      <w:r>
        <w:t xml:space="preserve">The citizen wizard’s API can stay on the shared key (citizens are</w:t>
      </w:r>
      <w:r>
        <w:t xml:space="preserve"> </w:t>
      </w:r>
      <w:r>
        <w:t xml:space="preserve">anonymous by design).</w:t>
      </w:r>
    </w:p>
    <w:p>
      <w:pPr>
        <w:numPr>
          <w:ilvl w:val="0"/>
          <w:numId w:val="1004"/>
        </w:numPr>
        <w:pStyle w:val="Compact"/>
      </w:pPr>
      <w:r>
        <w:t xml:space="preserve">The operator decision API and budget dispatch APIs should be tied to</w:t>
      </w:r>
      <w:r>
        <w:t xml:space="preserve"> </w:t>
      </w:r>
      <w:r>
        <w:t xml:space="preserve">named service accounts whose membership in</w:t>
      </w:r>
      <w:r>
        <w:t xml:space="preserve"> </w:t>
      </w:r>
      <w:r>
        <w:rPr>
          <w:rStyle w:val="VerbatimChar"/>
        </w:rPr>
        <w:t xml:space="preserve">operator_inbox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finance_lead</w:t>
      </w:r>
      <w:r>
        <w:t xml:space="preserve"> </w:t>
      </w:r>
      <w:r>
        <w:t xml:space="preserve">is checked at request time.</w:t>
      </w:r>
    </w:p>
    <w:p>
      <w:pPr>
        <w:numPr>
          <w:ilvl w:val="0"/>
          <w:numId w:val="1004"/>
        </w:numPr>
        <w:pStyle w:val="Compact"/>
      </w:pPr>
      <w:r>
        <w:t xml:space="preserve">The MDM list endpoint can stay open (it returns reference data, not</w:t>
      </w:r>
      <w:r>
        <w:t xml:space="preserve"> </w:t>
      </w:r>
      <w:r>
        <w:t xml:space="preserve">PII).</w:t>
      </w:r>
    </w:p>
    <w:p>
      <w:pPr>
        <w:pStyle w:val="Heading3"/>
      </w:pPr>
      <w:bookmarkStart w:id="28" w:name="step-2d-real-users-demo-users-out"/>
      <w:r>
        <w:t xml:space="preserve">Step 2d — Real users, demo users out</w:t>
      </w:r>
      <w:bookmarkEnd w:id="28"/>
    </w:p>
    <w:p>
      <w:pPr>
        <w:pStyle w:val="FirstParagraph"/>
      </w:pPr>
      <w:r>
        <w:t xml:space="preserve">The current dev environment has 12 demo users (admin, clark, julia,</w:t>
      </w:r>
      <w:r>
        <w:t xml:space="preserve"> </w:t>
      </w:r>
      <w:r>
        <w:t xml:space="preserve">etc.) and 3 demo groups. For production:</w:t>
      </w:r>
    </w:p>
    <w:p>
      <w:pPr>
        <w:numPr>
          <w:ilvl w:val="0"/>
          <w:numId w:val="1005"/>
        </w:numPr>
        <w:pStyle w:val="Compact"/>
      </w:pPr>
      <w:r>
        <w:t xml:space="preserve">Disable / delete the demo accounts.</w:t>
      </w:r>
    </w:p>
    <w:p>
      <w:pPr>
        <w:numPr>
          <w:ilvl w:val="0"/>
          <w:numId w:val="1005"/>
        </w:numPr>
        <w:pStyle w:val="Compact"/>
      </w:pPr>
      <w:r>
        <w:t xml:space="preserve">Create real MAFSN staff accounts. Either through Joget’s user</w:t>
      </w:r>
      <w:r>
        <w:t xml:space="preserve"> </w:t>
      </w:r>
      <w:r>
        <w:t xml:space="preserve">management UI, or via LDAP/AD integration if MAFSN already runs an</w:t>
      </w:r>
      <w:r>
        <w:t xml:space="preserve"> </w:t>
      </w:r>
      <w:r>
        <w:t xml:space="preserve">identity provider.</w:t>
      </w:r>
    </w:p>
    <w:p>
      <w:pPr>
        <w:numPr>
          <w:ilvl w:val="0"/>
          <w:numId w:val="1005"/>
        </w:numPr>
        <w:pStyle w:val="Compact"/>
      </w:pPr>
      <w:r>
        <w:t xml:space="preserve">Assign each user to their groups.</w:t>
      </w:r>
    </w:p>
    <w:p>
      <w:pPr>
        <w:pStyle w:val="FirstParagraph"/>
      </w:pPr>
      <w:r>
        <w:t xml:space="preserve">Recommended: start with 5–10 named staff per role, expand as</w:t>
      </w:r>
      <w:r>
        <w:t xml:space="preserve"> </w:t>
      </w:r>
      <w:r>
        <w:t xml:space="preserve">operations scale.</w:t>
      </w:r>
    </w:p>
    <w:p>
      <w:pPr>
        <w:pStyle w:val="BodyText"/>
      </w:pPr>
      <w:r>
        <w:rPr>
          <w:b/>
        </w:rPr>
        <w:t xml:space="preserve">Estimated effort for items 2a–2d:</w:t>
      </w:r>
      <w:r>
        <w:t xml:space="preserve"> </w:t>
      </w:r>
      <w:r>
        <w:t xml:space="preserve">half a day for the configuration,</w:t>
      </w:r>
      <w:r>
        <w:t xml:space="preserve"> </w:t>
      </w:r>
      <w:r>
        <w:t xml:space="preserve">plus the time it takes MAFSN HR/IT to confirm the staff list.</w:t>
      </w:r>
    </w:p>
    <w:p>
      <w:pPr>
        <w:pStyle w:val="Heading2"/>
      </w:pPr>
      <w:bookmarkStart w:id="29" w:name="external-security-review"/>
      <w:r>
        <w:t xml:space="preserve">3. External security review</w:t>
      </w:r>
      <w:bookmarkEnd w:id="29"/>
    </w:p>
    <w:p>
      <w:pPr>
        <w:pStyle w:val="FirstParagraph"/>
      </w:pPr>
      <w:r>
        <w:t xml:space="preserve">Before opening the portal to real citizens at scale, MAFSN should</w:t>
      </w:r>
      <w:r>
        <w:t xml:space="preserve"> </w:t>
      </w:r>
      <w:r>
        <w:t xml:space="preserve">commission an external security review. This is procurement on your</w:t>
      </w:r>
      <w:r>
        <w:t xml:space="preserve"> </w:t>
      </w:r>
      <w:r>
        <w:t xml:space="preserve">side; we cannot do it ourselves.</w:t>
      </w:r>
    </w:p>
    <w:p>
      <w:pPr>
        <w:pStyle w:val="Heading3"/>
      </w:pPr>
      <w:bookmarkStart w:id="30" w:name="what-to-ask-the-auditor-for"/>
      <w:r>
        <w:t xml:space="preserve">What to ask the auditor for</w:t>
      </w:r>
      <w:bookmarkEnd w:id="30"/>
    </w:p>
    <w:p>
      <w:pPr>
        <w:pStyle w:val="FirstParagraph"/>
      </w:pPr>
      <w:r>
        <w:t xml:space="preserve">A typical OWASP-aligned web application security assessment, with</w:t>
      </w:r>
      <w:r>
        <w:t xml:space="preserve"> </w:t>
      </w:r>
      <w:r>
        <w:t xml:space="preserve">agriculture-sector + PII scope add-ons: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OWASP Top-10 review</w:t>
      </w:r>
      <w:r>
        <w:t xml:space="preserve"> </w:t>
      </w:r>
      <w:r>
        <w:t xml:space="preserve">of the citizen wizard and the operator</w:t>
      </w:r>
      <w:r>
        <w:t xml:space="preserve"> </w:t>
      </w:r>
      <w:r>
        <w:t xml:space="preserve">surfaces. SQL injection (we believe we’re protected by Joget’s DAO +</w:t>
      </w:r>
      <w:r>
        <w:t xml:space="preserve"> </w:t>
      </w:r>
      <w:r>
        <w:t xml:space="preserve">JdbcDataListBinder’s parameterised queries; auditor confirms),</w:t>
      </w:r>
      <w:r>
        <w:t xml:space="preserve"> </w:t>
      </w:r>
      <w:r>
        <w:t xml:space="preserve">XSS (Joget escapes by default; HtmlPage menus require care),</w:t>
      </w:r>
      <w:r>
        <w:t xml:space="preserve"> </w:t>
      </w:r>
      <w:r>
        <w:t xml:space="preserve">CSRF (Joget tokens by default), broken authentication, etc.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API security review</w:t>
      </w:r>
      <w:r>
        <w:t xml:space="preserve"> </w:t>
      </w:r>
      <w:r>
        <w:t xml:space="preserve">— every endpoint enabled in API Builder.</w:t>
      </w:r>
      <w:r>
        <w:t xml:space="preserve"> </w:t>
      </w:r>
      <w:r>
        <w:t xml:space="preserve">Rate limiting, abuse detection, authorisation depth. Confirm no</w:t>
      </w:r>
      <w:r>
        <w:t xml:space="preserve"> </w:t>
      </w:r>
      <w:r>
        <w:t xml:space="preserve">endpoint allows arbitrary table reads or schema introspection.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PII handling</w:t>
      </w:r>
      <w:r>
        <w:t xml:space="preserve"> </w:t>
      </w:r>
      <w:r>
        <w:t xml:space="preserve">— the farmer registry contains national IDs,</w:t>
      </w:r>
      <w:r>
        <w:t xml:space="preserve"> </w:t>
      </w:r>
      <w:r>
        <w:t xml:space="preserve">household composition, GPS coordinates. Confirm encryption at rest</w:t>
      </w:r>
      <w:r>
        <w:t xml:space="preserve"> </w:t>
      </w:r>
      <w:r>
        <w:t xml:space="preserve">(Postgres TDE or filesystem encryption), encryption in transit</w:t>
      </w:r>
      <w:r>
        <w:t xml:space="preserve"> </w:t>
      </w:r>
      <w:r>
        <w:t xml:space="preserve">(HTTPS/TLS 1.2+), access-log retention discipline, data-deletion</w:t>
      </w:r>
      <w:r>
        <w:t xml:space="preserve"> </w:t>
      </w:r>
      <w:r>
        <w:t xml:space="preserve">request handling (right-to-be-forgotten under any applicable law).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Joget version + plugin CVE check</w:t>
      </w:r>
      <w:r>
        <w:t xml:space="preserve"> </w:t>
      </w:r>
      <w:r>
        <w:t xml:space="preserve">— the running Joget DX version</w:t>
      </w:r>
      <w:r>
        <w:t xml:space="preserve"> </w:t>
      </w:r>
      <w:r>
        <w:t xml:space="preserve">plus all custom plugins (reg-bb-engine, form-creator-api,</w:t>
      </w:r>
      <w:r>
        <w:t xml:space="preserve"> </w:t>
      </w:r>
      <w:r>
        <w:t xml:space="preserve">joget-smart-search, etc.). Auditor checks each against published</w:t>
      </w:r>
      <w:r>
        <w:t xml:space="preserve"> </w:t>
      </w:r>
      <w:r>
        <w:t xml:space="preserve">CVE databases.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Backup encryption + key custody</w:t>
      </w:r>
      <w:r>
        <w:t xml:space="preserve"> </w:t>
      </w:r>
      <w:r>
        <w:t xml:space="preserve">— who holds the keys, where are</w:t>
      </w:r>
      <w:r>
        <w:t xml:space="preserve"> </w:t>
      </w:r>
      <w:r>
        <w:t xml:space="preserve">they kept, what’s the rotation policy.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Incident response</w:t>
      </w:r>
      <w:r>
        <w:t xml:space="preserve"> </w:t>
      </w:r>
      <w:r>
        <w:t xml:space="preserve">— what happens if a breach is suspected.</w:t>
      </w:r>
      <w:r>
        <w:t xml:space="preserve"> </w:t>
      </w:r>
      <w:r>
        <w:t xml:space="preserve">Logging discipline, log retention, who gets notified.</w:t>
      </w:r>
    </w:p>
    <w:p>
      <w:pPr>
        <w:pStyle w:val="Heading3"/>
      </w:pPr>
      <w:bookmarkStart w:id="31" w:name="recommended-providers"/>
      <w:r>
        <w:t xml:space="preserve">Recommended providers</w:t>
      </w:r>
      <w:bookmarkEnd w:id="31"/>
    </w:p>
    <w:p>
      <w:pPr>
        <w:pStyle w:val="FirstParagraph"/>
      </w:pPr>
      <w:r>
        <w:t xml:space="preserve">A regional shortlist (we don’t endorse any specifically; consult MAFSN</w:t>
      </w:r>
      <w:r>
        <w:t xml:space="preserve"> </w:t>
      </w:r>
      <w:r>
        <w:t xml:space="preserve">procurement):</w:t>
      </w:r>
    </w:p>
    <w:p>
      <w:pPr>
        <w:numPr>
          <w:ilvl w:val="0"/>
          <w:numId w:val="1007"/>
        </w:numPr>
        <w:pStyle w:val="Compact"/>
      </w:pPr>
      <w:r>
        <w:t xml:space="preserve">Lesotho-based: ?</w:t>
      </w:r>
    </w:p>
    <w:p>
      <w:pPr>
        <w:numPr>
          <w:ilvl w:val="0"/>
          <w:numId w:val="1007"/>
        </w:numPr>
        <w:pStyle w:val="Compact"/>
      </w:pPr>
      <w:r>
        <w:t xml:space="preserve">South Africa-based: SecureData (Johannesburg), MWR InfoSecurity ZA,</w:t>
      </w:r>
      <w:r>
        <w:t xml:space="preserve"> </w:t>
      </w:r>
      <w:r>
        <w:t xml:space="preserve">KPMG South Africa Cyber Practice.</w:t>
      </w:r>
    </w:p>
    <w:p>
      <w:pPr>
        <w:numPr>
          <w:ilvl w:val="0"/>
          <w:numId w:val="1007"/>
        </w:numPr>
        <w:pStyle w:val="Compact"/>
      </w:pPr>
      <w:r>
        <w:t xml:space="preserve">Internationally available remotely: NCC Group, Bishop Fox, Trail of</w:t>
      </w:r>
      <w:r>
        <w:t xml:space="preserve"> </w:t>
      </w:r>
      <w:r>
        <w:t xml:space="preserve">Bits.</w:t>
      </w:r>
    </w:p>
    <w:p>
      <w:pPr>
        <w:pStyle w:val="FirstParagraph"/>
      </w:pPr>
      <w:r>
        <w:t xml:space="preserve">Budget: typical OWASP-Top-10 assessment of a single-app system runs</w:t>
      </w:r>
      <w:r>
        <w:t xml:space="preserve"> </w:t>
      </w:r>
      <w:r>
        <w:t xml:space="preserve">USD 15k–40k depending on depth and provider. Allow 2–3 weeks elapsed</w:t>
      </w:r>
      <w:r>
        <w:t xml:space="preserve"> </w:t>
      </w:r>
      <w:r>
        <w:t xml:space="preserve">once the auditor is engaged.</w:t>
      </w:r>
    </w:p>
    <w:p>
      <w:pPr>
        <w:pStyle w:val="Heading3"/>
      </w:pPr>
      <w:bookmarkStart w:id="32" w:name="what-to-do-with-findings"/>
      <w:r>
        <w:t xml:space="preserve">What to do with findings</w:t>
      </w:r>
      <w:bookmarkEnd w:id="32"/>
    </w:p>
    <w:p>
      <w:pPr>
        <w:pStyle w:val="FirstParagraph"/>
      </w:pPr>
      <w:r>
        <w:t xml:space="preserve">The auditor returns a report with severity-ranked findings. For each: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Critical / High</w:t>
      </w:r>
      <w:r>
        <w:t xml:space="preserve"> </w:t>
      </w:r>
      <w:r>
        <w:t xml:space="preserve">— must fix before production exposure. We help</w:t>
      </w:r>
      <w:r>
        <w:t xml:space="preserve"> </w:t>
      </w:r>
      <w:r>
        <w:t xml:space="preserve">with the code-side fixes; you pay for the audit re-test.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Medium</w:t>
      </w:r>
      <w:r>
        <w:t xml:space="preserve"> </w:t>
      </w:r>
      <w:r>
        <w:t xml:space="preserve">— fix within 30 days of report.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Low / Informational</w:t>
      </w:r>
      <w:r>
        <w:t xml:space="preserve"> </w:t>
      </w:r>
      <w:r>
        <w:t xml:space="preserve">— backlog; address opportunistically.</w:t>
      </w:r>
    </w:p>
    <w:p>
      <w:pPr>
        <w:pStyle w:val="Heading2"/>
      </w:pPr>
      <w:bookmarkStart w:id="33" w:name="production-hardening-checklist"/>
      <w:r>
        <w:t xml:space="preserve">4. Production hardening checklist</w:t>
      </w:r>
      <w:bookmarkEnd w:id="33"/>
    </w:p>
    <w:p>
      <w:pPr>
        <w:pStyle w:val="FirstParagraph"/>
      </w:pPr>
      <w:r>
        <w:t xml:space="preserve">Operational discipline that MAFSN ICT owns. Most items are hosting-side,</w:t>
      </w:r>
      <w:r>
        <w:t xml:space="preserve"> </w:t>
      </w:r>
      <w:r>
        <w:t xml:space="preserve">not Joget-config.</w:t>
      </w:r>
    </w:p>
    <w:p>
      <w:pPr>
        <w:pStyle w:val="Heading3"/>
      </w:pPr>
      <w:bookmarkStart w:id="34" w:name="a-jvm-heap-tomcat-tuning"/>
      <w:r>
        <w:t xml:space="preserve">4a — JVM heap + Tomcat tuning</w:t>
      </w:r>
      <w:bookmarkEnd w:id="34"/>
    </w:p>
    <w:p>
      <w:pPr>
        <w:pStyle w:val="FirstParagraph"/>
      </w:pPr>
      <w:r>
        <w:t xml:space="preserve">The Joget JVM in dev runs on default heap (likely 1–2 GB). For</w:t>
      </w:r>
      <w:r>
        <w:t xml:space="preserve"> </w:t>
      </w:r>
      <w:r>
        <w:t xml:space="preserve">production with 50K farmers + heavy reporting:</w:t>
      </w:r>
    </w:p>
    <w:p>
      <w:pPr>
        <w:numPr>
          <w:ilvl w:val="0"/>
          <w:numId w:val="1009"/>
        </w:numPr>
        <w:pStyle w:val="Compact"/>
      </w:pPr>
      <w:r>
        <w:t xml:space="preserve">Heap: at least 4 GB (</w:t>
      </w:r>
      <w:r>
        <w:rPr>
          <w:rStyle w:val="VerbatimChar"/>
        </w:rPr>
        <w:t xml:space="preserve">-Xmx4g</w:t>
      </w:r>
      <w:r>
        <w:t xml:space="preserve">), 8 GB if budget allows.</w:t>
      </w:r>
    </w:p>
    <w:p>
      <w:pPr>
        <w:numPr>
          <w:ilvl w:val="0"/>
          <w:numId w:val="1009"/>
        </w:numPr>
        <w:pStyle w:val="Compact"/>
      </w:pPr>
      <w:r>
        <w:t xml:space="preserve">Tune G1GC:</w:t>
      </w:r>
      <w:r>
        <w:t xml:space="preserve"> </w:t>
      </w:r>
      <w:r>
        <w:rPr>
          <w:rStyle w:val="VerbatimChar"/>
        </w:rPr>
        <w:t xml:space="preserve">-XX:+UseG1GC -XX:MaxGCPauseMillis=200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-Xss</w:t>
      </w:r>
      <w:r>
        <w:t xml:space="preserve"> </w:t>
      </w:r>
      <w:r>
        <w:t xml:space="preserve">(per-thread stack) is sane:</w:t>
      </w:r>
      <w:r>
        <w:t xml:space="preserve"> </w:t>
      </w:r>
      <w:r>
        <w:rPr>
          <w:rStyle w:val="VerbatimChar"/>
        </w:rPr>
        <w:t xml:space="preserve">-Xss256k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File descriptor ulimit: at least 65536.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/etc/systemd/system/joget.service</w:t>
      </w:r>
      <w:r>
        <w:t xml:space="preserve"> </w:t>
      </w:r>
      <w:r>
        <w:t xml:space="preserve">(or wherever the unit file</w:t>
      </w:r>
      <w:r>
        <w:t xml:space="preserve"> </w:t>
      </w:r>
      <w:r>
        <w:t xml:space="preserve">lives) and restart Joget after changes. Verify with</w:t>
      </w:r>
      <w:r>
        <w:t xml:space="preserve"> </w:t>
      </w:r>
      <w:r>
        <w:rPr>
          <w:rStyle w:val="VerbatimChar"/>
        </w:rPr>
        <w:t xml:space="preserve">jcmd &lt;pid&gt; VM.flags</w:t>
      </w:r>
      <w:r>
        <w:t xml:space="preserve"> </w:t>
      </w:r>
      <w:r>
        <w:t xml:space="preserve">after restart.</w:t>
      </w:r>
    </w:p>
    <w:p>
      <w:pPr>
        <w:pStyle w:val="Heading3"/>
      </w:pPr>
      <w:bookmarkStart w:id="35" w:name="b-postgres-connection-pool"/>
      <w:r>
        <w:t xml:space="preserve">4b — Postgres connection pool</w:t>
      </w:r>
      <w:bookmarkEnd w:id="35"/>
    </w:p>
    <w:p>
      <w:pPr>
        <w:pStyle w:val="FirstParagraph"/>
      </w:pPr>
      <w:r>
        <w:t xml:space="preserve">The default Joget connection pool config is small. For production</w:t>
      </w:r>
      <w:r>
        <w:t xml:space="preserve"> </w:t>
      </w:r>
      <w:r>
        <w:t xml:space="preserve">load:</w:t>
      </w:r>
    </w:p>
    <w:p>
      <w:pPr>
        <w:numPr>
          <w:ilvl w:val="0"/>
          <w:numId w:val="1010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wflow/wflow-postgres/META-INF/wflow.properties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wflowDataSource.maxIdle=20</w:t>
      </w:r>
      <w:r>
        <w:t xml:space="preserve"> </w:t>
      </w:r>
      <w:r>
        <w:t xml:space="preserve">(default 5)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wflowDataSource.maxActive=80</w:t>
      </w:r>
      <w:r>
        <w:t xml:space="preserve"> </w:t>
      </w:r>
      <w:r>
        <w:t xml:space="preserve">(default 20)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wflowDataSource.maxWait=30000</w:t>
      </w:r>
      <w:r>
        <w:t xml:space="preserve"> </w:t>
      </w:r>
      <w:r>
        <w:t xml:space="preserve">(30s)</w:t>
      </w:r>
    </w:p>
    <w:p>
      <w:pPr>
        <w:numPr>
          <w:ilvl w:val="0"/>
          <w:numId w:val="1010"/>
        </w:numPr>
        <w:pStyle w:val="Compact"/>
      </w:pPr>
      <w:r>
        <w:t xml:space="preserve">Postgres-side: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should be at least 200 (default</w:t>
      </w:r>
      <w:r>
        <w:t xml:space="preserve"> </w:t>
      </w:r>
      <w:r>
        <w:t xml:space="preserve">often 100 on managed Azure tiers — request an increase if needed).</w:t>
      </w:r>
    </w:p>
    <w:p>
      <w:pPr>
        <w:numPr>
          <w:ilvl w:val="0"/>
          <w:numId w:val="1010"/>
        </w:numPr>
        <w:pStyle w:val="Compact"/>
      </w:pPr>
      <w:r>
        <w:t xml:space="preserve">Confirm Postgres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 </w:t>
      </w:r>
      <w:r>
        <w:t xml:space="preserve">is at least 25% of available RAM.</w:t>
      </w:r>
    </w:p>
    <w:p>
      <w:pPr>
        <w:pStyle w:val="Heading3"/>
      </w:pPr>
      <w:bookmarkStart w:id="36" w:name="c-log-rotation-retention"/>
      <w:r>
        <w:t xml:space="preserve">4c — Log rotation + retention</w:t>
      </w:r>
      <w:bookmarkEnd w:id="36"/>
    </w:p>
    <w:p>
      <w:pPr>
        <w:pStyle w:val="FirstParagraph"/>
      </w:pPr>
      <w:r>
        <w:t xml:space="preserve">Joget logs to</w:t>
      </w:r>
      <w:r>
        <w:t xml:space="preserve"> </w:t>
      </w:r>
      <w:r>
        <w:rPr>
          <w:rStyle w:val="VerbatimChar"/>
        </w:rPr>
        <w:t xml:space="preserve">wflow/joget.log</w:t>
      </w:r>
      <w:r>
        <w:t xml:space="preserve"> </w:t>
      </w:r>
      <w:r>
        <w:t xml:space="preserve">and grows unbounded. Set up</w:t>
      </w:r>
      <w:r>
        <w:t xml:space="preserve"> </w:t>
      </w:r>
      <w:r>
        <w:t xml:space="preserve">logrotate:</w:t>
      </w:r>
    </w:p>
    <w:p>
      <w:pPr>
        <w:pStyle w:val="SourceCode"/>
      </w:pPr>
      <w:r>
        <w:rPr>
          <w:rStyle w:val="VerbatimChar"/>
        </w:rPr>
        <w:t xml:space="preserve"># /etc/logrotate.d/joget</w:t>
      </w:r>
      <w:r>
        <w:br/>
      </w:r>
      <w:r>
        <w:rPr>
          <w:rStyle w:val="VerbatimChar"/>
        </w:rPr>
        <w:t xml:space="preserve">/path/to/wflow/joget.log {</w:t>
      </w:r>
      <w:r>
        <w:br/>
      </w:r>
      <w:r>
        <w:rPr>
          <w:rStyle w:val="VerbatimChar"/>
        </w:rPr>
        <w:t xml:space="preserve">    daily</w:t>
      </w:r>
      <w:r>
        <w:br/>
      </w:r>
      <w:r>
        <w:rPr>
          <w:rStyle w:val="VerbatimChar"/>
        </w:rPr>
        <w:t xml:space="preserve">    rotate 30</w:t>
      </w:r>
      <w:r>
        <w:br/>
      </w:r>
      <w:r>
        <w:rPr>
          <w:rStyle w:val="VerbatimChar"/>
        </w:rPr>
        <w:t xml:space="preserve">    compress</w:t>
      </w:r>
      <w:r>
        <w:br/>
      </w:r>
      <w:r>
        <w:rPr>
          <w:rStyle w:val="VerbatimChar"/>
        </w:rPr>
        <w:t xml:space="preserve">    delaycompress</w:t>
      </w:r>
      <w:r>
        <w:br/>
      </w:r>
      <w:r>
        <w:rPr>
          <w:rStyle w:val="VerbatimChar"/>
        </w:rPr>
        <w:t xml:space="preserve">    missingok</w:t>
      </w:r>
      <w:r>
        <w:br/>
      </w:r>
      <w:r>
        <w:rPr>
          <w:rStyle w:val="VerbatimChar"/>
        </w:rPr>
        <w:t xml:space="preserve">    notifempty</w:t>
      </w:r>
      <w:r>
        <w:br/>
      </w:r>
      <w:r>
        <w:rPr>
          <w:rStyle w:val="VerbatimChar"/>
        </w:rPr>
        <w:t xml:space="preserve">    copytruncate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Retention: 30 days is typical for operational logs; the</w:t>
      </w:r>
      <w:r>
        <w:t xml:space="preserve"> </w:t>
      </w:r>
      <w:r>
        <w:rPr>
          <w:rStyle w:val="VerbatimChar"/>
        </w:rPr>
        <w:t xml:space="preserve">reg_bb_eval_audit</w:t>
      </w:r>
      <w:r>
        <w:t xml:space="preserve"> </w:t>
      </w:r>
      <w:r>
        <w:t xml:space="preserve">table has its own playbook (see CLAUDE.md</w:t>
      </w:r>
      <w:r>
        <w:t xml:space="preserve"> </w:t>
      </w:r>
      <w:r>
        <w:t xml:space="preserve">“</w:t>
      </w:r>
      <w:r>
        <w:t xml:space="preserve">Audit</w:t>
      </w:r>
      <w:r>
        <w:t xml:space="preserve"> </w:t>
      </w:r>
      <w:r>
        <w:t xml:space="preserve">retention</w:t>
      </w:r>
      <w:r>
        <w:t xml:space="preserve">”</w:t>
      </w:r>
      <w:r>
        <w:t xml:space="preserve"> </w:t>
      </w:r>
      <w:r>
        <w:t xml:space="preserve">section) — that’s separate from infrastructure logs.</w:t>
      </w:r>
    </w:p>
    <w:p>
      <w:pPr>
        <w:pStyle w:val="Heading3"/>
      </w:pPr>
      <w:bookmarkStart w:id="37" w:name="d-backups"/>
      <w:r>
        <w:t xml:space="preserve">4d — Backups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Postgres</w:t>
      </w:r>
      <w:r>
        <w:t xml:space="preserve">: Azure-managed snapshots cover this — verify the schedule</w:t>
      </w:r>
      <w:r>
        <w:t xml:space="preserve"> </w:t>
      </w:r>
      <w:r>
        <w:t xml:space="preserve">is daily and retention is at least 30 days. The next item delivers a</w:t>
      </w:r>
      <w:r>
        <w:t xml:space="preserve"> </w:t>
      </w:r>
      <w:r>
        <w:t xml:space="preserve">tested restore procedure.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JWA + plugin .jar files</w:t>
      </w:r>
      <w:r>
        <w:t xml:space="preserve">: tracked in git (</w:t>
      </w:r>
      <w:r>
        <w:rPr>
          <w:rStyle w:val="VerbatimChar"/>
        </w:rPr>
        <w:t xml:space="preserve">gs-plugins/</w:t>
      </w:r>
      <w:r>
        <w:t xml:space="preserve"> </w:t>
      </w:r>
      <w:r>
        <w:t xml:space="preserve">directory).</w:t>
      </w:r>
      <w:r>
        <w:t xml:space="preserve"> </w:t>
      </w:r>
      <w:r>
        <w:t xml:space="preserve">Verify the repo has off-site mirror (GitHub / GitLab / Bitbucket).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wflow/app_formuploads/</w:t>
      </w:r>
      <w:r>
        <w:t xml:space="preserve"> </w:t>
      </w:r>
      <w:r>
        <w:t xml:space="preserve">(signature PNGs, invoice scans): this is</w:t>
      </w:r>
      <w:r>
        <w:t xml:space="preserve"> </w:t>
      </w:r>
      <w:r>
        <w:t xml:space="preserve">on the VM disk. Add to a daily rsync/snapshot to a separate storage</w:t>
      </w:r>
      <w:r>
        <w:t xml:space="preserve"> </w:t>
      </w:r>
      <w:r>
        <w:t xml:space="preserve">account.</w:t>
      </w:r>
    </w:p>
    <w:p>
      <w:pPr>
        <w:pStyle w:val="Heading3"/>
      </w:pPr>
      <w:bookmarkStart w:id="38" w:name="e-monitoring"/>
      <w:r>
        <w:t xml:space="preserve">4e — Monitoring</w:t>
      </w:r>
      <w:bookmarkEnd w:id="3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Application logs</w:t>
      </w:r>
      <w:r>
        <w:t xml:space="preserve"> </w:t>
      </w:r>
      <w:r>
        <w:t xml:space="preserve">— already handled by 4c.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System metrics</w:t>
      </w:r>
      <w:r>
        <w:t xml:space="preserve"> </w:t>
      </w:r>
      <w:r>
        <w:t xml:space="preserve">— install</w:t>
      </w:r>
      <w:r>
        <w:t xml:space="preserve"> </w:t>
      </w:r>
      <w:r>
        <w:rPr>
          <w:rStyle w:val="VerbatimChar"/>
        </w:rPr>
        <w:t xml:space="preserve">node_exporter</w:t>
      </w:r>
      <w:r>
        <w:t xml:space="preserve"> </w:t>
      </w:r>
      <w:r>
        <w:t xml:space="preserve">and Prometheus (or use</w:t>
      </w:r>
      <w:r>
        <w:t xml:space="preserve"> </w:t>
      </w:r>
      <w:r>
        <w:t xml:space="preserve">Azure Monitor’s VM agent). Track: CPU, memory, disk I/O, JVM heap,</w:t>
      </w:r>
      <w:r>
        <w:t xml:space="preserve"> </w:t>
      </w:r>
      <w:r>
        <w:t xml:space="preserve">Tomcat thread count.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Application metrics</w:t>
      </w:r>
      <w:r>
        <w:t xml:space="preserve"> </w:t>
      </w:r>
      <w:r>
        <w:t xml:space="preserve">— Joget doesn’t expose Prometheus natively.</w:t>
      </w:r>
      <w:r>
        <w:t xml:space="preserve"> </w:t>
      </w:r>
      <w:r>
        <w:t xml:space="preserve">As a low-effort proxy: a daily cron job that runs the e2e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_tooling/test_im_e2e.py</w:t>
      </w:r>
      <w:r>
        <w:t xml:space="preserve">) and alerts if it fails.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Postgres metrics</w:t>
      </w:r>
      <w:r>
        <w:t xml:space="preserve"> </w:t>
      </w:r>
      <w:r>
        <w:t xml:space="preserve">— Azure Postgres surfaces these in the portal;</w:t>
      </w:r>
      <w:r>
        <w:t xml:space="preserve"> </w:t>
      </w:r>
      <w:r>
        <w:t xml:space="preserve">add alerts on connection-pool exhaustion and disk-space warnings.</w:t>
      </w:r>
    </w:p>
    <w:p>
      <w:pPr>
        <w:pStyle w:val="Heading3"/>
      </w:pPr>
      <w:bookmarkStart w:id="39" w:name="f-tls-https"/>
      <w:r>
        <w:t xml:space="preserve">4f — TLS / HTTPS</w:t>
      </w:r>
      <w:bookmarkEnd w:id="39"/>
    </w:p>
    <w:p>
      <w:pPr>
        <w:pStyle w:val="FirstParagraph"/>
      </w:pPr>
      <w:r>
        <w:t xml:space="preserve">Production must be HTTPS only. If you’re terminating TLS at an Azure</w:t>
      </w:r>
      <w:r>
        <w:t xml:space="preserve"> </w:t>
      </w:r>
      <w:r>
        <w:t xml:space="preserve">App Gateway / nginx in front of Tomcat:</w:t>
      </w:r>
    </w:p>
    <w:p>
      <w:pPr>
        <w:numPr>
          <w:ilvl w:val="0"/>
          <w:numId w:val="1014"/>
        </w:numPr>
        <w:pStyle w:val="Compact"/>
      </w:pPr>
      <w:r>
        <w:t xml:space="preserve">Disable Tomcat’s HTTP connector entirely (or bind it to localhost</w:t>
      </w:r>
      <w:r>
        <w:t xml:space="preserve"> </w:t>
      </w:r>
      <w:r>
        <w:t xml:space="preserve">only).</w:t>
      </w:r>
    </w:p>
    <w:p>
      <w:pPr>
        <w:numPr>
          <w:ilvl w:val="0"/>
          <w:numId w:val="1014"/>
        </w:numPr>
        <w:pStyle w:val="Compact"/>
      </w:pPr>
      <w:r>
        <w:t xml:space="preserve">Configure HSTS headers:</w:t>
      </w:r>
      <w:r>
        <w:t xml:space="preserve"> </w:t>
      </w:r>
      <w:r>
        <w:rPr>
          <w:rStyle w:val="VerbatimChar"/>
        </w:rPr>
        <w:t xml:space="preserve">Strict-Transport-Security: max-age=31536000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Disable TLS 1.0 and 1.1; enforce TLS 1.2 minimum.</w:t>
      </w:r>
    </w:p>
    <w:p>
      <w:pPr>
        <w:numPr>
          <w:ilvl w:val="0"/>
          <w:numId w:val="1014"/>
        </w:numPr>
        <w:pStyle w:val="Compact"/>
      </w:pPr>
      <w:r>
        <w:t xml:space="preserve">Use Let’s Encrypt or an Azure-managed cert; rotate quarterly.</w:t>
      </w:r>
    </w:p>
    <w:p>
      <w:pPr>
        <w:pStyle w:val="Heading3"/>
      </w:pPr>
      <w:bookmarkStart w:id="40" w:name="g-dns-branding"/>
      <w:r>
        <w:t xml:space="preserve">4g — DNS + branding</w:t>
      </w:r>
      <w:bookmarkEnd w:id="40"/>
    </w:p>
    <w:p>
      <w:pPr>
        <w:numPr>
          <w:ilvl w:val="0"/>
          <w:numId w:val="1015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farmersportal.gov.ls</w:t>
      </w:r>
      <w:r>
        <w:t xml:space="preserve"> </w:t>
      </w:r>
      <w:r>
        <w:t xml:space="preserve">(or chosen DNS name) points at the</w:t>
      </w:r>
      <w:r>
        <w:t xml:space="preserve"> </w:t>
      </w:r>
      <w:r>
        <w:t xml:space="preserve">production VM.</w:t>
      </w:r>
    </w:p>
    <w:p>
      <w:pPr>
        <w:numPr>
          <w:ilvl w:val="0"/>
          <w:numId w:val="1015"/>
        </w:numPr>
        <w:pStyle w:val="Compact"/>
      </w:pPr>
      <w:r>
        <w:t xml:space="preserve">Configure the userview’s logo to the MAFSN crest (App Composer →</w:t>
      </w:r>
      <w:r>
        <w:t xml:space="preserve"> </w:t>
      </w:r>
      <w:r>
        <w:t xml:space="preserve">Userview → Theme → Logo).</w:t>
      </w:r>
    </w:p>
    <w:p>
      <w:pPr>
        <w:numPr>
          <w:ilvl w:val="0"/>
          <w:numId w:val="1015"/>
        </w:numPr>
        <w:pStyle w:val="Compact"/>
      </w:pPr>
      <w:r>
        <w:t xml:space="preserve">Confirm citizen-facing screens display</w:t>
      </w:r>
      <w:r>
        <w:t xml:space="preserve"> </w:t>
      </w:r>
      <w:r>
        <w:t xml:space="preserve">“</w:t>
      </w:r>
      <w:r>
        <w:t xml:space="preserve">Ministry of Agriculture, Food</w:t>
      </w:r>
      <w:r>
        <w:t xml:space="preserve"> </w:t>
      </w:r>
      <w:r>
        <w:t xml:space="preserve">Security and Nutrition</w:t>
      </w:r>
      <w:r>
        <w:t xml:space="preserve">”</w:t>
      </w:r>
      <w:r>
        <w:t xml:space="preserve"> </w:t>
      </w:r>
      <w:r>
        <w:t xml:space="preserve">as the brand owner.</w:t>
      </w:r>
    </w:p>
    <w:p>
      <w:pPr>
        <w:pStyle w:val="Heading2"/>
      </w:pPr>
      <w:bookmarkStart w:id="41" w:name="summary-what-mafsn-owns-vs-what-we-own"/>
      <w:r>
        <w:t xml:space="preserve">Summary — What MAFSN owns vs what we own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Citizen SMS / email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MAFSN ICT (configuration)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RBAC group + permission setup</w:t>
            </w:r>
          </w:p>
        </w:tc>
        <w:tc>
          <w:p>
            <w:pPr>
              <w:pStyle w:val="Compact"/>
              <w:jc w:val="left"/>
            </w:pPr>
            <w:r>
              <w:t xml:space="preserve">MAFSN ICT (configuration)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External security review</w:t>
            </w:r>
          </w:p>
        </w:tc>
        <w:tc>
          <w:p>
            <w:pPr>
              <w:pStyle w:val="Compact"/>
              <w:jc w:val="left"/>
            </w:pPr>
            <w:r>
              <w:t xml:space="preserve">MAFSN procurement + auditor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Production hardening</w:t>
            </w:r>
          </w:p>
        </w:tc>
        <w:tc>
          <w:p>
            <w:pPr>
              <w:pStyle w:val="Compact"/>
              <w:jc w:val="left"/>
            </w:pPr>
            <w:r>
              <w:t xml:space="preserve">MAFSN ICT (infrastructure)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fixes from security findings</w:t>
            </w:r>
          </w:p>
        </w:tc>
        <w:tc>
          <w:p>
            <w:pPr>
              <w:pStyle w:val="Compact"/>
              <w:jc w:val="left"/>
            </w:pPr>
            <w:r>
              <w:t xml:space="preserve">We deliver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Backup/restore runbook (tested)</w:t>
            </w:r>
          </w:p>
        </w:tc>
        <w:tc>
          <w:p>
            <w:pPr>
              <w:pStyle w:val="Compact"/>
              <w:jc w:val="left"/>
            </w:pPr>
            <w:r>
              <w:t xml:space="preserve">We deliver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Performance/load test results</w:t>
            </w:r>
          </w:p>
        </w:tc>
        <w:tc>
          <w:p>
            <w:pPr>
              <w:pStyle w:val="Compact"/>
              <w:jc w:val="left"/>
            </w:pPr>
            <w:r>
              <w:t xml:space="preserve">We deliver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Donor-grade financial reporting</w:t>
            </w:r>
          </w:p>
        </w:tc>
        <w:tc>
          <w:p>
            <w:pPr>
              <w:pStyle w:val="Compact"/>
              <w:jc w:val="left"/>
            </w:pPr>
            <w:r>
              <w:t xml:space="preserve">We deliver</w:t>
            </w:r>
          </w:p>
        </w:tc>
      </w:tr>
    </w:tbl>
    <w:p>
      <w:pPr>
        <w:pStyle w:val="BodyText"/>
      </w:pPr>
      <w:r>
        <w:t xml:space="preserve">Once items 1, 2, and 4 are in place and item 3 has cleared, the system</w:t>
      </w:r>
      <w:r>
        <w:t xml:space="preserve"> </w:t>
      </w:r>
      <w:r>
        <w:t xml:space="preserve">is ready for production exposure. Item 3 is the long pole — start the</w:t>
      </w:r>
      <w:r>
        <w:t xml:space="preserve"> </w:t>
      </w:r>
      <w:r>
        <w:t xml:space="preserve">procurement now if you haven’t already.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Authored: 2026-05-06. Revise after each operational cycle to reflect</w:t>
      </w:r>
      <w:r>
        <w:rPr>
          <w:i/>
        </w:rPr>
        <w:t xml:space="preserve"> </w:t>
      </w:r>
      <w:r>
        <w:rPr>
          <w:i/>
        </w:rPr>
        <w:t xml:space="preserve">what was actually done and what’s still outstanding.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MAFSN ICT — Configuration TO-DO</dc:title>
  <dc:creator>Lesotho Farmers Portal — implementation team</dc:creator>
  <cp:keywords/>
  <dcterms:created xsi:type="dcterms:W3CDTF">2026-05-06T18:59:33Z</dcterms:created>
  <dcterms:modified xsi:type="dcterms:W3CDTF">2026-05-06T18:59:33Z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Joget configuration tasks owned by the MAFSN ICT team</vt:lpwstr>
  </property>
</Properties>
</file>