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22"/>
          <w:szCs w:val="22"/>
        </w:rPr>
        <w:t xml:space="preserve">PROGRESSA ENTERPRISE ARCHITECTURE INITIATIVE</w:t>
      </w:r>
    </w:p>
    <w:p>
      <w:pPr>
        <w:spacing w:after="100"/>
        <w:jc w:val="center"/>
      </w:pPr>
      <w:r>
        <w:rPr>
          <w:rFonts w:ascii="Arial" w:cs="Arial" w:eastAsia="Arial" w:hAnsi="Arial"/>
          <w:b/>
          <w:bCs/>
          <w:color w:val="1B3A5C"/>
          <w:sz w:val="36"/>
          <w:szCs w:val="36"/>
        </w:rPr>
        <w:t xml:space="preserve">Ministry of Health</w:t>
      </w:r>
    </w:p>
    <w:p>
      <w:pPr>
        <w:spacing w:after="400"/>
        <w:jc w:val="center"/>
      </w:pPr>
      <w:r>
        <w:rPr>
          <w:rFonts w:ascii="Arial" w:cs="Arial" w:eastAsia="Arial" w:hAnsi="Arial"/>
          <w:b/>
          <w:bCs/>
          <w:color w:val="1B3A5C"/>
          <w:sz w:val="36"/>
          <w:szCs w:val="36"/>
        </w:rPr>
        <w:t xml:space="preserve">Target Architecture Narrative</w:t>
      </w:r>
    </w:p>
    <w:p>
      <w:pPr>
        <w:pBdr>
          <w:top w:val="single" w:color="2E75B6" w:sz="6" w:space="1"/>
        </w:pBdr>
        <w:spacing w:after="200" w:before="200"/>
        <w:jc w:val="center"/>
      </w:pPr>
      <w:r>
        <w:rPr>
          <w:rFonts w:ascii="Arial" w:cs="Arial" w:eastAsia="Arial" w:hAnsi="Arial"/>
          <w:i/>
          <w:iCs/>
          <w:color w:val="333333"/>
          <w:sz w:val="24"/>
          <w:szCs w:val="24"/>
        </w:rPr>
        <w:t xml:space="preserve">A Plain-Language Guide for Enterprise Architects</w:t>
      </w:r>
    </w:p>
    <w:p>
      <w:pPr>
        <w:spacing w:before="600"/>
      </w:pPr>
    </w:p>
    <w:p>
      <w:pPr>
        <w:spacing w:after="100"/>
        <w:jc w:val="center"/>
      </w:pPr>
      <w:r>
        <w:rPr>
          <w:rFonts w:ascii="Arial" w:cs="Arial" w:eastAsia="Arial" w:hAnsi="Arial"/>
          <w:color w:val="333333"/>
          <w:sz w:val="20"/>
          <w:szCs w:val="20"/>
        </w:rPr>
        <w:t xml:space="preserve">Prepared under [contract reference]</w:t>
      </w:r>
    </w:p>
    <w:p>
      <w:pPr>
        <w:spacing w:after="100"/>
        <w:jc w:val="center"/>
      </w:pPr>
      <w:r>
        <w:rPr>
          <w:rFonts w:ascii="Arial" w:cs="Arial" w:eastAsia="Arial" w:hAnsi="Arial"/>
          <w:color w:val="333333"/>
          <w:sz w:val="20"/>
          <w:szCs w:val="20"/>
        </w:rPr>
        <w:t xml:space="preserve">International Telecommunication Union (ITU)</w:t>
      </w:r>
    </w:p>
    <w:p>
      <w:pPr>
        <w:spacing w:after="100"/>
        <w:jc w:val="center"/>
      </w:pPr>
      <w:r>
        <w:rPr>
          <w:rFonts w:ascii="Arial" w:cs="Arial" w:eastAsia="Arial" w:hAnsi="Arial"/>
          <w:color w:val="333333"/>
          <w:sz w:val="20"/>
          <w:szCs w:val="20"/>
        </w:rPr>
        <w:t xml:space="preserve">February 2026</w:t>
      </w:r>
    </w:p>
    <w:p>
      <w:pPr>
        <w:spacing w:before="800"/>
        <w:jc w:val="center"/>
      </w:pPr>
      <w:r>
        <w:rPr>
          <w:rFonts w:ascii="Arial" w:cs="Arial" w:eastAsia="Arial" w:hAnsi="Arial"/>
          <w:i/>
          <w:iCs/>
          <w:color w:val="2E75B6"/>
          <w:sz w:val="18"/>
          <w:szCs w:val="18"/>
        </w:rPr>
        <w:t xml:space="preserve">COMPANION DOCUMENT TO D6: MoH Future State Architecture v1.0</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Purpose of This Document</w:t>
      </w:r>
    </w:p>
    <w:p>
      <w:pPr>
        <w:spacing w:after="160" w:line="276"/>
        <w:jc w:val="both"/>
      </w:pPr>
      <w:r>
        <w:t xml:space="preserve">This document provides a narrative explanation of the Ministry of Health (MoH) target enterprise architecture as defined in </w:t>
      </w:r>
      <w:r>
        <w:rPr>
          <w:i/>
          <w:iCs/>
        </w:rPr>
        <w:t xml:space="preserve">D6: MoH Future State Architecture v1.0</w:t>
      </w:r>
      <w:r>
        <w:t xml:space="preserve">. It is written for national-level enterprise architects, ICT directors, and governance stakeholders who need to understand what the MoH is building, why specific technology choices were made, and how the health sector’s digital systems connect to the broader national digital infrastructure — without requiring prior knowledge of health informatics terminology.</w:t>
      </w:r>
    </w:p>
    <w:p>
      <w:pPr>
        <w:spacing w:after="160" w:line="276"/>
        <w:jc w:val="both"/>
      </w:pPr>
      <w:r>
        <w:t xml:space="preserve">The health sector has a rich vocabulary of specialised standards, platforms, and integration patterns. To an enterprise architect accustomed to government service buses, API gateways, and master data management, many health-specific concepts have direct equivalents expressed in unfamiliar terminology. This document translates between the two worlds.</w:t>
      </w:r>
    </w:p>
    <w:p>
      <w:pPr>
        <w:pStyle w:val="Heading1"/>
        <w:spacing w:after="200" w:before="360"/>
      </w:pPr>
      <w:r>
        <w:t xml:space="preserve">2. Strategic Context</w:t>
      </w:r>
    </w:p>
    <w:p>
      <w:pPr>
        <w:spacing w:after="160" w:line="276"/>
        <w:jc w:val="both"/>
      </w:pPr>
      <w:r>
        <w:t xml:space="preserve">Progressa’s Ministry of Health operates over 90 health facilities across the country, managing everything from birth registration and childhood immunisation through primary care, laboratory services, disease surveillance, and national health insurance. Until now, each of these functions has operated through separate, disconnected digital systems — or through paper processes entirely.</w:t>
      </w:r>
    </w:p>
    <w:p>
      <w:pPr>
        <w:spacing w:after="160" w:line="276"/>
        <w:jc w:val="both"/>
      </w:pPr>
      <w:r>
        <w:t xml:space="preserve">The target architecture was developed under the </w:t>
      </w:r>
      <w:r>
        <w:rPr>
          <w:b/>
          <w:bCs/>
        </w:rPr>
        <w:t xml:space="preserve">Regional Digital Integration Project (RDIP)</w:t>
      </w:r>
      <w:r>
        <w:t xml:space="preserve">, funded by the World Bank, which is simultaneously investing in national digital public infrastructure: sovereign cloud hosting, broadband connectivity, digital identity, and a government interoperability platform. The MoH architecture is designed to function as a </w:t>
      </w:r>
      <w:r>
        <w:rPr>
          <w:b/>
          <w:bCs/>
        </w:rPr>
        <w:t xml:space="preserve">federated domain</w:t>
      </w:r>
      <w:r>
        <w:t xml:space="preserve"> within this national digital ecosystem — self-sufficient during the transition period while national platforms mature, but designed to integrate seamlessly once they arrive.</w:t>
      </w:r>
    </w:p>
    <w:p>
      <w:pPr>
        <w:spacing w:after="160" w:line="276"/>
        <w:jc w:val="both"/>
      </w:pPr>
      <w:r>
        <w:t xml:space="preserve">Five converging strategic frameworks shape the architecture: the national digital master plan (ten-year), the National Health Sector Strategic Plan (calling for strengthened health information systems), the Essential Health Services Strengthening Project (about USD 100–150 million World Bank investment), the RDIP digital infrastructure programme, and the national Enterprise Architecture Framework established under this contract.</w:t>
      </w:r>
    </w:p>
    <w:p>
      <w:pPr>
        <w:pStyle w:val="Heading1"/>
        <w:spacing w:after="200" w:before="360"/>
      </w:pPr>
      <w:r>
        <w:t xml:space="preserve">3. The Problem Being Solved</w:t>
      </w:r>
    </w:p>
    <w:p>
      <w:pPr>
        <w:spacing w:after="160" w:line="276"/>
        <w:jc w:val="both"/>
      </w:pPr>
      <w:r>
        <w:t xml:space="preserve">Today’s health information landscape in Progressa presents a classic enterprise integration challenge. Eight or more digital systems operate in near-complete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Function (EA Equivalent)</w:t>
            </w:r>
          </w:p>
        </w:tc>
        <w:tc>
          <w:tcPr>
            <w:tcW w:type="dxa" w:w="4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DHIS2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Performance Management / BI Platform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Operational since 2010 at all facilities. Aggregate health statistics reporting. Most mature system.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eCRVS / CIVIS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Civil Registry (Birth/Death Registration)</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~1M people registered (~50% population). Produces National Identification Numbers (NIN). Production currently suspended.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e-NHIS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Insurance Administration System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National health insurance platform. Only 15,000–20,000 beneficiaries enrolled against 60,000 target. No integration with any other system.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SPT (Vaxa)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Immunisation Tracking System</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Covers all ~90 facilities, 350,000–400,000 children tracked. Hybrid paper-scan workflow. Over 99% data accuracy. Only automated integration is SPT→DHIS2.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Laboratory Information System</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Early pilot stage with limited adoption. No integration.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IDSR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Disease Surveillance (Event Notification)</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~90% paper-based. No electronic case-based notification.</w:t>
            </w:r>
          </w:p>
        </w:tc>
      </w:tr>
    </w:tbl>
    <w:p>
      <w:pPr>
        <w:spacing w:after="160"/>
      </w:pPr>
    </w:p>
    <w:p>
      <w:pPr>
        <w:spacing w:after="160" w:line="276"/>
        <w:jc w:val="both"/>
      </w:pPr>
      <w:r>
        <w:t xml:space="preserve">The single operational automated integration flow in the entire ministry is SPT sending aggregate immunisation data to DHIS2. Everything else is manual: data is re-keyed between systems, reconciled by hand, or simply not shared. A child born and registered in eCRVS cannot be automatically linked to their immunisation record or their mother’s insurance enrollment.</w:t>
      </w:r>
    </w:p>
    <w:p>
      <w:pPr>
        <w:spacing w:after="160" w:line="276"/>
        <w:jc w:val="both"/>
      </w:pPr>
      <w:r>
        <w:t xml:space="preserve">From an enterprise architecture perspective, this is a textbook </w:t>
      </w:r>
      <w:r>
        <w:rPr>
          <w:b/>
          <w:bCs/>
        </w:rPr>
        <w:t xml:space="preserve">integration silo problem</w:t>
      </w:r>
      <w:r>
        <w:t xml:space="preserve"> — multiple operational systems with no shared master data, no integration backbone, no common identity, and no data governance framework.</w:t>
      </w:r>
    </w:p>
    <w:p>
      <w:pPr>
        <w:pStyle w:val="Heading1"/>
        <w:spacing w:after="200" w:before="360"/>
      </w:pPr>
      <w:r>
        <w:t xml:space="preserve">4. Architecture Solution Overview</w:t>
      </w:r>
    </w:p>
    <w:p>
      <w:pPr>
        <w:spacing w:after="160" w:line="276"/>
        <w:jc w:val="both"/>
      </w:pPr>
      <w:r>
        <w:t xml:space="preserve">The target architecture follows a layered, standards-based design that will be recognisable to any enterprise architect. It introduces three foundational capabilities that the MoH currently lacks entirely, then builds clinical and administrative applications on top of them.</w:t>
      </w:r>
    </w:p>
    <w:p>
      <w:pPr>
        <w:pStyle w:val="Heading2"/>
        <w:spacing w:after="160" w:before="280"/>
      </w:pPr>
      <w:r>
        <w:t xml:space="preserve">4.1 The Three Foundational Capabilities</w:t>
      </w:r>
    </w:p>
    <w:p>
      <w:pPr>
        <w:spacing w:after="160" w:line="276"/>
        <w:jc w:val="both"/>
      </w:pPr>
      <w:r>
        <w:t xml:space="preserve">Before any application-level integration can work, three shared services must exist. These are the equivalents of what national-level architects would recognise as a government service bus, a master data management service, and a shared identity platform — but scoped specifically to the health sector.</w:t>
      </w:r>
    </w:p>
    <w:p>
      <w:pPr>
        <w:pStyle w:val="Heading3"/>
        <w:spacing w:after="120" w:before="240"/>
      </w:pPr>
      <w:r>
        <w:t xml:space="preserve">4.1.1 Integration Backbone: OpenHIM (Health Information Exchange)</w:t>
      </w:r>
    </w:p>
    <w:p>
      <w:pPr>
        <w:spacing w:after="160" w:line="276"/>
        <w:jc w:val="both"/>
      </w:pPr>
      <w:r>
        <w:rPr>
          <w:b/>
          <w:bCs/>
        </w:rPr>
        <w:t xml:space="preserve">What it is in EA terms: </w:t>
      </w:r>
      <w:r>
        <w:t xml:space="preserve">A sector-specific Enterprise Service Bus (ESB) / API Gateway / Integration Mediator.</w:t>
      </w:r>
    </w:p>
    <w:p>
      <w:pPr>
        <w:spacing w:after="160" w:line="276"/>
        <w:jc w:val="both"/>
      </w:pPr>
      <w:r>
        <w:rPr>
          <w:b/>
          <w:bCs/>
        </w:rPr>
        <w:t xml:space="preserve">OpenHIM</w:t>
      </w:r>
      <w:r>
        <w:t xml:space="preserve"> (Open Health Information Mediator) is an open-source integration platform licensed under MPL 2.0. It sits at the centre of a hub-and-spoke architecture through which </w:t>
      </w:r>
      <w:r>
        <w:rPr>
          <w:i/>
          <w:iCs/>
        </w:rPr>
        <w:t xml:space="preserve">all</w:t>
      </w:r>
      <w:r>
        <w:t xml:space="preserve"> inter-system data exchange flows. No health system talks directly to another system — every message passes through OpenHIM.</w:t>
      </w:r>
    </w:p>
    <w:p>
      <w:pPr>
        <w:spacing w:after="160" w:line="276"/>
        <w:jc w:val="both"/>
      </w:pPr>
      <w:r>
        <w:t xml:space="preserve">OpenHIM performs five functions that will be familiar from any integration architecture:</w:t>
      </w:r>
    </w:p>
    <w:p>
      <w:pPr>
        <w:pStyle w:val="ListParagraph"/>
        <w:numPr>
          <w:ilvl w:val="0"/>
          <w:numId w:val="2"/>
        </w:numPr>
        <w:spacing w:after="80" w:line="276"/>
      </w:pPr>
      <w:r>
        <w:rPr>
          <w:b/>
          <w:bCs/>
        </w:rPr>
        <w:t xml:space="preserve">Routing</w:t>
      </w:r>
      <w:r>
        <w:t xml:space="preserve"> — Directs incoming requests from source systems to the correct destination based on message type and content. Equivalent to an API gateway’s routing rules.</w:t>
      </w:r>
    </w:p>
    <w:p>
      <w:pPr>
        <w:pStyle w:val="ListParagraph"/>
        <w:numPr>
          <w:ilvl w:val="0"/>
          <w:numId w:val="2"/>
        </w:numPr>
        <w:spacing w:after="80" w:line="276"/>
      </w:pPr>
      <w:r>
        <w:rPr>
          <w:b/>
          <w:bCs/>
        </w:rPr>
        <w:t xml:space="preserve">Orchestration</w:t>
      </w:r>
      <w:r>
        <w:t xml:space="preserve"> — Coordinates multi-step workflows across multiple systems. For example, a single birth registration event triggers a chain: create identity record → create insurance enrollment → generate immunisation schedule. OpenHIM manages the entire sequence, including error handling and retry logic.</w:t>
      </w:r>
    </w:p>
    <w:p>
      <w:pPr>
        <w:pStyle w:val="ListParagraph"/>
        <w:numPr>
          <w:ilvl w:val="0"/>
          <w:numId w:val="2"/>
        </w:numPr>
        <w:spacing w:after="80" w:line="276"/>
      </w:pPr>
      <w:r>
        <w:rPr>
          <w:b/>
          <w:bCs/>
        </w:rPr>
        <w:t xml:space="preserve">Transformation</w:t>
      </w:r>
      <w:r>
        <w:t xml:space="preserve"> — Converts data between formats and standards. Legacy systems exposing custom APIs are wrapped with standardised interfaces (called “FHIR Façades” — see Section 5.2) so that downstream consumers see a uniform data format regardless of the source system’s native protocol.</w:t>
      </w:r>
    </w:p>
    <w:p>
      <w:pPr>
        <w:pStyle w:val="ListParagraph"/>
        <w:numPr>
          <w:ilvl w:val="0"/>
          <w:numId w:val="2"/>
        </w:numPr>
        <w:spacing w:after="80" w:line="276"/>
      </w:pPr>
      <w:r>
        <w:rPr>
          <w:b/>
          <w:bCs/>
        </w:rPr>
        <w:t xml:space="preserve">Security Enforcement</w:t>
      </w:r>
      <w:r>
        <w:t xml:space="preserve"> — Authenticates and authorises all system-to-system requests using registered certificates and permission sets. Every connected application has a defined identity and access scope.</w:t>
      </w:r>
    </w:p>
    <w:p>
      <w:pPr>
        <w:pStyle w:val="ListParagraph"/>
        <w:numPr>
          <w:ilvl w:val="0"/>
          <w:numId w:val="2"/>
        </w:numPr>
        <w:spacing w:after="160" w:line="276"/>
      </w:pPr>
      <w:r>
        <w:rPr>
          <w:b/>
          <w:bCs/>
        </w:rPr>
        <w:t xml:space="preserve">Audit Logging</w:t>
      </w:r>
      <w:r>
        <w:t xml:space="preserve"> — Every transaction is logged with timestamp, source, destination, payload hash, response code, and processing time. Logs are retained for seven years, providing a complete audit trail for data governance compliance.</w:t>
      </w:r>
    </w:p>
    <w:p>
      <w:pPr>
        <w:spacing w:after="160" w:line="276"/>
        <w:jc w:val="both"/>
      </w:pPr>
      <w:r>
        <w:t xml:space="preserve">Without OpenHIM, connecting 10+ health systems would require up to 45 separate point-to-point interfaces, each independently maintained. The hub-and-spoke model reduces this to one interface per system. OpenHIM runs on </w:t>
      </w:r>
      <w:r>
        <w:rPr>
          <w:b/>
          <w:bCs/>
        </w:rPr>
        <w:t xml:space="preserve">Node.js</w:t>
      </w:r>
      <w:r>
        <w:t xml:space="preserve"> with </w:t>
      </w:r>
      <w:r>
        <w:rPr>
          <w:b/>
          <w:bCs/>
        </w:rPr>
        <w:t xml:space="preserve">MongoDB</w:t>
      </w:r>
      <w:r>
        <w:t xml:space="preserve"> for transaction logs and can handle the anticipated volume of fewer than 50,000 transactions per day on a single server instance.</w:t>
      </w:r>
    </w:p>
    <w:p>
      <w:pPr>
        <w:spacing w:after="160" w:line="276"/>
        <w:jc w:val="both"/>
      </w:pPr>
      <w:r>
        <w:t xml:space="preserve">OpenHIM has proven deployments at country scale in </w:t>
      </w:r>
      <w:r>
        <w:rPr>
          <w:b/>
          <w:bCs/>
        </w:rPr>
        <w:t xml:space="preserve">South Africa, Tanzania, Mozambique, Rwanda, Bangladesh, Haiti, Togo, and Guinea</w:t>
      </w:r>
      <w:r>
        <w:t xml:space="preserve">. It was selected over two alternatives: custom-built middleware (which exceeds MoH development capacity) and waiting for the national RDIP Government Service Bus (which would defer health integration by 2–3 years).</w:t>
      </w:r>
    </w:p>
    <w:p>
      <w:pPr>
        <w:pStyle w:val="Heading3"/>
        <w:spacing w:after="120" w:before="240"/>
      </w:pPr>
      <w:r>
        <w:t xml:space="preserve">4.1.2 Unified Patient Identity: OpenCR (Master Patient Index)</w:t>
      </w:r>
    </w:p>
    <w:p>
      <w:pPr>
        <w:spacing w:after="160" w:line="276"/>
        <w:jc w:val="both"/>
      </w:pPr>
      <w:r>
        <w:rPr>
          <w:b/>
          <w:bCs/>
        </w:rPr>
        <w:t xml:space="preserve">What it is in EA terms: </w:t>
      </w:r>
      <w:r>
        <w:t xml:space="preserve">A sector-specific Master Data Management (MDM) service for person identity, implementing identity resolution and golden record management.</w:t>
      </w:r>
    </w:p>
    <w:p>
      <w:pPr>
        <w:spacing w:after="160" w:line="276"/>
        <w:jc w:val="both"/>
      </w:pPr>
      <w:r>
        <w:rPr>
          <w:b/>
          <w:bCs/>
        </w:rPr>
        <w:t xml:space="preserve">OpenCR</w:t>
      </w:r>
      <w:r>
        <w:t xml:space="preserve"> (Open Client Registry) is an open-source Master Patient Index (MPI) developed by IntraHealth International, licensed under Apache 2.0. It solves the most critical data problem in Progressa health: the same person exists as separate, unlinked records across multiple systems with different identifiers and no way to connect them.</w:t>
      </w:r>
    </w:p>
    <w:p>
      <w:pPr>
        <w:spacing w:after="160" w:line="276"/>
        <w:jc w:val="both"/>
      </w:pPr>
      <w:r>
        <w:t xml:space="preserve">OpenCR creates a “golden record” for each patient by federating six identifier types in a trust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1600"/>
        <w:gridCol w:w="222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Identifier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 System</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Coverage</w:t>
            </w:r>
          </w:p>
        </w:tc>
        <w:tc>
          <w:tcPr>
            <w:tcW w:type="dxa" w:w="2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eCRVS National ID Number (NIN)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Civil Registration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~1M (~50%)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Highest — Anchor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Immigration NIN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Immigration Dept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Unknown</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Insurance Beneficiary 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e-NHIS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15,000–20,000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Medium-High</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Facility Medical Record Number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Individual facilities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Facility-specific</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Medium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Programme Tracker Entity 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DHIS2 Tracker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Programme-specific</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Medium</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Immunisation Child 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SPT / Vaxa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350,000–400,000 children</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Medium</w:t>
            </w:r>
          </w:p>
        </w:tc>
      </w:tr>
    </w:tbl>
    <w:p>
      <w:pPr>
        <w:spacing w:after="160"/>
      </w:pPr>
    </w:p>
    <w:p>
      <w:pPr>
        <w:spacing w:after="160" w:line="276"/>
        <w:jc w:val="both"/>
      </w:pPr>
      <w:r>
        <w:t xml:space="preserve">The matching algorithm uses a two-pass approach. Deterministic matching applies when a patient presents a verified NIN — exact match, immediate confirmation. Probabilistic matching applies when no NIN is available (roughly half of the population): a weighted algorithm scores demographic attributes including name (accounting for variant spellings across the national languages), date of birth, sex, mother’s name, and facility of registration. Matches above 85% probability are auto-linked; the 70–85% range is flagged for manual review; below 70% creates a new record.</w:t>
      </w:r>
    </w:p>
    <w:p>
      <w:pPr>
        <w:spacing w:after="160" w:line="276"/>
        <w:jc w:val="both"/>
      </w:pPr>
      <w:r>
        <w:t xml:space="preserve">OpenCR is built on a </w:t>
      </w:r>
      <w:r>
        <w:rPr>
          <w:b/>
          <w:bCs/>
        </w:rPr>
        <w:t xml:space="preserve">FHIR-native architecture</w:t>
      </w:r>
      <w:r>
        <w:t xml:space="preserve"> (HAPI FHIR backend with ElasticSearch for matching) and has proven deployments in </w:t>
      </w:r>
      <w:r>
        <w:rPr>
          <w:b/>
          <w:bCs/>
        </w:rPr>
        <w:t xml:space="preserve">Guinea</w:t>
      </w:r>
      <w:r>
        <w:t xml:space="preserve"> (3M+ records, deployed in 6 months), </w:t>
      </w:r>
      <w:r>
        <w:rPr>
          <w:b/>
          <w:bCs/>
        </w:rPr>
        <w:t xml:space="preserve">Togo</w:t>
      </w:r>
      <w:r>
        <w:t xml:space="preserve">, </w:t>
      </w:r>
      <w:r>
        <w:rPr>
          <w:b/>
          <w:bCs/>
        </w:rPr>
        <w:t xml:space="preserve">Haiti</w:t>
      </w:r>
      <w:r>
        <w:t xml:space="preserve">, and </w:t>
      </w:r>
      <w:r>
        <w:rPr>
          <w:b/>
          <w:bCs/>
        </w:rPr>
        <w:t xml:space="preserve">South Sudan</w:t>
      </w:r>
      <w:r>
        <w:t xml:space="preserve">. It was selected over proprietary MPI solutions (IBM Initiate, Informatica MDM) that cost USD 200,000–1,000,000+ annually and are designed for environments with universal patient identifiers — the opposite of Progressa’s reality.</w:t>
      </w:r>
    </w:p>
    <w:p>
      <w:pPr>
        <w:pStyle w:val="Heading3"/>
        <w:spacing w:after="120" w:before="240"/>
      </w:pPr>
      <w:r>
        <w:t xml:space="preserve">4.1.3 Data Governance Framework</w:t>
      </w:r>
    </w:p>
    <w:p>
      <w:pPr>
        <w:spacing w:after="160" w:line="276"/>
        <w:jc w:val="both"/>
      </w:pPr>
      <w:r>
        <w:rPr>
          <w:b/>
          <w:bCs/>
        </w:rPr>
        <w:t xml:space="preserve">What it is in EA terms: </w:t>
      </w:r>
      <w:r>
        <w:t xml:space="preserve">A comprehensive data ownership, stewardship, quality, and protection framework with role-based access control and audit compliance.</w:t>
      </w:r>
    </w:p>
    <w:p>
      <w:pPr>
        <w:spacing w:after="160" w:line="276"/>
        <w:jc w:val="both"/>
      </w:pPr>
      <w:r>
        <w:t xml:space="preserve">Progressa currently has no national data protection legislation. The MoH architecture establishes a ministerial data governance framework covering 11 data domains, a three-level stewardship model (domain owners, data stewards, integration data stewards), and a health-specific data classification scheme (public, internal, confidential, restricted). This framework is designed to be subsumed into the national data protection regime when legislation is enacted, not to create a parallel structure.</w:t>
      </w:r>
    </w:p>
    <w:p>
      <w:pPr>
        <w:spacing w:after="160" w:line="276"/>
        <w:jc w:val="both"/>
      </w:pPr>
      <w:r>
        <w:t xml:space="preserve">Key governance mechanisms include mandatory data sharing agreements for all inter-system exchange, patient consent management for clinical data, role-based access control across all systems (six roles mapped across five systems), and immutable audit logging with seven-year retention.</w:t>
      </w:r>
    </w:p>
    <w:p>
      <w:pPr>
        <w:pStyle w:val="Heading1"/>
        <w:spacing w:after="200" w:before="360"/>
      </w:pPr>
      <w:r>
        <w:t xml:space="preserve">5. Integration Standards and Data Exchange</w:t>
      </w:r>
    </w:p>
    <w:p>
      <w:pPr>
        <w:spacing w:after="160" w:line="276"/>
        <w:jc w:val="both"/>
      </w:pPr>
      <w:r>
        <w:t xml:space="preserve">Understanding the data standards used in health interoperability is essential for national architects who need to assess compatibility with whole-of-government integration platforms.</w:t>
      </w:r>
    </w:p>
    <w:p>
      <w:pPr>
        <w:pStyle w:val="Heading2"/>
        <w:spacing w:after="160" w:before="280"/>
      </w:pPr>
      <w:r>
        <w:t xml:space="preserve">5.1 FHIR R4 — The Health Sector’s Integration Standard</w:t>
      </w:r>
    </w:p>
    <w:p>
      <w:pPr>
        <w:spacing w:after="160" w:line="276"/>
        <w:jc w:val="both"/>
      </w:pPr>
      <w:r>
        <w:rPr>
          <w:b/>
          <w:bCs/>
        </w:rPr>
        <w:t xml:space="preserve">What it is in EA terms: </w:t>
      </w:r>
      <w:r>
        <w:t xml:space="preserve">A RESTful API standard with predefined resource schemas — comparable to OpenAPI specifications but purpose-built for health data, with a rich ecosystem of standard resource types (Patient, Encounter, Observation, Claim, etc.).</w:t>
      </w:r>
    </w:p>
    <w:p>
      <w:pPr>
        <w:spacing w:after="160" w:line="276"/>
        <w:jc w:val="both"/>
      </w:pPr>
      <w:r>
        <w:rPr>
          <w:b/>
          <w:bCs/>
        </w:rPr>
        <w:t xml:space="preserve">HL7 FHIR R4</w:t>
      </w:r>
      <w:r>
        <w:t xml:space="preserve"> (Fast Healthcare Interoperability Resources, Release 4) is the internationally mandated standard for health data exchange, endorsed by WHO and adopted by health systems worldwide. It defines a set of </w:t>
      </w:r>
      <w:r>
        <w:rPr>
          <w:i/>
          <w:iCs/>
        </w:rPr>
        <w:t xml:space="preserve">resources</w:t>
      </w:r>
      <w:r>
        <w:t xml:space="preserve"> — standardised JSON/XML data structures — for every common health data concept. For example, a FHIR “Patient” resource contains identity, demographics, and contact information in a universally agreed schema. A FHIR “Claim” resource represents an insurance claim with standardised fields for services rendered, diagnoses, and amounts.</w:t>
      </w:r>
    </w:p>
    <w:p>
      <w:pPr>
        <w:spacing w:after="160" w:line="276"/>
        <w:jc w:val="both"/>
      </w:pPr>
      <w:r>
        <w:t xml:space="preserve">For the national architect, the critical point is that FHIR operates over standard REST/JSON APIs. Any system that can consume REST APIs can interact with FHIR services. The MoH architecture mandates FHIR R4 for all new patient-level data exchange and uses “FHIR Façade” adapters to wrap legacy systems that don’t natively speak FHIR — a pattern exactly analogous to API gateway façades in enterprise integration.</w:t>
      </w:r>
    </w:p>
    <w:p>
      <w:pPr>
        <w:spacing w:after="160" w:line="276"/>
        <w:jc w:val="both"/>
      </w:pPr>
      <w:r>
        <w:t xml:space="preserve">The MoH has defined twelve priority FHIR resource profiles adapted to the Progressa context, covering Patient identity, clinical encounters, observations, immunisations, lab results, diagnoses, insurance claims/coverage, facility registry, health worker identity, prescriptions, and supply chain events.</w:t>
      </w:r>
    </w:p>
    <w:p>
      <w:pPr>
        <w:pStyle w:val="Heading2"/>
        <w:spacing w:after="160" w:before="280"/>
      </w:pPr>
      <w:r>
        <w:t xml:space="preserve">5.2 ADX — Aggregate Data Exchange</w:t>
      </w:r>
    </w:p>
    <w:p>
      <w:pPr>
        <w:spacing w:after="160" w:line="276"/>
        <w:jc w:val="both"/>
      </w:pPr>
      <w:r>
        <w:t xml:space="preserve">ADX (Aggregate Data Exchange) is the IHE-profiled standard for aggregate health statistics. Where FHIR handles individual patient records, ADX handles the bulk statistical data that flows from facilities to the national DHIS2 platform and onward to international organisations (WHO, Regional Health Organisation). Think of it as the health equivalent of a standardised reporting format for aggregate KPIs. ADX is natively supported by DHIS2 and remains the primary format for routine health information reporting throughout the transition.</w:t>
      </w:r>
    </w:p>
    <w:p>
      <w:pPr>
        <w:pStyle w:val="Heading2"/>
        <w:spacing w:after="160" w:before="280"/>
      </w:pPr>
      <w:r>
        <w:t xml:space="preserve">5.3 Compatibility with National Integration Standards</w:t>
      </w:r>
    </w:p>
    <w:p>
      <w:pPr>
        <w:spacing w:after="160" w:line="276"/>
        <w:jc w:val="both"/>
      </w:pPr>
      <w:r>
        <w:t xml:space="preserve">The health sector’s integration standards are fully compatible with the national Government Service Bus architecture planned under RDIP. FHIR operates over standard REST/JSON — the same protocol family that the national interoperability platform will support. OpenHIM is designed to register as a </w:t>
      </w:r>
      <w:r>
        <w:rPr>
          <w:b/>
          <w:bCs/>
        </w:rPr>
        <w:t xml:space="preserve">domain-level mediator</w:t>
      </w:r>
      <w:r>
        <w:t xml:space="preserve"> within a national service bus, effectively becoming the health sector’s gateway to the whole-of-government integration platform. Cross-ministry data flows (e.g., health budget reporting to IFMIS, workforce data to HRMIS) will route through OpenHIM to the national platform, while intra-health flows remain within the health HIE.</w:t>
      </w:r>
    </w:p>
    <w:p>
      <w:pPr>
        <w:pStyle w:val="Heading1"/>
        <w:spacing w:after="200" w:before="360"/>
      </w:pPr>
      <w:r>
        <w:t xml:space="preserve">6. Application Portfolio</w:t>
      </w:r>
    </w:p>
    <w:p>
      <w:pPr>
        <w:spacing w:after="160" w:line="276"/>
        <w:jc w:val="both"/>
      </w:pPr>
      <w:r>
        <w:t xml:space="preserve">The target application portfolio is organised into four functional layers, following a pattern analogous to enterprise application classification (infrastructure services, operational systems, administrative systems, and analytical/reporting systems).</w:t>
      </w:r>
    </w:p>
    <w:p>
      <w:pPr>
        <w:pStyle w:val="Heading2"/>
        <w:spacing w:after="160" w:before="280"/>
      </w:pPr>
      <w:r>
        <w:t xml:space="preserve">6.1 Layer 1 — National Health Platform (Shared Infrastructure)</w:t>
      </w:r>
    </w:p>
    <w:p>
      <w:pPr>
        <w:spacing w:after="160" w:line="276"/>
        <w:jc w:val="both"/>
      </w:pPr>
      <w:r>
        <w:t xml:space="preserve">These are the foundational services on which everything else depends — analogous to shared government platforms in a whole-of-government architecture:</w:t>
      </w:r>
    </w:p>
    <w:p>
      <w:pPr>
        <w:pStyle w:val="ListParagraph"/>
        <w:numPr>
          <w:ilvl w:val="0"/>
          <w:numId w:val="3"/>
        </w:numPr>
        <w:spacing w:after="80" w:line="276"/>
      </w:pPr>
      <w:r>
        <w:rPr>
          <w:b/>
          <w:bCs/>
        </w:rPr>
        <w:t xml:space="preserve">DHIS2</w:t>
      </w:r>
      <w:r>
        <w:t xml:space="preserve"> — The national Health Management Information System (HMIS). Operational since 2010 at all facilities. Functions as the health sector’s BI/analytics platform and the canonical facility registry. Target: ≥95% reporting completeness and timeliness.</w:t>
      </w:r>
    </w:p>
    <w:p>
      <w:pPr>
        <w:pStyle w:val="ListParagraph"/>
        <w:numPr>
          <w:ilvl w:val="0"/>
          <w:numId w:val="3"/>
        </w:numPr>
        <w:spacing w:after="80" w:line="276"/>
      </w:pPr>
      <w:r>
        <w:rPr>
          <w:b/>
          <w:bCs/>
        </w:rPr>
        <w:t xml:space="preserve">OpenHIM</w:t>
      </w:r>
      <w:r>
        <w:t xml:space="preserve"> — The Health Information Exchange integration backbone (see Section 4.1.1). New deployment.</w:t>
      </w:r>
    </w:p>
    <w:p>
      <w:pPr>
        <w:pStyle w:val="ListParagraph"/>
        <w:numPr>
          <w:ilvl w:val="0"/>
          <w:numId w:val="3"/>
        </w:numPr>
        <w:spacing w:after="80" w:line="276"/>
      </w:pPr>
      <w:r>
        <w:rPr>
          <w:b/>
          <w:bCs/>
        </w:rPr>
        <w:t xml:space="preserve">OpenCR</w:t>
      </w:r>
      <w:r>
        <w:t xml:space="preserve"> — The Master Patient Index (see Section 4.1.2). New deployment. Seeded with ~1M eCRVS records.</w:t>
      </w:r>
    </w:p>
    <w:p>
      <w:pPr>
        <w:pStyle w:val="ListParagraph"/>
        <w:numPr>
          <w:ilvl w:val="0"/>
          <w:numId w:val="3"/>
        </w:numPr>
        <w:spacing w:after="160" w:line="276"/>
      </w:pPr>
      <w:r>
        <w:rPr>
          <w:b/>
          <w:bCs/>
        </w:rPr>
        <w:t xml:space="preserve">HAPI FHIR Server</w:t>
      </w:r>
      <w:r>
        <w:t xml:space="preserve"> — A Shared Health Record repository that aggregates longitudinal patient summaries from all contributing systems. New deployment (Phase 2).</w:t>
      </w:r>
    </w:p>
    <w:p>
      <w:pPr>
        <w:pStyle w:val="Heading2"/>
        <w:spacing w:after="160" w:before="280"/>
      </w:pPr>
      <w:r>
        <w:t xml:space="preserve">6.2 Layer 2 — Clinical Systems (Point-of-Care)</w:t>
      </w:r>
    </w:p>
    <w:p>
      <w:pPr>
        <w:pStyle w:val="ListParagraph"/>
        <w:numPr>
          <w:ilvl w:val="0"/>
          <w:numId w:val="3"/>
        </w:numPr>
        <w:spacing w:after="80" w:line="276"/>
      </w:pPr>
      <w:r>
        <w:rPr>
          <w:b/>
          <w:bCs/>
        </w:rPr>
        <w:t xml:space="preserve">OpenMRS</w:t>
      </w:r>
      <w:r>
        <w:t xml:space="preserve"> — Open-source Electronic Health Record (EHR) for clinical encounters. Deployed in Kenya, Uganda, Rwanda, Malawi, Mozambique, Zambia. Phased deployment: 15–20 high-volume facilities first (MCH + HIV/ART clinics), expanding to 30–40 in Phase 2. Offline-first design is critical — Progressa has ~60% electricity access and a single submarine cable.</w:t>
      </w:r>
    </w:p>
    <w:p>
      <w:pPr>
        <w:pStyle w:val="ListParagraph"/>
        <w:numPr>
          <w:ilvl w:val="0"/>
          <w:numId w:val="3"/>
        </w:numPr>
        <w:spacing w:after="80" w:line="276"/>
      </w:pPr>
      <w:r>
        <w:rPr>
          <w:b/>
          <w:bCs/>
        </w:rPr>
        <w:t xml:space="preserve">DHIS2 Tracker EIR</w:t>
      </w:r>
      <w:r>
        <w:t xml:space="preserve"> — Electronic Immunisation Registry, replacing SPT over a 3–5 year transition. Built on the same DHIS2 platform as the HMIS to avoid maintaining a separate system. Validated in Rwanda and the Maldives.</w:t>
      </w:r>
    </w:p>
    <w:p>
      <w:pPr>
        <w:pStyle w:val="ListParagraph"/>
        <w:numPr>
          <w:ilvl w:val="0"/>
          <w:numId w:val="3"/>
        </w:numPr>
        <w:spacing w:after="160" w:line="276"/>
      </w:pPr>
      <w:r>
        <w:rPr>
          <w:b/>
          <w:bCs/>
        </w:rPr>
        <w:t xml:space="preserve">A-LIS / OpenELIS</w:t>
      </w:r>
      <w:r>
        <w:t xml:space="preserve"> — Laboratory Information System for test ordering, result management, and automated surveillance triggers.</w:t>
      </w:r>
    </w:p>
    <w:p>
      <w:pPr>
        <w:pStyle w:val="Heading2"/>
        <w:spacing w:after="160" w:before="280"/>
      </w:pPr>
      <w:r>
        <w:t xml:space="preserve">6.3 Layer 3 — Health Administration</w:t>
      </w:r>
    </w:p>
    <w:p>
      <w:pPr>
        <w:pStyle w:val="ListParagraph"/>
        <w:numPr>
          <w:ilvl w:val="0"/>
          <w:numId w:val="3"/>
        </w:numPr>
        <w:spacing w:after="80" w:line="276"/>
      </w:pPr>
      <w:r>
        <w:rPr>
          <w:b/>
          <w:bCs/>
        </w:rPr>
        <w:t xml:space="preserve">e-NHIS</w:t>
      </w:r>
      <w:r>
        <w:t xml:space="preserve"> — National Health Insurance System. Manages beneficiary enrollment, claims processing, and provider payments. Currently standalone; target state integrates with MPI for identity verification and with EHR for eligibility checking at point of care.</w:t>
      </w:r>
    </w:p>
    <w:p>
      <w:pPr>
        <w:pStyle w:val="ListParagraph"/>
        <w:numPr>
          <w:ilvl w:val="0"/>
          <w:numId w:val="3"/>
        </w:numPr>
        <w:spacing w:after="80" w:line="276"/>
      </w:pPr>
      <w:r>
        <w:rPr>
          <w:b/>
          <w:bCs/>
        </w:rPr>
        <w:t xml:space="preserve">eCRVS / CIVIS</w:t>
      </w:r>
      <w:r>
        <w:t xml:space="preserve"> — Civil Registration and Vital Statistics. Produces the National Identification Number that anchors the MPI. The birth registration→MPI→insurance enrollment flow is the architecture’s first priority integration use case.</w:t>
      </w:r>
    </w:p>
    <w:p>
      <w:pPr>
        <w:pStyle w:val="ListParagraph"/>
        <w:numPr>
          <w:ilvl w:val="0"/>
          <w:numId w:val="3"/>
        </w:numPr>
        <w:spacing w:after="160" w:line="276"/>
      </w:pPr>
      <w:r>
        <w:rPr>
          <w:b/>
          <w:bCs/>
        </w:rPr>
        <w:t xml:space="preserve">OpenLMIS</w:t>
      </w:r>
      <w:r>
        <w:t xml:space="preserve"> — Supply chain management for health commodities (medicines, vaccines, consumables). Phase 2 deployment, replacing basic SMS-based stock alerts.</w:t>
      </w:r>
    </w:p>
    <w:p>
      <w:pPr>
        <w:pStyle w:val="Heading2"/>
        <w:spacing w:after="160" w:before="280"/>
      </w:pPr>
      <w:r>
        <w:t xml:space="preserve">6.4 Layer 4 — Surveillance and Reporting</w:t>
      </w:r>
    </w:p>
    <w:p>
      <w:pPr>
        <w:pStyle w:val="ListParagraph"/>
        <w:numPr>
          <w:ilvl w:val="0"/>
          <w:numId w:val="3"/>
        </w:numPr>
        <w:spacing w:after="80" w:line="276"/>
      </w:pPr>
      <w:r>
        <w:rPr>
          <w:b/>
          <w:bCs/>
        </w:rPr>
        <w:t xml:space="preserve">IDSR+</w:t>
      </w:r>
      <w:r>
        <w:t xml:space="preserve"> — Integrated Disease Surveillance and Response. Electronic case-based notification built on DHIS2 Tracker, replacing the current ~90% paper-based system. Triggers automatically from lab results (e.g., a positive malaria test generates a surveillance notification without manual reporting).</w:t>
      </w:r>
    </w:p>
    <w:p>
      <w:pPr>
        <w:pStyle w:val="ListParagraph"/>
        <w:numPr>
          <w:ilvl w:val="0"/>
          <w:numId w:val="3"/>
        </w:numPr>
        <w:spacing w:after="160" w:line="276"/>
      </w:pPr>
      <w:r>
        <w:rPr>
          <w:b/>
          <w:bCs/>
        </w:rPr>
        <w:t xml:space="preserve">International Reporting</w:t>
      </w:r>
      <w:r>
        <w:t xml:space="preserve"> — Automated data flows from DHIS2 through OpenHIM to WHO, the Regional Health Organisation (RHO), and the national Bureau of Statistics using ADX and IHR (International Health Regulations) formats.</w:t>
      </w:r>
    </w:p>
    <w:p>
      <w:pPr>
        <w:pStyle w:val="Heading1"/>
        <w:spacing w:after="200" w:before="360"/>
      </w:pPr>
      <w:r>
        <w:t xml:space="preserve">7. Six Priority Integration Flows</w:t>
      </w:r>
    </w:p>
    <w:p>
      <w:pPr>
        <w:spacing w:after="160" w:line="276"/>
        <w:jc w:val="both"/>
      </w:pPr>
      <w:r>
        <w:t xml:space="preserve">The architecture defines six concrete integration flows that deliver cross-system value. These are prioritised based on health impact and technical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200"/>
        <w:gridCol w:w="1200"/>
        <w:gridCol w:w="1526"/>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Flow</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Standard</w:t>
            </w:r>
          </w:p>
        </w:tc>
        <w:tc>
          <w:tcPr>
            <w:tcW w:type="dxa" w:w="1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Birth Registration → MPI → Insurance Enrollment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new birth triggers automatic identity creation in the MPI and initiates insurance enrollment — eliminating manual re-keying between civil registration and health insurance.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Patient</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Immunisation → Aggregate Reporting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Individual immunisation records flow through the HIE to national aggregate statistics, replacing manual data compilation.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 ADX</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1–2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Lab Result → Surveillance Alert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positive lab test for a notifiable disease automatically triggers a surveillance notification — no manual reporting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Clinical Encounter → Aggregate Stats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EHR clinical encounters automatically feed aggregate health statistics into the national HMIS.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 ADX</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Insurance Eligibility &amp; Claims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Real-time insurance eligibility verification at point of care and electronic claims submission.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Claim</w:t>
            </w:r>
          </w:p>
        </w:tc>
        <w:tc>
          <w:tcPr>
            <w:tcW w:type="dxa" w:w="1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National → International Reporting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Automated data flows from national platform to WHO, RHO, and national statistics bureau.</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ADX / IHR</w:t>
            </w:r>
          </w:p>
        </w:tc>
        <w:tc>
          <w:tcPr>
            <w:tcW w:type="dxa" w:w="1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Phase 1–2</w:t>
            </w:r>
          </w:p>
        </w:tc>
      </w:tr>
    </w:tbl>
    <w:p>
      <w:pPr>
        <w:spacing w:after="160"/>
      </w:pPr>
    </w:p>
    <w:p>
      <w:pPr>
        <w:pStyle w:val="Heading1"/>
        <w:spacing w:after="200" w:before="360"/>
      </w:pPr>
      <w:r>
        <w:t xml:space="preserve">8. Technology Stack and Hosting</w:t>
      </w:r>
    </w:p>
    <w:p>
      <w:pPr>
        <w:spacing w:after="160" w:line="276"/>
        <w:jc w:val="both"/>
      </w:pPr>
      <w:r>
        <w:t xml:space="preserve">The entire platform stack is built on open-source foundations, driven by budget constraints and the need to avoid vendor lock-in in a resource-constrained environment.</w:t>
      </w:r>
    </w:p>
    <w:p>
      <w:pPr>
        <w:pStyle w:val="Heading2"/>
        <w:spacing w:after="160" w:before="280"/>
      </w:pPr>
      <w:r>
        <w:t xml:space="preserve">8.1 Core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PostgreSQL</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Primary relational database for all applications (DHIS2, OpenMRS, OpenCR, OpenHIM)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Repository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HAPI FHIR Server</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Shared Health Record and FHIR-native data store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Search / Matching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ElasticSearch</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Patient matching engine (MPI) and audit log indexing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Application Runtime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Java/Tomcat, Node.js</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Java for DHIS2, OpenMRS, OpenCR; Node.js for OpenHIM and mediators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Message Queue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RabbitMQ</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Asynchronous processing for non-real-time integration flows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Identity &amp; Access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Keycloak</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IAM / Single Sign-On across all health systems (OAuth 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Monitoring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Prometheus + Grafana</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Metrics collection, dashboards, and alerting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Containerisation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Docker → Kubernetes</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Docker Compose on interim infrastructure; Kubernetes on G-Cloud target state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Security (Transit)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TLS 1.2+ / mTLS</w:t>
            </w:r>
          </w:p>
        </w:tc>
        <w:tc>
          <w:tcPr>
            <w:tcW w:type="dxa" w:w="4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inter-system communication encrypted; mutual TLS for system-to-system calls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Security (At Rest)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AES-256</w:t>
            </w:r>
          </w:p>
        </w:tc>
        <w:tc>
          <w:tcPr>
            <w:tcW w:type="dxa" w:w="4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All stored health data encrypted</w:t>
            </w:r>
          </w:p>
        </w:tc>
      </w:tr>
    </w:tbl>
    <w:p>
      <w:pPr>
        <w:spacing w:after="160"/>
      </w:pPr>
    </w:p>
    <w:p>
      <w:pPr>
        <w:pStyle w:val="Heading2"/>
        <w:spacing w:after="160" w:before="280"/>
      </w:pPr>
      <w:r>
        <w:t xml:space="preserve">8.2 Sovereign Cloud and Hosting Strategy</w:t>
      </w:r>
    </w:p>
    <w:p>
      <w:pPr>
        <w:spacing w:after="160" w:line="276"/>
        <w:jc w:val="both"/>
      </w:pPr>
      <w:r>
        <w:t xml:space="preserve">The national sovereign cloud (G-Cloud) adopts a </w:t>
      </w:r>
      <w:r>
        <w:rPr>
          <w:b/>
          <w:bCs/>
        </w:rPr>
        <w:t xml:space="preserve">hub-and-spoke deployment model</w:t>
      </w:r>
      <w:r>
        <w:t xml:space="preserve">. A central hardened load balancer cluster (Envoy proxy) serves as the single public entry point. Each ministry operates as an isolated spoke. MoH systems run in the MoH spoke, with inter-system communication within the spoke mediated through OpenHIM. Cross-ministry data exchange routes through the hub’s API Gateway.</w:t>
      </w:r>
    </w:p>
    <w:p>
      <w:pPr>
        <w:spacing w:after="160" w:line="276"/>
        <w:jc w:val="both"/>
      </w:pPr>
      <w:r>
        <w:t xml:space="preserve">All identifiable patient data must reside on </w:t>
      </w:r>
      <w:r>
        <w:rPr>
          <w:b/>
          <w:bCs/>
        </w:rPr>
        <w:t xml:space="preserve">nationally controlled sovereign infrastructure</w:t>
      </w:r>
      <w:r>
        <w:t xml:space="preserve"> — the G-Cloud platform once operational, and existing ProgTel/e-Government data centre facilities in the interim period. De-identified aggregate data and analytics workloads may use hybrid cloud hosting. This tiered sovereignty model compensates for the absence of national data protection legislation.</w:t>
      </w:r>
    </w:p>
    <w:p>
      <w:pPr>
        <w:pStyle w:val="Heading2"/>
        <w:spacing w:after="160" w:before="280"/>
      </w:pPr>
      <w:r>
        <w:t xml:space="preserve">8.3 Offline-First Design</w:t>
      </w:r>
    </w:p>
    <w:p>
      <w:pPr>
        <w:spacing w:after="160" w:line="276"/>
        <w:jc w:val="both"/>
      </w:pPr>
      <w:r>
        <w:t xml:space="preserve">With ~60% national electricity access, a single submarine cable subject to frequent disruptions, and poor rural internet coverage, the architecture mandates that all facility-level systems must function without continuous internet connectivity. Clinical tablets store data locally and synchronise when connectivity is available. This is achieved through local storage on low-power devices (10-inch tablets with 4GB RAM, 64GB storage), mini-PC local servers at district level (16GB RAM, 1TB SSD), UPS units with minimum 4-hour backup, and solar power provisions where grid reliability is below 80%.</w:t>
      </w:r>
    </w:p>
    <w:p>
      <w:pPr>
        <w:pStyle w:val="Heading1"/>
        <w:spacing w:after="200" w:before="360"/>
      </w:pPr>
      <w:r>
        <w:t xml:space="preserve">9. The Dual-Mode Architecture Strategy</w:t>
      </w:r>
    </w:p>
    <w:p>
      <w:pPr>
        <w:spacing w:after="160" w:line="276"/>
        <w:jc w:val="both"/>
      </w:pPr>
      <w:r>
        <w:t xml:space="preserve">The architecture faces a fundamental timing challenge: national platforms (G-Cloud, Government Service Bus, national digital identity, broadband) are planned but not yet delivered, while the health sector has urgent needs that cannot wait.</w:t>
      </w:r>
    </w:p>
    <w:p>
      <w:pPr>
        <w:spacing w:after="160" w:line="276"/>
        <w:jc w:val="both"/>
      </w:pPr>
      <w:r>
        <w:t xml:space="preserve">The solution is a deliberate dual-mode design:</w:t>
      </w:r>
    </w:p>
    <w:p>
      <w:pPr>
        <w:spacing w:after="160" w:line="276"/>
        <w:jc w:val="both"/>
      </w:pPr>
      <w:r>
        <w:rPr>
          <w:b/>
          <w:bCs/>
        </w:rPr>
        <w:t xml:space="preserve">Target mode</w:t>
      </w:r>
      <w:r>
        <w:t xml:space="preserve"> is the intended steady state. MoH systems operate as a federated domain within the national digital architecture, leveraging G-Cloud hosting, the national Government Service Bus, unified digital identity, ProgressaPay payment gateway, and comprehensive data protection legislation.</w:t>
      </w:r>
    </w:p>
    <w:p>
      <w:pPr>
        <w:spacing w:after="160" w:line="276"/>
        <w:jc w:val="both"/>
      </w:pPr>
      <w:r>
        <w:rPr>
          <w:b/>
          <w:bCs/>
        </w:rPr>
        <w:t xml:space="preserve">Interim mode</w:t>
      </w:r>
      <w:r>
        <w:t xml:space="preserve"> is the operating state during the transition (approximately 2025–2028). MoH uses existing ProgTel/e-Government hosting, offline-first designs, OpenHIM as a self-contained health integration layer, the OpenCR-based MPI with eCRVS NIN as primary identifier, and direct bilateral integrations for the limited cross-ministry flows needed.</w:t>
      </w:r>
    </w:p>
    <w:p>
      <w:pPr>
        <w:spacing w:after="160" w:line="276"/>
        <w:jc w:val="both"/>
      </w:pPr>
      <w:r>
        <w:t xml:space="preserve">The critical design requirement is that </w:t>
      </w:r>
      <w:r>
        <w:rPr>
          <w:b/>
          <w:bCs/>
        </w:rPr>
        <w:t xml:space="preserve">transition from interim to target mode is non-disruptive</w:t>
      </w:r>
      <w:r>
        <w:t xml:space="preserve">. This is achieved through containerised deployments (Docker containers migrate between hosting environments), standards-based interfaces (FHIR and ADX work identically through OpenHIM or through the national Government Service Bus), and modular architecture (each component transitions independently rather than requiring a simultaneous migration).</w:t>
      </w:r>
    </w:p>
    <w:p>
      <w:pPr>
        <w:pStyle w:val="Heading1"/>
        <w:spacing w:after="200" w:before="360"/>
      </w:pPr>
      <w:r>
        <w:t xml:space="preserve">10. Phased Implementation</w:t>
      </w:r>
    </w:p>
    <w:p>
      <w:pPr>
        <w:spacing w:after="160" w:line="276"/>
        <w:jc w:val="both"/>
      </w:pPr>
      <w:r>
        <w:t xml:space="preserve">The architecture is implemented in three waves over a 24–36 month roadmap, with total investment estimated at approximately USD 1.45M:</w:t>
      </w:r>
    </w:p>
    <w:p>
      <w:pPr>
        <w:pStyle w:val="Heading2"/>
        <w:spacing w:after="160" w:before="280"/>
      </w:pPr>
      <w:r>
        <w:t xml:space="preserve">10.1 Wave 1: Foundation (Months 0–12)</w:t>
      </w:r>
    </w:p>
    <w:p>
      <w:pPr>
        <w:spacing w:after="160" w:line="276"/>
        <w:jc w:val="both"/>
      </w:pPr>
      <w:r>
        <w:t xml:space="preserve">Establish governance (Digital Health and Data Directorate with three Technical Working Groups). Deploy the integration backbone (OpenHIM) and Master Patient Index (OpenCR). Seed MPI with ~1M eCRVS records. Deliver the first integration flow: birth registration → MPI → insurance enrollment. Strengthen DHIS2 aggregate reporting to ≥95% completeness. Begin EHR pilot at 15–20 facilities. Deploy electronic disease surveillance pilot.</w:t>
      </w:r>
    </w:p>
    <w:p>
      <w:pPr>
        <w:pStyle w:val="Heading2"/>
        <w:spacing w:after="160" w:before="280"/>
      </w:pPr>
      <w:r>
        <w:t xml:space="preserve">10.2 Wave 2: Expansion (Months 12–24)</w:t>
      </w:r>
    </w:p>
    <w:p>
      <w:pPr>
        <w:spacing w:after="160" w:line="276"/>
        <w:jc w:val="both"/>
      </w:pPr>
      <w:r>
        <w:t xml:space="preserve">Scale EHR to 30–40 facilities. Transition from batch to real-time API-based integration through OpenHIM. Deploy insurance eligibility verification at point of care. Expand immunisation registry (DHIS2 Tracker) to progressively replace SPT. Deploy lab-to-surveillance automated notification. Establish Shared Health Record (HAPI FHIR).</w:t>
      </w:r>
    </w:p>
    <w:p>
      <w:pPr>
        <w:pStyle w:val="Heading2"/>
        <w:spacing w:after="160" w:before="280"/>
      </w:pPr>
      <w:r>
        <w:t xml:space="preserve">10.3 Wave 3: Maturation (Months 24–36)</w:t>
      </w:r>
    </w:p>
    <w:p>
      <w:pPr>
        <w:spacing w:after="160" w:line="276"/>
        <w:jc w:val="both"/>
      </w:pPr>
      <w:r>
        <w:t xml:space="preserve">Achieve full HIE mediation — all systems connect exclusively through OpenHIM. Complete EIR transition from SPT. Deploy supply chain management (OpenLMIS). Connect OpenHIM to national Government Service Bus when available. Target MPI duplicate rate below 2%. Achieve automated international reporting.</w:t>
      </w:r>
    </w:p>
    <w:p>
      <w:pPr>
        <w:pStyle w:val="Heading1"/>
        <w:spacing w:after="200" w:before="360"/>
      </w:pPr>
      <w:r>
        <w:t xml:space="preserve">11. Dependencies on National Infrastructure</w:t>
      </w:r>
    </w:p>
    <w:p>
      <w:pPr>
        <w:spacing w:after="160" w:line="276"/>
        <w:jc w:val="both"/>
      </w:pPr>
      <w:r>
        <w:t xml:space="preserve">The MoH architecture depends on six national capabilities being delivered under RDIP and related programmes. Each has an explicit interim mitigation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28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National Capability</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MoH Dependency</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Interim 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G-Cloud Sovereign Hosting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2027–2028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Production hosting for all central health systems</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Existing ProgTel/PDGA data centre with Docker Compose deployment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Broadband Connectivity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2026–2028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Reliable facility-level internet</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EHSSP satellite (VSAT), mobile data (3G/4G), offline-first system design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National Digital Identity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2026–2028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Universal patient identifier</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OpenCR MPI with eCRVS NIN as anchor (~50% coverage) + probabilistic matching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Government Service Bus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2027–2028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Cross-ministry data exchange</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OpenHIM as health sector HIE, designed to register with national bus when available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ProgressaPay Payment Gateway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Operational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Health insurance premium collection and claims payment</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ProgressaPay API is operational (Level 4 maturity) but MoH not yet onboarded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Data Protection Legislation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TBD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Legal framework for health data processing</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Ministerial health data governance framework (Section 4.1.3)</w:t>
            </w:r>
          </w:p>
        </w:tc>
      </w:tr>
    </w:tbl>
    <w:p>
      <w:pPr>
        <w:spacing w:after="160"/>
      </w:pPr>
    </w:p>
    <w:p>
      <w:pPr>
        <w:pStyle w:val="Heading1"/>
        <w:spacing w:after="200" w:before="360"/>
      </w:pPr>
      <w:r>
        <w:t xml:space="preserve">12. Key Architecture Decision Summary</w:t>
      </w:r>
    </w:p>
    <w:p>
      <w:pPr>
        <w:spacing w:after="160" w:line="276"/>
        <w:jc w:val="both"/>
      </w:pPr>
      <w:r>
        <w:t xml:space="preserve">Twelve major design decisions shape the architecture. Each was evaluated against architecture principles, evidence from comparable African implementations, and Progressa’s specific constraints. The decisions most relevant for national architects include:</w:t>
      </w:r>
    </w:p>
    <w:p>
      <w:pPr>
        <w:pStyle w:val="ListParagraph"/>
        <w:numPr>
          <w:ilvl w:val="0"/>
          <w:numId w:val="4"/>
        </w:numPr>
        <w:spacing w:after="100" w:line="276"/>
      </w:pPr>
      <w:r>
        <w:rPr>
          <w:b/>
          <w:bCs/>
        </w:rPr>
        <w:t xml:space="preserve">Build on what works</w:t>
      </w:r>
      <w:r>
        <w:t xml:space="preserve"> — Existing operational systems (DHIS2, eCRVS, e-NHIS, SPT) are strengthened and integrated, not replaced. Modernisation favours “Retain + Invest” over “Replace.”</w:t>
      </w:r>
    </w:p>
    <w:p>
      <w:pPr>
        <w:pStyle w:val="ListParagraph"/>
        <w:numPr>
          <w:ilvl w:val="0"/>
          <w:numId w:val="4"/>
        </w:numPr>
        <w:spacing w:after="100" w:line="276"/>
      </w:pPr>
      <w:r>
        <w:rPr>
          <w:b/>
          <w:bCs/>
        </w:rPr>
        <w:t xml:space="preserve">Open-source preference</w:t>
      </w:r>
      <w:r>
        <w:t xml:space="preserve"> — Budget constraints and vendor lock-in avoidance drive selection of open-source platforms with proven African deployments.</w:t>
      </w:r>
    </w:p>
    <w:p>
      <w:pPr>
        <w:pStyle w:val="ListParagraph"/>
        <w:numPr>
          <w:ilvl w:val="0"/>
          <w:numId w:val="4"/>
        </w:numPr>
        <w:spacing w:after="100" w:line="276"/>
      </w:pPr>
      <w:r>
        <w:rPr>
          <w:b/>
          <w:bCs/>
        </w:rPr>
        <w:t xml:space="preserve">Conservative phasing</w:t>
      </w:r>
      <w:r>
        <w:t xml:space="preserve"> — MoH has limited ICT staff (~3–5), limited absorption capacity, and a history of donor-funded pilots that fail to scale. The architecture starts small, sets explicit success criteria, and expands only when criteria are met.</w:t>
      </w:r>
    </w:p>
    <w:p>
      <w:pPr>
        <w:pStyle w:val="ListParagraph"/>
        <w:numPr>
          <w:ilvl w:val="0"/>
          <w:numId w:val="4"/>
        </w:numPr>
        <w:spacing w:after="100" w:line="276"/>
      </w:pPr>
      <w:r>
        <w:rPr>
          <w:b/>
          <w:bCs/>
        </w:rPr>
        <w:t xml:space="preserve">Evidence-based choices</w:t>
      </w:r>
      <w:r>
        <w:t xml:space="preserve"> — Every major platform selection cites country evidence from comparable African implementations. No untested or novel approaches.</w:t>
      </w:r>
    </w:p>
    <w:p>
      <w:pPr>
        <w:pStyle w:val="ListParagraph"/>
        <w:numPr>
          <w:ilvl w:val="0"/>
          <w:numId w:val="4"/>
        </w:numPr>
        <w:spacing w:after="100" w:line="276"/>
      </w:pPr>
      <w:r>
        <w:rPr>
          <w:b/>
          <w:bCs/>
        </w:rPr>
        <w:t xml:space="preserve">Sustainability by design</w:t>
      </w:r>
      <w:r>
        <w:t xml:space="preserve"> — Every component has an identified ownership, operational budget estimate, and staffing model. The architecture recommends 3–5% of health budget for digital health operations.</w:t>
      </w:r>
    </w:p>
    <w:p>
      <w:pPr>
        <w:pStyle w:val="ListParagraph"/>
        <w:numPr>
          <w:ilvl w:val="0"/>
          <w:numId w:val="4"/>
        </w:numPr>
        <w:spacing w:after="160" w:line="276"/>
      </w:pPr>
      <w:r>
        <w:rPr>
          <w:b/>
          <w:bCs/>
        </w:rPr>
        <w:t xml:space="preserve">Sovereign health data</w:t>
      </w:r>
      <w:r>
        <w:t xml:space="preserve"> — All identifiable patient data hosted on nationally controlled infrastructure. Compensating control for absent data protection legislation.</w:t>
      </w:r>
    </w:p>
    <w:p>
      <w:pPr>
        <w:pStyle w:val="Heading1"/>
        <w:spacing w:after="200" w:before="360"/>
      </w:pPr>
      <w:r>
        <w:t xml:space="preserve">13. Glossary: Health Terms for Enterprise Architects</w:t>
      </w:r>
    </w:p>
    <w:p>
      <w:pPr>
        <w:spacing w:after="160" w:line="276"/>
        <w:jc w:val="both"/>
      </w:pPr>
      <w:r>
        <w:t xml:space="preserve">The following table maps health-specific terminology used in the D6 architecture to enterprise architecture equivalents: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Health Term</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EA Equivalent</w:t>
            </w:r>
          </w:p>
        </w:tc>
        <w:tc>
          <w:tcPr>
            <w:tcW w:type="dxa" w:w="3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 the MoH Architecture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Health Information Exchange (HIE)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Enterprise Service Bus / API Gateway / Integration Platform</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OpenHIM — mediates all system-to-system communication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Master Patient Index (MPI)</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Master Data Management for Person Identity</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OpenCR — golden record, identity resolution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R4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RESTful API standard with defined resource schemas (like OpenAPI specs)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Mandatory for all patient-level data exchange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 Façade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API Adapter / Wrapper pattern</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Wraps legacy systems with standardised FHIR interfaces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OpenHIE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Reference architecture framework (like TOGAF for health)</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WHO-endorsed architecture pattern adopted by the MoH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EHR (Electronic Health Record)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Core operational system / Case management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OpenMRS — clinical encounter recording at facilities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EIR (Electronic Immunisation Registry)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Programme tracking system / Registry</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DHIS2 Tracker — replacing SPT over 3–5 years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IDSR+ (Disease Surveillance)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Event notification / Incident management system</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DHIS2 Tracker — automated case-based disease notification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HMIS (Health Management Information System)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BI / Performance Management / Reporting platform</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DHIS2 — national health statistics and analytics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ADX (Aggregate Data Exchange)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Standardised reporting / ETL format for KPIs</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Primary format for aggregate facility→national→international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Mediator (OpenHIM)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Integration adapter / Microservice / Transformation plugin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Pluggable modules handling specific integration flows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IHE PIXm/PDQm</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Patient identity cross-referencing API profiles</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sz w:val="20"/>
                <w:szCs w:val="20"/>
              </w:rPr>
              <w:t xml:space="preserve">Standard profiles implemented by OpenCR for identity resolution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mCSD (Mobile Care Services Discovery)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Service/Facility registry API specification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FHIR-based interface exposing DHIS2 facility data to all systems</w:t>
            </w:r>
          </w:p>
        </w:tc>
      </w:tr>
    </w:tbl>
    <w:p>
      <w:pPr>
        <w:spacing w:after="200"/>
      </w:pPr>
    </w:p>
    <w:p>
      <w:pPr>
        <w:pStyle w:val="Heading1"/>
        <w:spacing w:after="200" w:before="360"/>
      </w:pPr>
      <w:r>
        <w:t xml:space="preserve">14. Summary for National Architecture Governance</w:t>
      </w:r>
    </w:p>
    <w:p>
      <w:pPr>
        <w:spacing w:after="160" w:line="276"/>
        <w:jc w:val="both"/>
      </w:pPr>
      <w:r>
        <w:t xml:space="preserve">The MoH target architecture represents the most comprehensive sector-level digital transformation plan in Progressa’s government. For national architecture governance, the key points are:</w:t>
      </w:r>
    </w:p>
    <w:p>
      <w:pPr>
        <w:pStyle w:val="ListParagraph"/>
        <w:numPr>
          <w:ilvl w:val="0"/>
          <w:numId w:val="3"/>
        </w:numPr>
        <w:spacing w:after="100" w:line="276"/>
      </w:pPr>
      <w:r>
        <w:rPr>
          <w:b/>
          <w:bCs/>
        </w:rPr>
        <w:t xml:space="preserve">Standards alignment</w:t>
      </w:r>
      <w:r>
        <w:t xml:space="preserve"> — The architecture uses REST/JSON APIs throughout, making it fully compatible with the national Government Service Bus and interoperability platform when delivered.</w:t>
      </w:r>
    </w:p>
    <w:p>
      <w:pPr>
        <w:pStyle w:val="ListParagraph"/>
        <w:numPr>
          <w:ilvl w:val="0"/>
          <w:numId w:val="3"/>
        </w:numPr>
        <w:spacing w:after="100" w:line="276"/>
      </w:pPr>
      <w:r>
        <w:rPr>
          <w:b/>
          <w:bCs/>
        </w:rPr>
        <w:t xml:space="preserve">Federated design</w:t>
      </w:r>
      <w:r>
        <w:t xml:space="preserve"> — OpenHIM functions as the health sector’s domain mediator, designed to register with the national integration platform. This avoids both duplication and dependency.</w:t>
      </w:r>
    </w:p>
    <w:p>
      <w:pPr>
        <w:pStyle w:val="ListParagraph"/>
        <w:numPr>
          <w:ilvl w:val="0"/>
          <w:numId w:val="3"/>
        </w:numPr>
        <w:spacing w:after="100" w:line="276"/>
      </w:pPr>
      <w:r>
        <w:rPr>
          <w:b/>
          <w:bCs/>
        </w:rPr>
        <w:t xml:space="preserve">Identity convergence</w:t>
      </w:r>
      <w:r>
        <w:t xml:space="preserve"> — The MPI uses eCRVS NIN as its anchor identifier, aligning with the national digital identity roadmap. When a unified national identity platform arrives, the MPI integrates with it.</w:t>
      </w:r>
    </w:p>
    <w:p>
      <w:pPr>
        <w:pStyle w:val="ListParagraph"/>
        <w:numPr>
          <w:ilvl w:val="0"/>
          <w:numId w:val="3"/>
        </w:numPr>
        <w:spacing w:after="100" w:line="276"/>
      </w:pPr>
      <w:r>
        <w:rPr>
          <w:b/>
          <w:bCs/>
        </w:rPr>
        <w:t xml:space="preserve">Cloud-ready</w:t>
      </w:r>
      <w:r>
        <w:t xml:space="preserve"> — All systems are containerised (Docker) and designed for Kubernetes orchestration on G-Cloud, with interim Docker Compose deployment on existing infrastructure.</w:t>
      </w:r>
    </w:p>
    <w:p>
      <w:pPr>
        <w:pStyle w:val="ListParagraph"/>
        <w:numPr>
          <w:ilvl w:val="0"/>
          <w:numId w:val="3"/>
        </w:numPr>
        <w:spacing w:after="100" w:line="276"/>
      </w:pPr>
      <w:r>
        <w:rPr>
          <w:b/>
          <w:bCs/>
        </w:rPr>
        <w:t xml:space="preserve">Replicable pattern</w:t>
      </w:r>
      <w:r>
        <w:t xml:space="preserve"> — The MoH’s domain-level architecture establishes a pattern that other ministries can follow: sector-specific integration layer, sector-specific master data, sector-specific applications, all designed to federate into the national whole-of-government platform.</w:t>
      </w:r>
    </w:p>
    <w:p>
      <w:pPr>
        <w:pStyle w:val="ListParagraph"/>
        <w:numPr>
          <w:ilvl w:val="0"/>
          <w:numId w:val="3"/>
        </w:numPr>
        <w:spacing w:after="200" w:line="276"/>
      </w:pPr>
      <w:r>
        <w:rPr>
          <w:b/>
          <w:bCs/>
        </w:rPr>
        <w:t xml:space="preserve">Governance integration</w:t>
      </w:r>
      <w:r>
        <w:t xml:space="preserve"> — The proposed Digital Health and Data Directorate (DHDD) and its Technical Working Groups are designed to interface with the national EA governance structures established under the EA Framework (D2).</w:t>
      </w:r>
    </w:p>
    <w:p>
      <w:pPr>
        <w:spacing w:after="160" w:line="276"/>
        <w:jc w:val="both"/>
      </w:pPr>
      <w:r>
        <w:t xml:space="preserve">The detailed technical specifications, gap analyses, Architecture Decision Records, and implementation roadmap are available in </w:t>
      </w:r>
      <w:r>
        <w:rPr>
          <w:i/>
          <w:iCs/>
        </w:rPr>
        <w:t xml:space="preserve">D6: MoH Future State Architecture v1.0</w:t>
      </w:r>
      <w:r>
        <w:t xml:space="preserve"> and </w:t>
      </w:r>
      <w:r>
        <w:rPr>
          <w:i/>
          <w:iCs/>
        </w:rPr>
        <w:t xml:space="preserve">D7: MoH EA Implementation Roadmap v1.0</w:t>
      </w:r>
      <w: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MoH Target Architecture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2026-02-27T10:07:13.666Z</dcterms:created>
  <dcterms:modified xsi:type="dcterms:W3CDTF">2026-02-27T10:07:13.667Z</dcterms:modified>
</cp:coreProperties>
</file>

<file path=docProps/custom.xml><?xml version="1.0" encoding="utf-8"?>
<Properties xmlns="http://schemas.openxmlformats.org/officeDocument/2006/custom-properties" xmlns:vt="http://schemas.openxmlformats.org/officeDocument/2006/docPropsVTypes"/>
</file>