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2E75B6"/>
          <w:sz w:val="28"/>
          <w:szCs w:val="28"/>
        </w:rPr>
        <w:t xml:space="preserve">Progressa</w:t>
      </w:r>
    </w:p>
    <w:p>
      <w:pPr>
        <w:spacing w:after="200"/>
        <w:jc w:val="center"/>
      </w:pPr>
      <w:r>
        <w:rPr>
          <w:rFonts w:ascii="Arial" w:cs="Arial" w:eastAsia="Arial" w:hAnsi="Arial"/>
          <w:b/>
          <w:bCs/>
          <w:color w:val="1F4E79"/>
          <w:sz w:val="36"/>
          <w:szCs w:val="36"/>
        </w:rPr>
        <w:t xml:space="preserve">Ministry of Health</w:t>
      </w:r>
    </w:p>
    <w:p>
      <w:pPr>
        <w:spacing w:after="600"/>
        <w:jc w:val="center"/>
      </w:pPr>
      <w:r>
        <w:rPr>
          <w:rFonts w:ascii="Arial" w:cs="Arial" w:eastAsia="Arial" w:hAnsi="Arial"/>
          <w:b/>
          <w:bCs/>
          <w:color w:val="1F4E79"/>
          <w:sz w:val="36"/>
          <w:szCs w:val="36"/>
        </w:rPr>
        <w:t xml:space="preserve">Target Enterprise Architecture</w:t>
      </w:r>
    </w:p>
    <w:p>
      <w:pPr>
        <w:spacing w:after="100"/>
        <w:jc w:val="center"/>
      </w:pPr>
      <w:r>
        <w:rPr>
          <w:rFonts w:ascii="Arial" w:cs="Arial" w:eastAsia="Arial" w:hAnsi="Arial"/>
          <w:color w:val="2E75B6"/>
          <w:sz w:val="26"/>
          <w:szCs w:val="26"/>
        </w:rPr>
        <w:t xml:space="preserve">A Narrative Guide for Enterprise Architects</w:t>
      </w:r>
    </w:p>
    <w:p>
      <w:pPr>
        <w:spacing w:after="100"/>
        <w:jc w:val="center"/>
      </w:pPr>
      <w:r>
        <w:rPr>
          <w:rFonts w:ascii="Arial" w:cs="Arial" w:eastAsia="Arial" w:hAnsi="Arial"/>
          <w:i/>
          <w:iCs/>
          <w:color w:val="666666"/>
          <w:sz w:val="22"/>
          <w:szCs w:val="22"/>
        </w:rPr>
        <w:t xml:space="preserve">Explaining Health Domain Concepts, Systems, and Integration Patterns</w:t>
      </w:r>
    </w:p>
    <w:p>
      <w:pPr>
        <w:spacing w:before="2000"/>
      </w:pPr>
    </w:p>
    <w:p>
      <w:pPr>
        <w:jc w:val="center"/>
      </w:pPr>
      <w:r>
        <w:rPr>
          <w:rFonts w:ascii="Arial" w:cs="Arial" w:eastAsia="Arial" w:hAnsi="Arial"/>
          <w:color w:val="888888"/>
          <w:sz w:val="20"/>
          <w:szCs w:val="20"/>
        </w:rPr>
        <w:t xml:space="preserve">Prepared as part of D6: Future State Architecture</w:t>
      </w:r>
    </w:p>
    <w:p>
      <w:pPr>
        <w:spacing w:after="100"/>
        <w:jc w:val="center"/>
      </w:pPr>
      <w:r>
        <w:rPr>
          <w:rFonts w:ascii="Arial" w:cs="Arial" w:eastAsia="Arial" w:hAnsi="Arial"/>
          <w:color w:val="888888"/>
          <w:sz w:val="20"/>
          <w:szCs w:val="20"/>
        </w:rPr>
        <w:t xml:space="preserve">The Progressa Enterprise Architecture Initiative</w:t>
      </w:r>
    </w:p>
    <w:p>
      <w:pPr>
        <w:jc w:val="center"/>
      </w:pPr>
      <w:r>
        <w:rPr>
          <w:rFonts w:ascii="Arial" w:cs="Arial" w:eastAsia="Arial" w:hAnsi="Arial"/>
          <w:color w:val="888888"/>
          <w:sz w:val="20"/>
          <w:szCs w:val="20"/>
        </w:rPr>
        <w:t xml:space="preserve">Contract [contract reference]</w:t>
      </w:r>
    </w:p>
    <w:p>
      <w:pPr>
        <w:spacing w:before="400"/>
        <w:jc w:val="center"/>
      </w:pPr>
      <w:r>
        <w:rPr>
          <w:rFonts w:ascii="Arial" w:cs="Arial" w:eastAsia="Arial" w:hAnsi="Arial"/>
          <w:color w:val="888888"/>
          <w:sz w:val="20"/>
          <w:szCs w:val="20"/>
        </w:rPr>
        <w:t xml:space="preserve">February 2026</w:t>
      </w:r>
    </w:p>
    <w:p>
      <w:pPr>
        <w:sectPr>
          <w:pgSz w:w="11906" w:h="16838" w:orient="portrait"/>
          <w:pgMar w:top="1440" w:right="1440" w:bottom="1440" w:left="1440" w:header="708" w:footer="708" w:gutter="0"/>
          <w:pgNumType/>
          <w:docGrid w:linePitch="360"/>
        </w:sectPr>
      </w:pPr>
    </w:p>
    <w:p>
      <w:pPr>
        <w:pStyle w:val="Heading1"/>
      </w:pPr>
      <w:r>
        <w:t xml:space="preserve">1. Purpose and Audience</w:t>
      </w:r>
    </w:p>
    <w:p>
      <w:pPr>
        <w:spacing w:after="160" w:line="276"/>
      </w:pPr>
      <w:r>
        <w:rPr>
          <w:rFonts w:ascii="Arial" w:cs="Arial" w:eastAsia="Arial" w:hAnsi="Arial"/>
          <w:sz w:val="22"/>
          <w:szCs w:val="22"/>
        </w:rPr>
        <w:t xml:space="preserve">This document provides a narrative explanation of the Ministry of Health (MoH) target enterprise architecture as defined in D6: Future State Architecture. It is written specifically for an enterprise architect operating at the national or cross-government level who understands general EA concepts (application portfolios, integration patterns, data governance, infrastructure layering) but is not necessarily familiar with health-domain terminology, clinical workflows, or the international standards ecosystem that governs digital health.</w:t>
      </w:r>
    </w:p>
    <w:p>
      <w:pPr>
        <w:spacing w:after="160" w:line="276"/>
      </w:pPr>
      <w:r>
        <w:rPr>
          <w:rFonts w:ascii="Arial" w:cs="Arial" w:eastAsia="Arial" w:hAnsi="Arial"/>
          <w:sz w:val="22"/>
          <w:szCs w:val="22"/>
        </w:rPr>
        <w:t xml:space="preserve">The health sector is one of the most complex domains in government enterprise architecture. It involves dozens of specialised information systems, international reporting obligations to bodies like the World Health Organisation (WHO), domain-specific data standards (HL7 FHIR, ICD-11, LOINC), and a unique governance landscape where donor-funded projects have historically introduced systems without coordinated architectural oversight. This document translates that complexity into concepts and patterns that any enterprise architect will recognise.</w:t>
      </w:r>
    </w:p>
    <w:p>
      <w:pPr>
        <w:spacing w:after="160" w:line="276"/>
      </w:pPr>
      <w:r>
        <w:rPr>
          <w:rFonts w:ascii="Arial" w:cs="Arial" w:eastAsia="Arial" w:hAnsi="Arial"/>
          <w:sz w:val="22"/>
          <w:szCs w:val="22"/>
        </w:rPr>
        <w:t xml:space="preserve">Where health-specific acronyms are unavoidable, they are explained in plain language at the point of first use. A consolidated glossary appears at the end of the document.</w:t>
      </w:r>
    </w:p>
    <w:p>
      <w:pPr>
        <w:pStyle w:val="Heading1"/>
      </w:pPr>
      <w:r>
        <w:t xml:space="preserve">2. Context: The Problem Being Solved</w:t>
      </w:r>
    </w:p>
    <w:p>
      <w:pPr>
        <w:spacing w:after="160" w:line="276"/>
      </w:pPr>
      <w:r>
        <w:rPr>
          <w:rFonts w:ascii="Arial" w:cs="Arial" w:eastAsia="Arial" w:hAnsi="Arial"/>
          <w:sz w:val="22"/>
          <w:szCs w:val="22"/>
        </w:rPr>
        <w:t xml:space="preserve">Progressa’s Ministry of Health currently operates at least eight distinct digital systems, almost none of which communicate with each other. The situation is analogous to a government ministry that runs separate HR, finance, procurement, and payroll systems where staff must re-enter the same data into each system by hand, with no master employee record linking them together.</w:t>
      </w:r>
    </w:p>
    <w:p>
      <w:pPr>
        <w:spacing w:after="160" w:line="276"/>
      </w:pPr>
      <w:r>
        <w:rPr>
          <w:rFonts w:ascii="Arial" w:cs="Arial" w:eastAsia="Arial" w:hAnsi="Arial"/>
          <w:sz w:val="22"/>
          <w:szCs w:val="22"/>
        </w:rPr>
        <w:t xml:space="preserve">Concretely, this means:</w:t>
      </w:r>
    </w:p>
    <w:p>
      <w:pPr>
        <w:pStyle w:val="ListParagraph"/>
        <w:numPr>
          <w:ilvl w:val="0"/>
          <w:numId w:val="2"/>
        </w:numPr>
        <w:spacing w:after="120" w:line="276"/>
      </w:pPr>
      <w:r>
        <w:rPr>
          <w:rFonts w:ascii="Arial" w:cs="Arial" w:eastAsia="Arial" w:hAnsi="Arial"/>
          <w:sz w:val="22"/>
          <w:szCs w:val="22"/>
        </w:rPr>
        <w:t xml:space="preserve">A child born at a health facility and registered in the civil registration system with a National Identification Number (NIN) cannot have that NIN automatically linked to their immunisation record, their mother’s health insurance enrollment, or any clinical encounter record. Each system maintains its own patient identity in isolation.</w:t>
      </w:r>
    </w:p>
    <w:p>
      <w:pPr>
        <w:pStyle w:val="ListParagraph"/>
        <w:numPr>
          <w:ilvl w:val="0"/>
          <w:numId w:val="2"/>
        </w:numPr>
        <w:spacing w:after="120" w:line="276"/>
      </w:pPr>
      <w:r>
        <w:rPr>
          <w:rFonts w:ascii="Arial" w:cs="Arial" w:eastAsia="Arial" w:hAnsi="Arial"/>
          <w:sz w:val="22"/>
          <w:szCs w:val="22"/>
        </w:rPr>
        <w:t xml:space="preserve">A laboratory test result must be manually transcribed from the lab system into a facility paper register, then separately entered into the national health statistics platform. There is no automated data flow.</w:t>
      </w:r>
    </w:p>
    <w:p>
      <w:pPr>
        <w:pStyle w:val="ListParagraph"/>
        <w:numPr>
          <w:ilvl w:val="0"/>
          <w:numId w:val="2"/>
        </w:numPr>
        <w:spacing w:after="120" w:line="276"/>
      </w:pPr>
      <w:r>
        <w:rPr>
          <w:rFonts w:ascii="Arial" w:cs="Arial" w:eastAsia="Arial" w:hAnsi="Arial"/>
          <w:sz w:val="22"/>
          <w:szCs w:val="22"/>
        </w:rPr>
        <w:t xml:space="preserve">Health insurance eligibility cannot be verified electronically at the point of care. Facility staff must phone the insurance authority or rely on a physical insurance card.</w:t>
      </w:r>
    </w:p>
    <w:p>
      <w:pPr>
        <w:pStyle w:val="ListParagraph"/>
        <w:numPr>
          <w:ilvl w:val="0"/>
          <w:numId w:val="2"/>
        </w:numPr>
        <w:spacing w:after="120" w:line="276"/>
      </w:pPr>
      <w:r>
        <w:rPr>
          <w:rFonts w:ascii="Arial" w:cs="Arial" w:eastAsia="Arial" w:hAnsi="Arial"/>
          <w:sz w:val="22"/>
          <w:szCs w:val="22"/>
        </w:rPr>
        <w:t xml:space="preserve">Disease outbreak notifications are ~90% paper-based. A suspected disease case at a facility requires a paper form to be physically transported to the district level before entering the electronic reporting chain, introducing delays of days rather than hours.</w:t>
      </w:r>
    </w:p>
    <w:p>
      <w:pPr>
        <w:pStyle w:val="ListParagraph"/>
        <w:numPr>
          <w:ilvl w:val="0"/>
          <w:numId w:val="2"/>
        </w:numPr>
        <w:spacing w:after="160" w:line="276"/>
      </w:pPr>
      <w:r>
        <w:rPr>
          <w:rFonts w:ascii="Arial" w:cs="Arial" w:eastAsia="Arial" w:hAnsi="Arial"/>
          <w:sz w:val="22"/>
          <w:szCs w:val="22"/>
        </w:rPr>
        <w:t xml:space="preserve">International health statistics reporting to WHO and the Regional Health Organisation (RHO) is a manual, months-long process of extracting data, reformatting it into spreadsheets, and submitting via web portals.</w:t>
      </w:r>
    </w:p>
    <w:p>
      <w:pPr>
        <w:spacing w:after="160" w:line="276"/>
      </w:pPr>
      <w:r>
        <w:rPr>
          <w:rFonts w:ascii="Arial" w:cs="Arial" w:eastAsia="Arial" w:hAnsi="Arial"/>
          <w:sz w:val="22"/>
          <w:szCs w:val="22"/>
        </w:rPr>
        <w:t xml:space="preserve">The only automated data exchange in the entire ministry is a single flow: the immunisation tracking system (called SPT) sends aggregate vaccination data to the national health statistics platform (called DHIS2). Everything else is manual, paper-based, or simply not connected.</w:t>
      </w:r>
    </w:p>
    <w:p>
      <w:pPr>
        <w:spacing w:after="160" w:line="276"/>
      </w:pPr>
      <w:r>
        <w:rPr>
          <w:rFonts w:ascii="Arial" w:cs="Arial" w:eastAsia="Arial" w:hAnsi="Arial"/>
          <w:sz w:val="22"/>
          <w:szCs w:val="22"/>
        </w:rPr>
        <w:t xml:space="preserve">The target architecture addresses this by introducing a structured integration layer, a unified patient identity, and standardised data exchange protocols — the same fundamental patterns used in any enterprise integration architecture, adapted to the health domain.</w:t>
      </w:r>
    </w:p>
    <w:p>
      <w:pPr>
        <w:pStyle w:val="Heading1"/>
      </w:pPr>
      <w:r>
        <w:t xml:space="preserve">3. Architecture Overview: The Four-Layer Model</w:t>
      </w:r>
    </w:p>
    <w:p>
      <w:pPr>
        <w:spacing w:after="160" w:line="276"/>
      </w:pPr>
      <w:r>
        <w:rPr>
          <w:rFonts w:ascii="Arial" w:cs="Arial" w:eastAsia="Arial" w:hAnsi="Arial"/>
          <w:sz w:val="22"/>
          <w:szCs w:val="22"/>
        </w:rPr>
        <w:t xml:space="preserve">The target application portfolio is organised into four functional layers. For an enterprise architect, this layering will feel familiar — it maps closely to a standard enterprise integration pattern with shared services at the bottom, operational applications in the middle, and specialised analytics at the top. The key difference is that the health domain has its own integration framework (called OpenHIE) and its own data exchange standard (called HL7 FHIR) that serve the same purpose as a Government Service Bus and standard API protocols in other domains.</w:t>
      </w:r>
    </w:p>
    <w:p>
      <w:pPr>
        <w:spacing w:after="160" w:line="276"/>
      </w:pPr>
      <w:r>
        <w:rPr>
          <w:rFonts w:ascii="Arial" w:cs="Arial" w:eastAsia="Arial" w:hAnsi="Arial"/>
          <w:sz w:val="22"/>
          <w:szCs w:val="22"/>
        </w:rPr>
        <w:t xml:space="preserve">The four layers, from foundation to specialised function, are:</w:t>
      </w:r>
    </w:p>
    <w:p>
      <w:pPr>
        <w:pStyle w:val="ListParagraph"/>
        <w:numPr>
          <w:ilvl w:val="0"/>
          <w:numId w:val="3"/>
        </w:numPr>
        <w:spacing w:after="120" w:line="276"/>
      </w:pPr>
      <w:r>
        <w:rPr>
          <w:rFonts w:ascii="Arial" w:cs="Arial" w:eastAsia="Arial" w:hAnsi="Arial"/>
          <w:b/>
          <w:bCs/>
          <w:sz w:val="22"/>
          <w:szCs w:val="22"/>
        </w:rPr>
        <w:t xml:space="preserve">Layer 1 — National Health Platform: </w:t>
      </w:r>
      <w:r>
        <w:rPr>
          <w:rFonts w:ascii="Arial" w:cs="Arial" w:eastAsia="Arial" w:hAnsi="Arial"/>
          <w:sz w:val="22"/>
          <w:szCs w:val="22"/>
        </w:rPr>
        <w:t xml:space="preserve">Shared data infrastructure and interoperability services (the “plumbing”)</w:t>
      </w:r>
    </w:p>
    <w:p>
      <w:pPr>
        <w:pStyle w:val="ListParagraph"/>
        <w:numPr>
          <w:ilvl w:val="0"/>
          <w:numId w:val="3"/>
        </w:numPr>
        <w:spacing w:after="120" w:line="276"/>
      </w:pPr>
      <w:r>
        <w:rPr>
          <w:rFonts w:ascii="Arial" w:cs="Arial" w:eastAsia="Arial" w:hAnsi="Arial"/>
          <w:b/>
          <w:bCs/>
          <w:sz w:val="22"/>
          <w:szCs w:val="22"/>
        </w:rPr>
        <w:t xml:space="preserve">Layer 2 — Clinical Systems: </w:t>
      </w:r>
      <w:r>
        <w:rPr>
          <w:rFonts w:ascii="Arial" w:cs="Arial" w:eastAsia="Arial" w:hAnsi="Arial"/>
          <w:sz w:val="22"/>
          <w:szCs w:val="22"/>
        </w:rPr>
        <w:t xml:space="preserve">Patient-facing applications used by health workers at the point of care</w:t>
      </w:r>
    </w:p>
    <w:p>
      <w:pPr>
        <w:pStyle w:val="ListParagraph"/>
        <w:numPr>
          <w:ilvl w:val="0"/>
          <w:numId w:val="3"/>
        </w:numPr>
        <w:spacing w:after="120" w:line="276"/>
      </w:pPr>
      <w:r>
        <w:rPr>
          <w:rFonts w:ascii="Arial" w:cs="Arial" w:eastAsia="Arial" w:hAnsi="Arial"/>
          <w:b/>
          <w:bCs/>
          <w:sz w:val="22"/>
          <w:szCs w:val="22"/>
        </w:rPr>
        <w:t xml:space="preserve">Layer 3 — Health Administration: </w:t>
      </w:r>
      <w:r>
        <w:rPr>
          <w:rFonts w:ascii="Arial" w:cs="Arial" w:eastAsia="Arial" w:hAnsi="Arial"/>
          <w:sz w:val="22"/>
          <w:szCs w:val="22"/>
        </w:rPr>
        <w:t xml:space="preserve">Back-office systems supporting service delivery (insurance, civil registration, supply chain)</w:t>
      </w:r>
    </w:p>
    <w:p>
      <w:pPr>
        <w:pStyle w:val="ListParagraph"/>
        <w:numPr>
          <w:ilvl w:val="0"/>
          <w:numId w:val="3"/>
        </w:numPr>
        <w:spacing w:after="200" w:line="276"/>
      </w:pPr>
      <w:r>
        <w:rPr>
          <w:rFonts w:ascii="Arial" w:cs="Arial" w:eastAsia="Arial" w:hAnsi="Arial"/>
          <w:b/>
          <w:bCs/>
          <w:sz w:val="22"/>
          <w:szCs w:val="22"/>
        </w:rPr>
        <w:t xml:space="preserve">Layer 4 — Surveillance: </w:t>
      </w:r>
      <w:r>
        <w:rPr>
          <w:rFonts w:ascii="Arial" w:cs="Arial" w:eastAsia="Arial" w:hAnsi="Arial"/>
          <w:sz w:val="22"/>
          <w:szCs w:val="22"/>
        </w:rPr>
        <w:t xml:space="preserve">Public health monitoring and outbreak detection</w:t>
      </w:r>
    </w:p>
    <w:p>
      <w:pPr>
        <w:spacing w:after="160" w:line="276"/>
      </w:pPr>
      <w:r>
        <w:rPr>
          <w:rFonts w:ascii="Arial" w:cs="Arial" w:eastAsia="Arial" w:hAnsi="Arial"/>
          <w:sz w:val="22"/>
          <w:szCs w:val="22"/>
        </w:rPr>
        <w:t xml:space="preserve">An integration layer (OpenHIM, functioning as a health-sector Enterprise Service Bus) sits between all four layers, mediating every data exchange. No application communicates directly with another application. This is the single most important architectural principle: mediated integration through a central hub, eliminating point-to-point connections.</w:t>
      </w:r>
    </w:p>
    <w:p>
      <w:pPr>
        <w:pStyle w:val="Heading1"/>
      </w:pPr>
      <w:r>
        <w:t xml:space="preserve">4. Layer 1 — National Health Platform (Shared Infrastructure)</w:t>
      </w:r>
    </w:p>
    <w:p>
      <w:pPr>
        <w:spacing w:after="160" w:line="276"/>
      </w:pPr>
      <w:r>
        <w:rPr>
          <w:rFonts w:ascii="Arial" w:cs="Arial" w:eastAsia="Arial" w:hAnsi="Arial"/>
          <w:sz w:val="22"/>
          <w:szCs w:val="22"/>
        </w:rPr>
        <w:t xml:space="preserve">This layer is the equivalent of shared government infrastructure — the master data registries, the integration bus, and the canonical data platform. Health workers do not interact with Layer 1 directly. It operates as the backbone connecting all other layers into a coherent ecosystem.</w:t>
      </w:r>
    </w:p>
    <w:p>
      <w:pPr>
        <w:pStyle w:val="Heading2"/>
      </w:pPr>
      <w:r>
        <w:t xml:space="preserve">4.1 DHIS2 — The National Health Statistics Platform</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DHIS2 (District Health Information Software 2) is an open-source platform developed by the University of Oslo, used by over 80 countries as their national health management information system (HMIS). Think of it as the health sector’s equivalent of a government-wide business intelligence and data warehouse platform, but purpose-built for health indicators, facility-level reporting, and epidemiological analysis.</w:t>
      </w:r>
    </w:p>
    <w:p>
      <w:pPr>
        <w:spacing w:after="160" w:line="276"/>
      </w:pPr>
      <w:r>
        <w:rPr>
          <w:rFonts w:ascii="Arial" w:cs="Arial" w:eastAsia="Arial" w:hAnsi="Arial"/>
          <w:b/>
          <w:bCs/>
          <w:sz w:val="22"/>
          <w:szCs w:val="22"/>
        </w:rPr>
        <w:t xml:space="preserve">Current state in Progressa: </w:t>
      </w:r>
      <w:r>
        <w:rPr>
          <w:rFonts w:ascii="Arial" w:cs="Arial" w:eastAsia="Arial" w:hAnsi="Arial"/>
          <w:sz w:val="22"/>
          <w:szCs w:val="22"/>
        </w:rPr>
        <w:t xml:space="preserve">DHIS2 has been operational since 2010 and is the most mature digital system in MoH. All ~90 health facilities submit monthly aggregate reports through DHIS2. However, it is used predominantly for retrospective reporting — monthly tallies submitted after the fact — rather than for real-time operational intelligence.</w:t>
      </w:r>
    </w:p>
    <w:p>
      <w:pPr>
        <w:spacing w:after="160" w:line="276"/>
      </w:pPr>
      <w:r>
        <w:rPr>
          <w:rFonts w:ascii="Arial" w:cs="Arial" w:eastAsia="Arial" w:hAnsi="Arial"/>
          <w:b/>
          <w:bCs/>
          <w:sz w:val="22"/>
          <w:szCs w:val="22"/>
        </w:rPr>
        <w:t xml:space="preserve">Target state: </w:t>
      </w:r>
      <w:r>
        <w:rPr>
          <w:rFonts w:ascii="Arial" w:cs="Arial" w:eastAsia="Arial" w:hAnsi="Arial"/>
          <w:sz w:val="22"/>
          <w:szCs w:val="22"/>
        </w:rPr>
        <w:t xml:space="preserve">DHIS2 serves three roles in the target architecture. First, it continues as the aggregate HMIS for monthly facility reporting (its existing role, strengthened to achieve 95% or greater data completeness). Second, its Tracker module — a capability for tracking individual cases longitudinally rather than just counting aggregate numbers — is deployed for immunisation tracking, disease surveillance case management, and maternal health monitoring. Third, it becomes the primary health analytics engine with dashboards, geographic information system (GIS) mapping, and automated quality checks.</w:t>
      </w:r>
    </w:p>
    <w:p>
      <w:pPr>
        <w:spacing w:after="160" w:line="276"/>
        <w:ind w:left="360"/>
      </w:pPr>
      <w:r>
        <w:rPr>
          <w:rFonts w:ascii="Arial" w:cs="Arial" w:eastAsia="Arial" w:hAnsi="Arial"/>
          <w:i/>
          <w:iCs/>
          <w:color w:val="555555"/>
          <w:sz w:val="20"/>
          <w:szCs w:val="20"/>
        </w:rPr>
        <w:t xml:space="preserve">EA parallel: DHIS2 plays a role comparable to a combined data warehouse and operational reporting platform. Its Tracker module adds case-management-style individual record tracking within the same platform, similar to how some ERP systems combine transactional and analytical capabilities.</w:t>
      </w:r>
    </w:p>
    <w:p>
      <w:pPr>
        <w:spacing w:after="160" w:line="276"/>
      </w:pPr>
      <w:r>
        <w:rPr>
          <w:rFonts w:ascii="Arial" w:cs="Arial" w:eastAsia="Arial" w:hAnsi="Arial"/>
          <w:sz w:val="22"/>
          <w:szCs w:val="22"/>
        </w:rPr>
        <w:t xml:space="preserve">DHIS2 also hosts standardised WHO metadata packages that align national health indicators with international reporting requirements. This means Progressa can generate reports for WHO, RHO, and the national statistics bureau directly from DHIS2, using a standardised format called ADX (Aggregate Data Exchange) — an XML/JSON-based format purpose-built for transmitting aggregate health statistics between health information systems. ADX datasets contain indicator codes, disaggregation dimensions (age group, sex, region), numeric values, and quality metadata (reporting completeness scores). The ADX Export Mediator in the integration layer automates the extraction, transformation, and submission pipeline that is currently done manually over months.</w:t>
      </w:r>
    </w:p>
    <w:p>
      <w:pPr>
        <w:pStyle w:val="Heading2"/>
      </w:pPr>
      <w:r>
        <w:t xml:space="preserve">4.2 Health Information Exchange (HIE) — The Integration Layer</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HIE is the health sector’s equivalent of a Government Service Bus or Enterprise Service Bus. It is the central integration platform through which all system-to-system data exchange flows. The specific technology is OpenHIM (Open Health Information Mediator), an open-source integration engine designed for health information exchange in low- and middle-income countries.</w:t>
      </w:r>
    </w:p>
    <w:p>
      <w:pPr>
        <w:spacing w:after="160" w:line="276"/>
      </w:pPr>
      <w:r>
        <w:rPr>
          <w:rFonts w:ascii="Arial" w:cs="Arial" w:eastAsia="Arial" w:hAnsi="Arial"/>
          <w:b/>
          <w:bCs/>
          <w:sz w:val="22"/>
          <w:szCs w:val="22"/>
        </w:rPr>
        <w:t xml:space="preserve">Current state: </w:t>
      </w:r>
      <w:r>
        <w:rPr>
          <w:rFonts w:ascii="Arial" w:cs="Arial" w:eastAsia="Arial" w:hAnsi="Arial"/>
          <w:sz w:val="22"/>
          <w:szCs w:val="22"/>
        </w:rPr>
        <w:t xml:space="preserve">This capability does not exist today. The HIE is entirely new and represents the most critical investment in the target architecture.</w:t>
      </w:r>
    </w:p>
    <w:p>
      <w:pPr>
        <w:spacing w:after="160" w:line="276"/>
      </w:pPr>
      <w:r>
        <w:rPr>
          <w:rFonts w:ascii="Arial" w:cs="Arial" w:eastAsia="Arial" w:hAnsi="Arial"/>
          <w:sz w:val="22"/>
          <w:szCs w:val="22"/>
        </w:rPr>
        <w:t xml:space="preserve">OpenHIM performs five core functions that any enterprise architect will recognise:</w:t>
      </w:r>
    </w:p>
    <w:p>
      <w:pPr>
        <w:pStyle w:val="ListParagraph"/>
        <w:numPr>
          <w:ilvl w:val="0"/>
          <w:numId w:val="4"/>
        </w:numPr>
        <w:spacing w:after="100" w:line="276"/>
      </w:pPr>
      <w:r>
        <w:rPr>
          <w:rFonts w:ascii="Arial" w:cs="Arial" w:eastAsia="Arial" w:hAnsi="Arial"/>
          <w:b/>
          <w:bCs/>
          <w:sz w:val="22"/>
          <w:szCs w:val="22"/>
        </w:rPr>
        <w:t xml:space="preserve">Routing: </w:t>
      </w:r>
      <w:r>
        <w:rPr>
          <w:rFonts w:ascii="Arial" w:cs="Arial" w:eastAsia="Arial" w:hAnsi="Arial"/>
          <w:sz w:val="22"/>
          <w:szCs w:val="22"/>
        </w:rPr>
        <w:t xml:space="preserve">Directing incoming messages from source systems to the correct destination based on message type, content, and configurable routing rules.</w:t>
      </w:r>
    </w:p>
    <w:p>
      <w:pPr>
        <w:pStyle w:val="ListParagraph"/>
        <w:numPr>
          <w:ilvl w:val="0"/>
          <w:numId w:val="4"/>
        </w:numPr>
        <w:spacing w:after="100" w:line="276"/>
      </w:pPr>
      <w:r>
        <w:rPr>
          <w:rFonts w:ascii="Arial" w:cs="Arial" w:eastAsia="Arial" w:hAnsi="Arial"/>
          <w:b/>
          <w:bCs/>
          <w:sz w:val="22"/>
          <w:szCs w:val="22"/>
        </w:rPr>
        <w:t xml:space="preserve">Orchestration: </w:t>
      </w:r>
      <w:r>
        <w:rPr>
          <w:rFonts w:ascii="Arial" w:cs="Arial" w:eastAsia="Arial" w:hAnsi="Arial"/>
          <w:sz w:val="22"/>
          <w:szCs w:val="22"/>
        </w:rPr>
        <w:t xml:space="preserve">Coordinating multi-step workflows across systems. For example, a single birth registration event triggers a sequence: create patient identity → initiate insurance enrollment → generate immunisation schedule. OpenHIM manages this chain, handling success, partial failure, and retry logic.</w:t>
      </w:r>
    </w:p>
    <w:p>
      <w:pPr>
        <w:pStyle w:val="ListParagraph"/>
        <w:numPr>
          <w:ilvl w:val="0"/>
          <w:numId w:val="4"/>
        </w:numPr>
        <w:spacing w:after="100" w:line="276"/>
      </w:pPr>
      <w:r>
        <w:rPr>
          <w:rFonts w:ascii="Arial" w:cs="Arial" w:eastAsia="Arial" w:hAnsi="Arial"/>
          <w:b/>
          <w:bCs/>
          <w:sz w:val="22"/>
          <w:szCs w:val="22"/>
        </w:rPr>
        <w:t xml:space="preserve">Transformation: </w:t>
      </w:r>
      <w:r>
        <w:rPr>
          <w:rFonts w:ascii="Arial" w:cs="Arial" w:eastAsia="Arial" w:hAnsi="Arial"/>
          <w:sz w:val="22"/>
          <w:szCs w:val="22"/>
        </w:rPr>
        <w:t xml:space="preserve">Converting data between formats. Legacy systems that expose proprietary APIs are wrapped with FHIR-compliant interfaces (called “Façade mediators” — the Adapter pattern applied to health data exchange). This allows legacy systems to participate in the integration ecosystem without internal modification.</w:t>
      </w:r>
    </w:p>
    <w:p>
      <w:pPr>
        <w:pStyle w:val="ListParagraph"/>
        <w:numPr>
          <w:ilvl w:val="0"/>
          <w:numId w:val="4"/>
        </w:numPr>
        <w:spacing w:after="100" w:line="276"/>
      </w:pPr>
      <w:r>
        <w:rPr>
          <w:rFonts w:ascii="Arial" w:cs="Arial" w:eastAsia="Arial" w:hAnsi="Arial"/>
          <w:b/>
          <w:bCs/>
          <w:sz w:val="22"/>
          <w:szCs w:val="22"/>
        </w:rPr>
        <w:t xml:space="preserve">Security enforcement: </w:t>
      </w:r>
      <w:r>
        <w:rPr>
          <w:rFonts w:ascii="Arial" w:cs="Arial" w:eastAsia="Arial" w:hAnsi="Arial"/>
          <w:sz w:val="22"/>
          <w:szCs w:val="22"/>
        </w:rPr>
        <w:t xml:space="preserve">Authenticating and authorising all system-to-system requests using client certificates (mutual TLS) and OAuth 2.0. Each connected application has a registered identity and permission set.</w:t>
      </w:r>
    </w:p>
    <w:p>
      <w:pPr>
        <w:pStyle w:val="ListParagraph"/>
        <w:numPr>
          <w:ilvl w:val="0"/>
          <w:numId w:val="4"/>
        </w:numPr>
        <w:spacing w:after="160" w:line="276"/>
      </w:pPr>
      <w:r>
        <w:rPr>
          <w:rFonts w:ascii="Arial" w:cs="Arial" w:eastAsia="Arial" w:hAnsi="Arial"/>
          <w:b/>
          <w:bCs/>
          <w:sz w:val="22"/>
          <w:szCs w:val="22"/>
        </w:rPr>
        <w:t xml:space="preserve">Audit logging: </w:t>
      </w:r>
      <w:r>
        <w:rPr>
          <w:rFonts w:ascii="Arial" w:cs="Arial" w:eastAsia="Arial" w:hAnsi="Arial"/>
          <w:sz w:val="22"/>
          <w:szCs w:val="22"/>
        </w:rPr>
        <w:t xml:space="preserve">Every transaction is logged with timestamp, source, destination, payload hash, response code, and processing time. This provides the complete transaction audit trail required for health data governance.</w:t>
      </w:r>
    </w:p>
    <w:p>
      <w:pPr>
        <w:spacing w:after="160" w:line="276"/>
      </w:pPr>
      <w:r>
        <w:rPr>
          <w:rFonts w:ascii="Arial" w:cs="Arial" w:eastAsia="Arial" w:hAnsi="Arial"/>
          <w:sz w:val="22"/>
          <w:szCs w:val="22"/>
        </w:rPr>
        <w:t xml:space="preserve">The estimated transaction volume in the target state is fewer than 50,000 transactions per day (based on facility visit volumes, surveillance notifications, and insurance claims), well within what a single OpenHIM instance can handle on modest server infrastructure.</w:t>
      </w:r>
    </w:p>
    <w:p>
      <w:pPr>
        <w:spacing w:after="160" w:line="276"/>
        <w:ind w:left="360"/>
      </w:pPr>
      <w:r>
        <w:rPr>
          <w:rFonts w:ascii="Arial" w:cs="Arial" w:eastAsia="Arial" w:hAnsi="Arial"/>
          <w:i/>
          <w:iCs/>
          <w:color w:val="555555"/>
          <w:sz w:val="20"/>
          <w:szCs w:val="20"/>
        </w:rPr>
        <w:t xml:space="preserve">EA parallel: OpenHIM is architecturally equivalent to an Enterprise Service Bus with mediation capabilities. The “Façade mediator” pattern is identical to the Adapter pattern in enterprise integration. The hub-and-spoke topology is the standard alternative to point-to-point spaghetti integration.</w:t>
      </w:r>
    </w:p>
    <w:p>
      <w:pPr>
        <w:pStyle w:val="Heading2"/>
      </w:pPr>
      <w:r>
        <w:t xml:space="preserve">4.3 The Canonical Data Standard: HL7 FHIR</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HL7 FHIR (Fast Healthcare Interoperability Resources, Release 4) is the health sector’s equivalent of a canonical data model for integration. Just as government enterprise architectures might standardise on a common data format for cross-agency exchange (JSON-LD, XML schemas, or domain-specific standards), the health sector uses FHIR as the universal language for exchanging patient data, clinical observations, diagnoses, prescriptions, lab results, and administrative records between systems.</w:t>
      </w:r>
    </w:p>
    <w:p>
      <w:pPr>
        <w:spacing w:after="160" w:line="276"/>
      </w:pPr>
      <w:r>
        <w:rPr>
          <w:rFonts w:ascii="Arial" w:cs="Arial" w:eastAsia="Arial" w:hAnsi="Arial"/>
          <w:sz w:val="22"/>
          <w:szCs w:val="22"/>
        </w:rPr>
        <w:t xml:space="preserve">FHIR defines a set of “resources” — standardised data objects with defined attributes and relationships. Each resource type corresponds to a health domain concept. Progressa’s MoH architecture defines 14 priority FHIR resource profiles, each tailored to the national context while remaining compliant with the international standard.</w:t>
      </w:r>
    </w:p>
    <w:p>
      <w:pPr>
        <w:spacing w:after="160" w:line="276"/>
      </w:pPr>
      <w:r>
        <w:rPr>
          <w:rFonts w:ascii="Arial" w:cs="Arial" w:eastAsia="Arial" w:hAnsi="Arial"/>
          <w:sz w:val="22"/>
          <w:szCs w:val="22"/>
        </w:rPr>
        <w:t xml:space="preserve">In the architecture, each system retains its own internal data model optimised for its specific function. When sending data to the HIE, it translates its internal format to FHIR. When receiving data, it translates FHIR back to its internal format. For systems that cannot natively produce FHIR, the Façade mediators in OpenHIM handle the translation externally — the legacy system is not modified.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FHIR Resource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Plain-Language Meaning</w:t>
            </w:r>
          </w:p>
        </w:tc>
        <w:tc>
          <w:tcPr>
            <w:tcW w:type="dxa" w:w="4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Integration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person receiving care — demographics, identifiers, next of kin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patient identity; the golden record in the Master Patient Index</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Encounter</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single visit or interaction between a patient and a health worker</w:t>
            </w:r>
          </w:p>
        </w:tc>
        <w:tc>
          <w:tcPr>
            <w:tcW w:type="dxa" w:w="4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Clinical visit records flowing from EHR to analytics and insurance claims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measurement or finding — blood pressure, temperature, lab value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data flowing from point of care to aggregate health statistics</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Condition</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diagnosed disease or health problem (coded using ICD-11)</w:t>
            </w:r>
          </w:p>
        </w:tc>
        <w:tc>
          <w:tcPr>
            <w:tcW w:type="dxa" w:w="4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Diagnoses flowing to insurance (for claims) and surveillance (for outbreak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Immunization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record of a vaccine being administered to a patient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Vaccination events flowing from the immunisation registry to national statistics</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DiagnosticReport</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laboratory test result with its component observations</w:t>
            </w:r>
          </w:p>
        </w:tc>
        <w:tc>
          <w:tcPr>
            <w:tcW w:type="dxa" w:w="4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Lab results flowing to clinicians, surveillance triggers, and aggregate reporting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 Coverage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insurance claim for services rendered / a patient’s insurance enrollment status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insurance verification and claims processing at point of care</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Location</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health facility — its name, identifier, coordinates, and services offered</w:t>
            </w:r>
          </w:p>
        </w:tc>
        <w:tc>
          <w:tcPr>
            <w:tcW w:type="dxa" w:w="4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Canonical facility registry shared across all systems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MedicationRequest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prescription issued by a clinician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 signal for pharmaceutical supply chain; pharmaceutical insurance claims</w:t>
            </w:r>
          </w:p>
        </w:tc>
      </w:tr>
    </w:tbl>
    <w:p>
      <w:pPr>
        <w:spacing w:after="200"/>
      </w:pPr>
    </w:p>
    <w:p>
      <w:pPr>
        <w:pStyle w:val="Heading2"/>
      </w:pPr>
      <w:r>
        <w:t xml:space="preserve">4.4 Master Patient Index (MPI)</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MPI is a master data management system for patient identity — exactly the same concept as a master citizen registry or a master employee index in other government domains. It creates a single “golden record” for each patient by federating identifiers from multiple source systems.</w:t>
      </w:r>
    </w:p>
    <w:p>
      <w:pPr>
        <w:spacing w:after="160" w:line="276"/>
      </w:pPr>
      <w:r>
        <w:rPr>
          <w:rFonts w:ascii="Arial" w:cs="Arial" w:eastAsia="Arial" w:hAnsi="Arial"/>
          <w:b/>
          <w:bCs/>
          <w:sz w:val="22"/>
          <w:szCs w:val="22"/>
        </w:rPr>
        <w:t xml:space="preserve">Current state: </w:t>
      </w:r>
      <w:r>
        <w:rPr>
          <w:rFonts w:ascii="Arial" w:cs="Arial" w:eastAsia="Arial" w:hAnsi="Arial"/>
          <w:sz w:val="22"/>
          <w:szCs w:val="22"/>
        </w:rPr>
        <w:t xml:space="preserve">Does not exist. Each health system maintains its own patient identity in isolation. This is the root cause of the disconnection problem described in Section 2.</w:t>
      </w:r>
    </w:p>
    <w:p>
      <w:pPr>
        <w:spacing w:after="160" w:line="276"/>
      </w:pPr>
      <w:r>
        <w:rPr>
          <w:rFonts w:ascii="Arial" w:cs="Arial" w:eastAsia="Arial" w:hAnsi="Arial"/>
          <w:sz w:val="22"/>
          <w:szCs w:val="22"/>
        </w:rPr>
        <w:t xml:space="preserve">The technology selected is OpenCR (Open Client Registry), an open-source patient matching engine. It uses deterministic matching (exact match on national identification numbers from civil registration) combined with probabilistic matching (fuzzy matching on name, date of birth, sex, mother’s name, and facility of birth) to link records across systems. The initial data seeding draws from the civil registration system (about 1 million registrations) and the health insurance system (15,000–20,000 beneficiaries).</w:t>
      </w:r>
    </w:p>
    <w:p>
      <w:pPr>
        <w:spacing w:after="160" w:line="276"/>
      </w:pPr>
      <w:r>
        <w:rPr>
          <w:rFonts w:ascii="Arial" w:cs="Arial" w:eastAsia="Arial" w:hAnsi="Arial"/>
          <w:sz w:val="22"/>
          <w:szCs w:val="22"/>
        </w:rPr>
        <w:t xml:space="preserve">Every patient-facing system in Layers 2 through 4 is architecturally mandated to perform an MPI lookup during patient registration and link its local record to the MPI golden record identifier. This is enforced through the integration layer — OpenHIM validates that patient references in all FHIR messages contain valid MPI identifiers. The MPI exposes standard IHE profiles (PIXm for cross-referencing and PDQm for demographics queries) through FHIR-based APIs.</w:t>
      </w:r>
    </w:p>
    <w:p>
      <w:pPr>
        <w:spacing w:after="160" w:line="276"/>
        <w:ind w:left="360"/>
      </w:pPr>
      <w:r>
        <w:rPr>
          <w:rFonts w:ascii="Arial" w:cs="Arial" w:eastAsia="Arial" w:hAnsi="Arial"/>
          <w:i/>
          <w:iCs/>
          <w:color w:val="555555"/>
          <w:sz w:val="20"/>
          <w:szCs w:val="20"/>
        </w:rPr>
        <w:t xml:space="preserve">EA parallel: The MPI is identical in concept to any master data management solution. OpenCR’s matching engine is comparable to commercial MDM products like Informatica MDM or IBM InfoSphere, but open-source and purpose-built for patient identity in resource-constrained settings.</w:t>
      </w:r>
    </w:p>
    <w:p>
      <w:pPr>
        <w:pStyle w:val="Heading2"/>
      </w:pPr>
      <w:r>
        <w:t xml:space="preserve">4.5 Additional Shared Registries</w:t>
      </w:r>
    </w:p>
    <w:p>
      <w:pPr>
        <w:spacing w:after="160" w:line="276"/>
      </w:pPr>
      <w:r>
        <w:rPr>
          <w:rFonts w:ascii="Arial" w:cs="Arial" w:eastAsia="Arial" w:hAnsi="Arial"/>
          <w:sz w:val="22"/>
          <w:szCs w:val="22"/>
        </w:rPr>
        <w:t xml:space="preserve">Layer 1 also includes three additional shared registries that function as master data sources:</w:t>
      </w:r>
    </w:p>
    <w:p>
      <w:pPr>
        <w:spacing w:after="160" w:line="276"/>
      </w:pPr>
      <w:r>
        <w:rPr>
          <w:rFonts w:ascii="Arial" w:cs="Arial" w:eastAsia="Arial" w:hAnsi="Arial"/>
          <w:b/>
          <w:bCs/>
          <w:sz w:val="22"/>
          <w:szCs w:val="22"/>
        </w:rPr>
        <w:t xml:space="preserve">Facility Registry: </w:t>
      </w:r>
      <w:r>
        <w:rPr>
          <w:rFonts w:ascii="Arial" w:cs="Arial" w:eastAsia="Arial" w:hAnsi="Arial"/>
          <w:sz w:val="22"/>
          <w:szCs w:val="22"/>
        </w:rPr>
        <w:t xml:space="preserve">The DHIS2 organisation unit hierarchy serves as the canonical source of facility identifiers, names, geographic coordinates, service types, and administrative hierarchy. It is exposed through a FHIR-compliant interface (IHE mCSD standard), allowing any connected application to discover and validate facility information. This eliminates the current problem where each system maintains its own facility list with different codes and naming conventions.</w:t>
      </w:r>
    </w:p>
    <w:p>
      <w:pPr>
        <w:spacing w:after="160" w:line="276"/>
      </w:pPr>
      <w:r>
        <w:rPr>
          <w:rFonts w:ascii="Arial" w:cs="Arial" w:eastAsia="Arial" w:hAnsi="Arial"/>
          <w:b/>
          <w:bCs/>
          <w:sz w:val="22"/>
          <w:szCs w:val="22"/>
        </w:rPr>
        <w:t xml:space="preserve">Terminology Service: </w:t>
      </w:r>
      <w:r>
        <w:rPr>
          <w:rFonts w:ascii="Arial" w:cs="Arial" w:eastAsia="Arial" w:hAnsi="Arial"/>
          <w:sz w:val="22"/>
          <w:szCs w:val="22"/>
        </w:rPr>
        <w:t xml:space="preserve">The Open Concept Lab (OCL) platform manages health terminology — standardised code sets for diseases (ICD-11), laboratory tests (LOINC), clinical concepts (SNOMED CT GPS), and medications (ATC). This is equivalent to a reference data management service in other domains. The terminology service ensures that when one system records a diagnosis as ICD-11 code A09.0, every other system interprets it identically.</w:t>
      </w:r>
    </w:p>
    <w:p>
      <w:pPr>
        <w:spacing w:after="160" w:line="276"/>
      </w:pPr>
      <w:r>
        <w:rPr>
          <w:rFonts w:ascii="Arial" w:cs="Arial" w:eastAsia="Arial" w:hAnsi="Arial"/>
          <w:b/>
          <w:bCs/>
          <w:sz w:val="22"/>
          <w:szCs w:val="22"/>
        </w:rPr>
        <w:t xml:space="preserve">Health Worker Registry: </w:t>
      </w:r>
      <w:r>
        <w:rPr>
          <w:rFonts w:ascii="Arial" w:cs="Arial" w:eastAsia="Arial" w:hAnsi="Arial"/>
          <w:sz w:val="22"/>
          <w:szCs w:val="22"/>
        </w:rPr>
        <w:t xml:space="preserve">The iHRIS (Integrated Human Resource Information System) platform manages health worker identities, credentials, and role assignments, exposed as FHIR Practitioner resources. This enables provider authentication in clinical systems and workforce reporting at the national level.</w:t>
      </w:r>
    </w:p>
    <w:p>
      <w:pPr>
        <w:spacing w:after="160" w:line="276"/>
      </w:pPr>
      <w:r>
        <w:rPr>
          <w:rFonts w:ascii="Arial" w:cs="Arial" w:eastAsia="Arial" w:hAnsi="Arial"/>
          <w:b/>
          <w:bCs/>
          <w:sz w:val="22"/>
          <w:szCs w:val="22"/>
        </w:rPr>
        <w:t xml:space="preserve">Shared Health Record (SHR): </w:t>
      </w:r>
      <w:r>
        <w:rPr>
          <w:rFonts w:ascii="Arial" w:cs="Arial" w:eastAsia="Arial" w:hAnsi="Arial"/>
          <w:sz w:val="22"/>
          <w:szCs w:val="22"/>
        </w:rPr>
        <w:t xml:space="preserve">A HAPI FHIR Server that stores longitudinal patient summaries assembled from data contributed by all clinical systems through the HIE. This is the cross-facility patient record — when a patient visits a different facility, the clinician can access their consolidated health history rather than starting from scratch.</w:t>
      </w:r>
    </w:p>
    <w:p>
      <w:pPr>
        <w:pStyle w:val="Heading1"/>
      </w:pPr>
      <w:r>
        <w:t xml:space="preserve">5. Layer 2 — Clinical Systems (Point-of-Care Applications)</w:t>
      </w:r>
    </w:p>
    <w:p>
      <w:pPr>
        <w:spacing w:after="160" w:line="276"/>
      </w:pPr>
      <w:r>
        <w:rPr>
          <w:rFonts w:ascii="Arial" w:cs="Arial" w:eastAsia="Arial" w:hAnsi="Arial"/>
          <w:sz w:val="22"/>
          <w:szCs w:val="22"/>
        </w:rPr>
        <w:t xml:space="preserve">These are the operational applications that health workers use daily. They generate the individual-level clinical data that feeds through the HIE into Layer 1 for aggregation, analytics, and cross-system sharing. In enterprise architecture terms, these are the transactional systems — the source of truth for operational data.</w:t>
      </w:r>
    </w:p>
    <w:p>
      <w:pPr>
        <w:pStyle w:val="Heading2"/>
      </w:pPr>
      <w:r>
        <w:t xml:space="preserve">5.1 Electronic Health Record (EHR) — OpenMRS</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EHR is the digital replacement for paper-based clinical documentation. When a patient visits a health facility, the clinician records the consultation — symptoms, diagnoses, vital signs, treatments prescribed, procedures performed — in the EHR rather than in a paper register. OpenMRS is an open-source EHR platform developed by a global community and deployed in over 40 countries.</w:t>
      </w:r>
    </w:p>
    <w:p>
      <w:pPr>
        <w:spacing w:after="160" w:line="276"/>
      </w:pPr>
      <w:r>
        <w:rPr>
          <w:rFonts w:ascii="Arial" w:cs="Arial" w:eastAsia="Arial" w:hAnsi="Arial"/>
          <w:b/>
          <w:bCs/>
          <w:sz w:val="22"/>
          <w:szCs w:val="22"/>
        </w:rPr>
        <w:t xml:space="preserve">Current state: </w:t>
      </w:r>
      <w:r>
        <w:rPr>
          <w:rFonts w:ascii="Arial" w:cs="Arial" w:eastAsia="Arial" w:hAnsi="Arial"/>
          <w:sz w:val="22"/>
          <w:szCs w:val="22"/>
        </w:rPr>
        <w:t xml:space="preserve">Does not exist. ~90% of clinical documentation in Progressa is paper-based (facility registers, tally sheets, patient cards). This is the primary reason why individual-level clinical data does not flow into national health statistics — there is no digital source system to extract it from.</w:t>
      </w:r>
    </w:p>
    <w:p>
      <w:pPr>
        <w:spacing w:after="160" w:line="276"/>
      </w:pPr>
      <w:r>
        <w:rPr>
          <w:rFonts w:ascii="Arial" w:cs="Arial" w:eastAsia="Arial" w:hAnsi="Arial"/>
          <w:b/>
          <w:bCs/>
          <w:sz w:val="22"/>
          <w:szCs w:val="22"/>
        </w:rPr>
        <w:t xml:space="preserve">Target state: </w:t>
      </w:r>
      <w:r>
        <w:rPr>
          <w:rFonts w:ascii="Arial" w:cs="Arial" w:eastAsia="Arial" w:hAnsi="Arial"/>
          <w:sz w:val="22"/>
          <w:szCs w:val="22"/>
        </w:rPr>
        <w:t xml:space="preserve">The rollout follows a “vertical-first” strategy — rather than digitising all clinical services simultaneously, the first deployment targets specific health programmes (maternal health and HIV treatment) at 15–20 priority facilities, then expands to general outpatient services at 30–40 facilities. This phased approach manages risk and training requirements.</w:t>
      </w:r>
    </w:p>
    <w:p>
      <w:pPr>
        <w:spacing w:after="160" w:line="276"/>
      </w:pPr>
      <w:r>
        <w:rPr>
          <w:rFonts w:ascii="Arial" w:cs="Arial" w:eastAsia="Arial" w:hAnsi="Arial"/>
          <w:sz w:val="22"/>
          <w:szCs w:val="22"/>
        </w:rPr>
        <w:t xml:space="preserve">The EHR is the most integration-intensive system in the architecture. When a clinician completes a patient encounter, OpenMRS generates a FHIR Bundle (a transaction package containing multiple related resources: the encounter record, diagnoses coded in ICD-11, vital sign observations, and any prescriptions) and submits it to OpenHIM. From there, the data flows to three destinations: the Shared Health Record (for the longitudinal patient record), an aggregation service that transforms individual encounters into DHIS2 aggregate indicators (eliminating manual tally compilation), and the insurance system for automated claims generation.</w:t>
      </w:r>
    </w:p>
    <w:p>
      <w:pPr>
        <w:spacing w:after="160" w:line="276"/>
      </w:pPr>
      <w:r>
        <w:rPr>
          <w:rFonts w:ascii="Arial" w:cs="Arial" w:eastAsia="Arial" w:hAnsi="Arial"/>
          <w:sz w:val="22"/>
          <w:szCs w:val="22"/>
        </w:rPr>
        <w:t xml:space="preserve">A critical design decision is offline-first capability: each facility has a local server that continues operating during connectivity interruptions, with data synchronising to the central instance when connectivity is restored. This directly addresses Progressa’s infrastructure reality of ~60% electricity access and unreliable connectivity at peripheral facilities.</w:t>
      </w:r>
    </w:p>
    <w:p>
      <w:pPr>
        <w:pStyle w:val="Heading2"/>
      </w:pPr>
      <w:r>
        <w:t xml:space="preserve">5.2 Electronic Immunisation Registry (EIR)</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EIR tracks individual children’s vaccination histories — which vaccines were given, when, at which facility, and which doses are upcoming or overdue. Immunisation registries are critical for public health because incomplete vaccination leaves children vulnerable to preventable diseases, and population-level coverage data drives national and international health programme decisions.</w:t>
      </w:r>
    </w:p>
    <w:p>
      <w:pPr>
        <w:spacing w:after="160" w:line="276"/>
      </w:pPr>
      <w:r>
        <w:rPr>
          <w:rFonts w:ascii="Arial" w:cs="Arial" w:eastAsia="Arial" w:hAnsi="Arial"/>
          <w:sz w:val="22"/>
          <w:szCs w:val="22"/>
        </w:rPr>
        <w:t xml:space="preserve">The current system, SPT (a donor-funded platform by the Vaxa Foundation), operates at all ~90 facilities with over 99% data accuracy and 350,000–400,000 children tracked. It works well but uses a hybrid paper-scan workflow (health workers fill paper forms that are scanned and digitised) and is a closed, donor-dependent system.</w:t>
      </w:r>
    </w:p>
    <w:p>
      <w:pPr>
        <w:spacing w:after="160" w:line="276"/>
      </w:pPr>
      <w:r>
        <w:rPr>
          <w:rFonts w:ascii="Arial" w:cs="Arial" w:eastAsia="Arial" w:hAnsi="Arial"/>
          <w:sz w:val="22"/>
          <w:szCs w:val="22"/>
        </w:rPr>
        <w:t xml:space="preserve">The target is to transition to DHIS2 Tracker, which provides native individual-level tracking aligned with WHO standards. However, the architecture takes a conservative risk management approach: SPT is not retired until DHIS2 Tracker demonstrably matches SPT’s accuracy at equivalent facilities. Both systems run simultaneously during a coexistence period (Phase 1–2), with SPT retirement only in Phase 3 (2030 or later). During coexistence, OpenHIM mediators transform SPT data into FHIR Immunization resources so that both systems participate in the integrated ecosystem.</w:t>
      </w:r>
    </w:p>
    <w:p>
      <w:pPr>
        <w:spacing w:after="160" w:line="276"/>
        <w:ind w:left="360"/>
      </w:pPr>
      <w:r>
        <w:rPr>
          <w:rFonts w:ascii="Arial" w:cs="Arial" w:eastAsia="Arial" w:hAnsi="Arial"/>
          <w:i/>
          <w:iCs/>
          <w:color w:val="555555"/>
          <w:sz w:val="20"/>
          <w:szCs w:val="20"/>
        </w:rPr>
        <w:t xml:space="preserve">EA parallel: This is a classic legacy migration pattern — run old and new systems in parallel, validate equivalence, then decommission. The coexistence mediator in OpenHIM serves as the anti-corruption layer between the legacy and target systems.</w:t>
      </w:r>
    </w:p>
    <w:p>
      <w:pPr>
        <w:pStyle w:val="Heading2"/>
      </w:pPr>
      <w:r>
        <w:t xml:space="preserve">5.3 Laboratory Information System (LIS)</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LIS manages laboratory workflows — test ordering, sample tracking, result recording, and result reporting. In the current state, the system (A-LIS, with OpenELIS as an alternative) is at early pilot stage. The target deploys it at the National Reference Laboratory and five regional hospitals.</w:t>
      </w:r>
    </w:p>
    <w:p>
      <w:pPr>
        <w:spacing w:after="160" w:line="276"/>
      </w:pPr>
      <w:r>
        <w:rPr>
          <w:rFonts w:ascii="Arial" w:cs="Arial" w:eastAsia="Arial" w:hAnsi="Arial"/>
          <w:sz w:val="22"/>
          <w:szCs w:val="22"/>
        </w:rPr>
        <w:t xml:space="preserve">The critical integration value is threefold. First, lab results flow to the EHR so clinicians see results at the point of care without manually checking with the laboratory. Second, results flow to DHIS2 for aggregate laboratory statistics. Third — and this is uniquely important in health — lab results that confirm notifiable diseases automatically trigger surveillance case notifications in Layer 4, enabling faster outbreak detection. All lab results are coded using LOINC (Logical Observation Identifiers Names and Codes), an international standard for identifying laboratory tests, ensuring consistent interpretation across systems.</w:t>
      </w:r>
    </w:p>
    <w:p>
      <w:pPr>
        <w:pStyle w:val="Heading1"/>
      </w:pPr>
      <w:r>
        <w:t xml:space="preserve">6. Layer 3 — Health Administration (Supporting Systems)</w:t>
      </w:r>
    </w:p>
    <w:p>
      <w:pPr>
        <w:spacing w:after="160" w:line="276"/>
      </w:pPr>
      <w:r>
        <w:rPr>
          <w:rFonts w:ascii="Arial" w:cs="Arial" w:eastAsia="Arial" w:hAnsi="Arial"/>
          <w:sz w:val="22"/>
          <w:szCs w:val="22"/>
        </w:rPr>
        <w:t xml:space="preserve">These systems do not serve patients directly but are essential partners to clinical systems. Their value in the target architecture comes from integration — without the HIE connecting them to clinical systems, they remain standalone administrative silos. In enterprise architecture terms, these are the shared services that clinical operations depend on.</w:t>
      </w:r>
    </w:p>
    <w:p>
      <w:pPr>
        <w:pStyle w:val="Heading2"/>
      </w:pPr>
      <w:r>
        <w:t xml:space="preserve">6.1 e-NHIS — National Health Insurance System</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electronic platform for managing the national health insurance scheme — beneficiary enrollment, eligibility verification, claims processing, and provider payment. Currently operational at about 70 facilities with 15,000–20,000 beneficiaries (against a target of 60,000).</w:t>
      </w:r>
    </w:p>
    <w:p>
      <w:pPr>
        <w:spacing w:after="160" w:line="276"/>
      </w:pPr>
      <w:r>
        <w:rPr>
          <w:rFonts w:ascii="Arial" w:cs="Arial" w:eastAsia="Arial" w:hAnsi="Arial"/>
          <w:sz w:val="22"/>
          <w:szCs w:val="22"/>
        </w:rPr>
        <w:t xml:space="preserve">The target architecture enables three transformative integrations. First, real-time insurance eligibility verification at the point of care: when a patient registers at a facility, the EHR queries the insurance system through OpenHIM to check coverage status before services are rendered (replacing the current phone-call-based process). Second, automated claims generation: when a clinician documents a diagnosis and treatment in the EHR, the encounter data automatically generates a FHIR Claim resource submitted to the insurance system through OpenHIM (replacing paper-based claims). Third, integration with the national payment gateway (ProgressaPay) for automated provider payment disbursement once claims are adjudicated.</w:t>
      </w:r>
    </w:p>
    <w:p>
      <w:pPr>
        <w:spacing w:after="160" w:line="276"/>
      </w:pPr>
      <w:r>
        <w:rPr>
          <w:rFonts w:ascii="Arial" w:cs="Arial" w:eastAsia="Arial" w:hAnsi="Arial"/>
          <w:sz w:val="22"/>
          <w:szCs w:val="22"/>
        </w:rPr>
        <w:t xml:space="preserve">The insurance benefit package (19 essential health interventions) is codified with standardised diagnosis and procedure codes (ICD-11), enabling automated coverage determination — the system can tell a clinician whether a specific service is covered before it is provided.</w:t>
      </w:r>
    </w:p>
    <w:p>
      <w:pPr>
        <w:pStyle w:val="Heading2"/>
      </w:pPr>
      <w:r>
        <w:t xml:space="preserve">6.2 eCRVS — Civil Registration and Vital Statistics</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electronic civil registration system (CIVIS platform) that records births, deaths, marriages, and other vital events. Currently operational with about 1 million registrations covering ~50% of the population.</w:t>
      </w:r>
    </w:p>
    <w:p>
      <w:pPr>
        <w:spacing w:after="160" w:line="276"/>
      </w:pPr>
      <w:r>
        <w:rPr>
          <w:rFonts w:ascii="Arial" w:cs="Arial" w:eastAsia="Arial" w:hAnsi="Arial"/>
          <w:sz w:val="22"/>
          <w:szCs w:val="22"/>
        </w:rPr>
        <w:t xml:space="preserve">The architectural significance of eCRVS is that it is the primary feeder to the Master Patient Index. Every new birth registration triggers a cascade through OpenHIM: NIN assignment → MPI golden record creation → insurance enrollment initiation (birth-triggered enrollment for newborns) → immunisation schedule generation. This single event — a birth registration — cascades through four systems automatically. Without the HIE, each step requires manual intervention at each system, which is why they often do not happen, contributing to low insurance coverage and incomplete immunisation records. The target is to expand registration coverage from ~50% to 80% or higher.</w:t>
      </w:r>
    </w:p>
    <w:p>
      <w:pPr>
        <w:spacing w:after="160" w:line="276"/>
        <w:ind w:left="360"/>
      </w:pPr>
      <w:r>
        <w:rPr>
          <w:rFonts w:ascii="Arial" w:cs="Arial" w:eastAsia="Arial" w:hAnsi="Arial"/>
          <w:i/>
          <w:iCs/>
          <w:color w:val="555555"/>
          <w:sz w:val="20"/>
          <w:szCs w:val="20"/>
        </w:rPr>
        <w:t xml:space="preserve">EA parallel: This cascade pattern is a textbook example of event-driven architecture — a single domain event (birth registration) triggers orchestrated actions across multiple bounded contexts. OpenHIM’s orchestration engine manages the saga pattern, handling partial failures and compensating actions.</w:t>
      </w:r>
    </w:p>
    <w:p>
      <w:pPr>
        <w:pStyle w:val="Heading2"/>
      </w:pPr>
      <w:r>
        <w:t xml:space="preserve">6.3 eLMIS — Pharmaceutical Supply Chain</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The electronic logistics management information system for pharmaceutical and medical supply chain management — tracking stock levels, consumption patterns, and automated reorder calculations across all health facilities. Currently exists only as a rudimentary SMS-based stock reporting tool.</w:t>
      </w:r>
    </w:p>
    <w:p>
      <w:pPr>
        <w:spacing w:after="160" w:line="276"/>
      </w:pPr>
      <w:r>
        <w:rPr>
          <w:rFonts w:ascii="Arial" w:cs="Arial" w:eastAsia="Arial" w:hAnsi="Arial"/>
          <w:sz w:val="22"/>
          <w:szCs w:val="22"/>
        </w:rPr>
        <w:t xml:space="preserve">The target deploys OpenLMIS (or mSupply, to be determined) with two critical bidirectional integrations. The EHR sends prescription data (FHIR MedicationRequest resources) to the supply chain system as a demand signal — so the supply chain knows what is being prescribed at each facility and can anticipate demand. In return, the supply chain system sends stock availability data back to the EHR — so clinicians can see what medications are in stock before prescribing. The supply chain system also feeds DHIS2 with aggregate stock reporting for national pharmaceutical oversight. This is a later-phase deployment (Phase 2–3).</w:t>
      </w:r>
    </w:p>
    <w:p>
      <w:pPr>
        <w:pStyle w:val="Heading1"/>
      </w:pPr>
      <w:r>
        <w:t xml:space="preserve">7. Layer 4 — Surveillance (Public Health Monitoring)</w:t>
      </w:r>
    </w:p>
    <w:p>
      <w:pPr>
        <w:spacing w:after="160" w:line="276"/>
      </w:pPr>
      <w:r>
        <w:rPr>
          <w:rFonts w:ascii="Arial" w:cs="Arial" w:eastAsia="Arial" w:hAnsi="Arial"/>
          <w:sz w:val="22"/>
          <w:szCs w:val="22"/>
        </w:rPr>
        <w:t xml:space="preserve">These systems protect public health by detecting disease outbreaks early and enabling rapid response. Surveillance is a uniquely health-domain function with no direct equivalent in other government sectors, though the underlying data patterns — event detection, threshold-based alerting, signal analysis — are familiar from security monitoring or fraud detection architectures.</w:t>
      </w:r>
    </w:p>
    <w:p>
      <w:pPr>
        <w:pStyle w:val="Heading2"/>
      </w:pPr>
      <w:r>
        <w:t xml:space="preserve">7.1 IDSR+ — Integrated Disease Surveillance and Response</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IDSR is the WHO-mandated framework for detecting, reporting, and responding to notifiable diseases (diseases that health facilities are legally required to report to public health authorities, such as cholera, measles, Ebola, and others). Currently, ~90% of IDSR reporting in Progressa is paper-based.</w:t>
      </w:r>
    </w:p>
    <w:p>
      <w:pPr>
        <w:spacing w:after="160" w:line="276"/>
      </w:pPr>
      <w:r>
        <w:rPr>
          <w:rFonts w:ascii="Arial" w:cs="Arial" w:eastAsia="Arial" w:hAnsi="Arial"/>
          <w:sz w:val="22"/>
          <w:szCs w:val="22"/>
        </w:rPr>
        <w:t xml:space="preserve">The target transitions IDSR to electronic case-based surveillance using DHIS2 Tracker. This is a fundamental shift from aggregate weekly reporting (“10 suspected cholera cases in Region X this week”) to individual case records (“Patient Y at Facility Z on Date W with symptoms A, B, C, confirmed by Lab Result D”). Individual case data enables contact tracing, spatial clustering analysis, and temporal pattern detection that aggregate counts cannot support.</w:t>
      </w:r>
    </w:p>
    <w:p>
      <w:pPr>
        <w:spacing w:after="160" w:line="276"/>
      </w:pPr>
      <w:r>
        <w:rPr>
          <w:rFonts w:ascii="Arial" w:cs="Arial" w:eastAsia="Arial" w:hAnsi="Arial"/>
          <w:sz w:val="22"/>
          <w:szCs w:val="22"/>
        </w:rPr>
        <w:t xml:space="preserve">The critical integration with Layer 2 is automated triggering: when a laboratory result from the LIS confirms a notifiable disease, OpenHIM routes the information to the IDSR system, creating a surveillance case notification without manual intervention. Similarly, when a clinician records a notifiable disease diagnosis in the EHR, the coded diagnosis can trigger automatic case notification. The target is case notification within 24 hours of detection, compared to the current multi-day paper-based process.</w:t>
      </w:r>
    </w:p>
    <w:p>
      <w:pPr>
        <w:spacing w:after="160" w:line="276"/>
      </w:pPr>
      <w:r>
        <w:rPr>
          <w:rFonts w:ascii="Arial" w:cs="Arial" w:eastAsia="Arial" w:hAnsi="Arial"/>
          <w:sz w:val="22"/>
          <w:szCs w:val="22"/>
        </w:rPr>
        <w:t xml:space="preserve">IDSR data feeds into DHIS2 analytics for national epidemiological dashboards and into international reporting obligations under the International Health Regulations (IHR) — a legally binding international agreement requiring countries to report public health emergencies to WHO.</w:t>
      </w:r>
    </w:p>
    <w:p>
      <w:pPr>
        <w:pStyle w:val="Heading2"/>
      </w:pPr>
      <w:r>
        <w:t xml:space="preserve">7.2 Event-Based Surveillance (EBS)</w:t>
      </w:r>
    </w:p>
    <w:p>
      <w:pPr>
        <w:spacing w:after="160" w:line="276"/>
      </w:pPr>
      <w:r>
        <w:rPr>
          <w:rFonts w:ascii="Arial" w:cs="Arial" w:eastAsia="Arial" w:hAnsi="Arial"/>
          <w:sz w:val="22"/>
          <w:szCs w:val="22"/>
        </w:rPr>
        <w:t xml:space="preserve">EBS is a new capability that monitors signals from sources beyond the formal health system — media reports, community observations, and unusual patterns at health facilities — to detect outbreaks that the traditional notification system might miss. For example, unusual clustering of respiratory symptoms reported in news or social media before formal cases reach health facilities. The platform selection is either Africa CDC’s Event Management System or DHIS2 Events (to be determined). This is a Phase 2 deployment.</w:t>
      </w:r>
    </w:p>
    <w:p>
      <w:pPr>
        <w:pStyle w:val="Heading2"/>
      </w:pPr>
      <w:r>
        <w:t xml:space="preserve">7.3 Community-Based Surveillance (CBS)</w:t>
      </w:r>
    </w:p>
    <w:p>
      <w:pPr>
        <w:spacing w:after="160" w:line="276"/>
      </w:pPr>
      <w:r>
        <w:rPr>
          <w:rFonts w:ascii="Arial" w:cs="Arial" w:eastAsia="Arial" w:hAnsi="Arial"/>
          <w:sz w:val="22"/>
          <w:szCs w:val="22"/>
        </w:rPr>
        <w:t xml:space="preserve">CBS extends surveillance to the community level through mobile tools for Community Health Workers (CHWs) — frontline health volunteers who serve communities, particularly in rural areas far from health facilities. The target equips CHWs with USSD-based (simple text-menu mobile technology that works on basic phones without internet) or smartphone-based reporting tools that link directly to the IDSR system through OpenHIM. This is a Phase 3 deployment.</w:t>
      </w:r>
    </w:p>
    <w:p>
      <w:pPr>
        <w:pStyle w:val="Heading1"/>
      </w:pPr>
      <w:r>
        <w:t xml:space="preserve">8. The Integration Architecture: Six Priority Flows</w:t>
      </w:r>
    </w:p>
    <w:p>
      <w:pPr>
        <w:spacing w:after="160" w:line="276"/>
      </w:pPr>
      <w:r>
        <w:rPr>
          <w:rFonts w:ascii="Arial" w:cs="Arial" w:eastAsia="Arial" w:hAnsi="Arial"/>
          <w:sz w:val="22"/>
          <w:szCs w:val="22"/>
        </w:rPr>
        <w:t xml:space="preserve">The value of the four-layer model comes not from the individual systems but from how they connect through the HIE. The architecture defines six priority integration flows that are implemented in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426"/>
        <w:gridCol w:w="1000"/>
        <w:gridCol w:w="150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Integration Flow</w:t>
            </w:r>
          </w:p>
        </w:tc>
        <w:tc>
          <w:tcPr>
            <w:tcW w:type="dxa" w:w="3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Systems Connected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Pattern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 Registration → Patient Identity → Insurance Enrollment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eCRVS → OpenHIM → MPI → e-NHIS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 orchestration</w:t>
            </w:r>
          </w:p>
        </w:tc>
      </w:tr>
      <w:tr>
        <w:tc>
          <w:tcPr>
            <w:tcW w:type="dxa" w:w="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Immunisation Data Exchange</w:t>
            </w:r>
          </w:p>
        </w:tc>
        <w:tc>
          <w:tcPr>
            <w:tcW w:type="dxa" w:w="34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SPT/EIR → OpenHIM → DHIS2 / SHR</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Batch + real-time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Results → Surveillance Trigger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 → OpenHIM → IDSR / EHR / DHIS2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w:t>
            </w:r>
          </w:p>
        </w:tc>
      </w:tr>
      <w:tr>
        <w:tc>
          <w:tcPr>
            <w:tcW w:type="dxa" w:w="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Clinical Encounter → Aggregate Reporting</w:t>
            </w:r>
          </w:p>
        </w:tc>
        <w:tc>
          <w:tcPr>
            <w:tcW w:type="dxa" w:w="34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EHR → OpenHIM → SHR → DHIS2</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2–3</w:t>
            </w:r>
          </w:p>
        </w:tc>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Async + batch aggregation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Eligibility and Claims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EHR ↔ OpenHIM ↔ e-NHIS ↔ ProgressaPay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query + async claim</w:t>
            </w:r>
          </w:p>
        </w:tc>
      </w:tr>
      <w:tr>
        <w:tc>
          <w:tcPr>
            <w:tcW w:type="dxa" w:w="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National → International Reporting</w:t>
            </w:r>
          </w:p>
        </w:tc>
        <w:tc>
          <w:tcPr>
            <w:tcW w:type="dxa" w:w="34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DHIS2 → OpenHIM → WHO / RHO (ADX)</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Scheduled batch</w:t>
            </w:r>
          </w:p>
        </w:tc>
      </w:tr>
    </w:tbl>
    <w:p>
      <w:pPr>
        <w:spacing w:after="200"/>
      </w:pPr>
    </w:p>
    <w:p>
      <w:pPr>
        <w:spacing w:after="160" w:line="276"/>
      </w:pPr>
      <w:r>
        <w:rPr>
          <w:rFonts w:ascii="Arial" w:cs="Arial" w:eastAsia="Arial" w:hAnsi="Arial"/>
          <w:sz w:val="22"/>
          <w:szCs w:val="22"/>
        </w:rPr>
        <w:t xml:space="preserve">The phased approach is conservative by design. Phase 1 (2026–2027) focuses on standing up the HIE and MPI foundations with batch/file-based exchange. Phase 2 (2027–2029) transitions to real-time API-based exchange through OpenHIM with FHIR as the canonical format. Phase 3 (2028–2030 and beyond) achieves full mediated integration where all inter-system flows pass through OpenHIM with no point-to-point connections remaining.</w:t>
      </w:r>
    </w:p>
    <w:p>
      <w:pPr>
        <w:pStyle w:val="Heading1"/>
      </w:pPr>
      <w:r>
        <w:t xml:space="preserve">9. Cross-Government Dependencies</w:t>
      </w:r>
    </w:p>
    <w:p>
      <w:pPr>
        <w:spacing w:after="160" w:line="276"/>
      </w:pPr>
      <w:r>
        <w:rPr>
          <w:rFonts w:ascii="Arial" w:cs="Arial" w:eastAsia="Arial" w:hAnsi="Arial"/>
          <w:sz w:val="22"/>
          <w:szCs w:val="22"/>
        </w:rPr>
        <w:t xml:space="preserve">The MoH target architecture does not exist in isolation. Several critical dependencies fall outside MoH’s direct control and are governed by the national-level enterprise architecture:</w:t>
      </w:r>
    </w:p>
    <w:p>
      <w:pPr>
        <w:spacing w:after="160" w:line="276"/>
      </w:pPr>
      <w:r>
        <w:rPr>
          <w:rFonts w:ascii="Arial" w:cs="Arial" w:eastAsia="Arial" w:hAnsi="Arial"/>
          <w:b/>
          <w:bCs/>
          <w:sz w:val="22"/>
          <w:szCs w:val="22"/>
        </w:rPr>
        <w:t xml:space="preserve">G-Cloud (Government Cloud): </w:t>
      </w:r>
      <w:r>
        <w:rPr>
          <w:rFonts w:ascii="Arial" w:cs="Arial" w:eastAsia="Arial" w:hAnsi="Arial"/>
          <w:sz w:val="22"/>
          <w:szCs w:val="22"/>
        </w:rPr>
        <w:t xml:space="preserve">The target hosting environment for all health applications. Until G-Cloud is operational, systems are hosted on interim infrastructure at the PDGA data centre. The MoH architecture defines a “spoke” within the G-Cloud environment with dedicated Kubernetes namespaces for health workloads.</w:t>
      </w:r>
    </w:p>
    <w:p>
      <w:pPr>
        <w:spacing w:after="160" w:line="276"/>
      </w:pPr>
      <w:r>
        <w:rPr>
          <w:rFonts w:ascii="Arial" w:cs="Arial" w:eastAsia="Arial" w:hAnsi="Arial"/>
          <w:b/>
          <w:bCs/>
          <w:sz w:val="22"/>
          <w:szCs w:val="22"/>
        </w:rPr>
        <w:t xml:space="preserve">Government Service Bus / National API Gateway: </w:t>
      </w:r>
      <w:r>
        <w:rPr>
          <w:rFonts w:ascii="Arial" w:cs="Arial" w:eastAsia="Arial" w:hAnsi="Arial"/>
          <w:sz w:val="22"/>
          <w:szCs w:val="22"/>
        </w:rPr>
        <w:t xml:space="preserve">The health-sector HIE (OpenHIM) connects to the broader government integration infrastructure through a National API Gateway. This enables cross-sectoral data exchange — for example, health insurance claims triggering payment disbursement through ProgressaPay, or health workforce data flowing to the government-wide HRMIS.</w:t>
      </w:r>
    </w:p>
    <w:p>
      <w:pPr>
        <w:spacing w:after="160" w:line="276"/>
      </w:pPr>
      <w:r>
        <w:rPr>
          <w:rFonts w:ascii="Arial" w:cs="Arial" w:eastAsia="Arial" w:hAnsi="Arial"/>
          <w:b/>
          <w:bCs/>
          <w:sz w:val="22"/>
          <w:szCs w:val="22"/>
        </w:rPr>
        <w:t xml:space="preserve">ProgressaPay (Government Payment Gateway): </w:t>
      </w:r>
      <w:r>
        <w:rPr>
          <w:rFonts w:ascii="Arial" w:cs="Arial" w:eastAsia="Arial" w:hAnsi="Arial"/>
          <w:sz w:val="22"/>
          <w:szCs w:val="22"/>
        </w:rPr>
        <w:t xml:space="preserve">Used for insurance provider payments and potentially patient-facing payment services. The MoH architecture treats ProgressaPay as an external service accessed through the Government Service Bus.</w:t>
      </w:r>
    </w:p>
    <w:p>
      <w:pPr>
        <w:spacing w:after="160" w:line="276"/>
      </w:pPr>
      <w:r>
        <w:rPr>
          <w:rFonts w:ascii="Arial" w:cs="Arial" w:eastAsia="Arial" w:hAnsi="Arial"/>
          <w:b/>
          <w:bCs/>
          <w:sz w:val="22"/>
          <w:szCs w:val="22"/>
        </w:rPr>
        <w:t xml:space="preserve">IFMIS (Integrated Financial Management Information System): </w:t>
      </w:r>
      <w:r>
        <w:rPr>
          <w:rFonts w:ascii="Arial" w:cs="Arial" w:eastAsia="Arial" w:hAnsi="Arial"/>
          <w:sz w:val="22"/>
          <w:szCs w:val="22"/>
        </w:rPr>
        <w:t xml:space="preserve">Health financing data requires integration with the national financial management system for budget execution monitoring and expenditure tracking.</w:t>
      </w:r>
    </w:p>
    <w:p>
      <w:pPr>
        <w:spacing w:after="160" w:line="276"/>
      </w:pPr>
      <w:r>
        <w:rPr>
          <w:rFonts w:ascii="Arial" w:cs="Arial" w:eastAsia="Arial" w:hAnsi="Arial"/>
          <w:b/>
          <w:bCs/>
          <w:sz w:val="22"/>
          <w:szCs w:val="22"/>
        </w:rPr>
        <w:t xml:space="preserve">National Digital Identity: </w:t>
      </w:r>
      <w:r>
        <w:rPr>
          <w:rFonts w:ascii="Arial" w:cs="Arial" w:eastAsia="Arial" w:hAnsi="Arial"/>
          <w:sz w:val="22"/>
          <w:szCs w:val="22"/>
        </w:rPr>
        <w:t xml:space="preserve">The long-term target is to use the national digital identity system as the primary patient identifier in the MPI. Until the national identity infrastructure matures, the architecture uses the civil registration NIN as the primary identifier with probabilistic matching as a fallback.</w:t>
      </w:r>
    </w:p>
    <w:p>
      <w:pPr>
        <w:pStyle w:val="Heading1"/>
      </w:pPr>
      <w:r>
        <w:t xml:space="preserve">10. Governance and Organisational Changes</w:t>
      </w:r>
    </w:p>
    <w:p>
      <w:pPr>
        <w:spacing w:after="160" w:line="276"/>
      </w:pPr>
      <w:r>
        <w:rPr>
          <w:rFonts w:ascii="Arial" w:cs="Arial" w:eastAsia="Arial" w:hAnsi="Arial"/>
          <w:sz w:val="22"/>
          <w:szCs w:val="22"/>
        </w:rPr>
        <w:t xml:space="preserve">The architecture requires two governance mechanisms and one organisational change:</w:t>
      </w:r>
    </w:p>
    <w:p>
      <w:pPr>
        <w:spacing w:after="160" w:line="276"/>
      </w:pPr>
      <w:r>
        <w:rPr>
          <w:rFonts w:ascii="Arial" w:cs="Arial" w:eastAsia="Arial" w:hAnsi="Arial"/>
          <w:b/>
          <w:bCs/>
          <w:sz w:val="22"/>
          <w:szCs w:val="22"/>
        </w:rPr>
        <w:t xml:space="preserve">National Digital Health Steering Committee (NDHSC): </w:t>
      </w:r>
      <w:r>
        <w:rPr>
          <w:rFonts w:ascii="Arial" w:cs="Arial" w:eastAsia="Arial" w:hAnsi="Arial"/>
          <w:sz w:val="22"/>
          <w:szCs w:val="22"/>
        </w:rPr>
        <w:t xml:space="preserve">A governance body with decision-making authority over all digital health investments. New systems must demonstrate compliance with the national architecture (FHIR interfaces, offline capability, open standards), alignment with the approved application portfolio, and a credible sustainability pathway. Donor proposals are reviewed against these criteria before approval, preventing the accumulation of new siloed systems.</w:t>
      </w:r>
    </w:p>
    <w:p>
      <w:pPr>
        <w:spacing w:after="160" w:line="276"/>
      </w:pPr>
      <w:r>
        <w:rPr>
          <w:rFonts w:ascii="Arial" w:cs="Arial" w:eastAsia="Arial" w:hAnsi="Arial"/>
          <w:b/>
          <w:bCs/>
          <w:sz w:val="22"/>
          <w:szCs w:val="22"/>
        </w:rPr>
        <w:t xml:space="preserve">Digital Health and Data Directorate (DHDD): </w:t>
      </w:r>
      <w:r>
        <w:rPr>
          <w:rFonts w:ascii="Arial" w:cs="Arial" w:eastAsia="Arial" w:hAnsi="Arial"/>
          <w:sz w:val="22"/>
          <w:szCs w:val="22"/>
        </w:rPr>
        <w:t xml:space="preserve">The existing HMIS team within MoH is elevated to a dedicated directorate with an expanded mandate covering all digital health systems, integration, data governance, and capacity building. This is the operational team responsible for managing the HIE, MPI, shared registries, and coordinating with system-specific teams. The DHDD houses specialist roles including an integration architect, data governance officers, and system administrators.</w:t>
      </w:r>
    </w:p>
    <w:p>
      <w:pPr>
        <w:spacing w:after="160" w:line="276"/>
      </w:pPr>
      <w:r>
        <w:rPr>
          <w:rFonts w:ascii="Arial" w:cs="Arial" w:eastAsia="Arial" w:hAnsi="Arial"/>
          <w:b/>
          <w:bCs/>
          <w:sz w:val="22"/>
          <w:szCs w:val="22"/>
        </w:rPr>
        <w:t xml:space="preserve">Architecture-governed investment: </w:t>
      </w:r>
      <w:r>
        <w:rPr>
          <w:rFonts w:ascii="Arial" w:cs="Arial" w:eastAsia="Arial" w:hAnsi="Arial"/>
          <w:sz w:val="22"/>
          <w:szCs w:val="22"/>
        </w:rPr>
        <w:t xml:space="preserve">A fundamental shift from the current pattern where each donor project introduces its own system without architectural oversight. In the target state, all new digital health investments must pass through the NDHSC architecture review process, ensuring alignment with the four-layer model and integration through the HIE.</w:t>
      </w:r>
    </w:p>
    <w:p>
      <w:pPr>
        <w:pStyle w:val="Heading1"/>
      </w:pPr>
      <w:r>
        <w:t xml:space="preserve">11. Key Technology Principles</w:t>
      </w:r>
    </w:p>
    <w:p>
      <w:pPr>
        <w:spacing w:after="160" w:line="276"/>
      </w:pPr>
      <w:r>
        <w:rPr>
          <w:rFonts w:ascii="Arial" w:cs="Arial" w:eastAsia="Arial" w:hAnsi="Arial"/>
          <w:b/>
          <w:bCs/>
          <w:sz w:val="22"/>
          <w:szCs w:val="22"/>
        </w:rPr>
        <w:t xml:space="preserve">Open-source preference: </w:t>
      </w:r>
      <w:r>
        <w:rPr>
          <w:rFonts w:ascii="Arial" w:cs="Arial" w:eastAsia="Arial" w:hAnsi="Arial"/>
          <w:sz w:val="22"/>
          <w:szCs w:val="22"/>
        </w:rPr>
        <w:t xml:space="preserve">All core platforms in the architecture (DHIS2, OpenMRS, OpenHIM, OpenCR, OpenLMIS, iHRIS, HAPI FHIR, OCL) are open-source. This is a deliberate choice driven by budget constraints (no recurring licence fees), the availability of active global implementer communities, and the need for local capacity to customise and maintain systems without vendor dependency.</w:t>
      </w:r>
    </w:p>
    <w:p>
      <w:pPr>
        <w:spacing w:after="160" w:line="276"/>
      </w:pPr>
      <w:r>
        <w:rPr>
          <w:rFonts w:ascii="Arial" w:cs="Arial" w:eastAsia="Arial" w:hAnsi="Arial"/>
          <w:b/>
          <w:bCs/>
          <w:sz w:val="22"/>
          <w:szCs w:val="22"/>
        </w:rPr>
        <w:t xml:space="preserve">Offline-first design: </w:t>
      </w:r>
      <w:r>
        <w:rPr>
          <w:rFonts w:ascii="Arial" w:cs="Arial" w:eastAsia="Arial" w:hAnsi="Arial"/>
          <w:sz w:val="22"/>
          <w:szCs w:val="22"/>
        </w:rPr>
        <w:t xml:space="preserve">All clinical systems must operate during connectivity interruptions. Each facility deployment includes local server infrastructure with data synchronisation when connectivity is restored. This is non-negotiable given Progressa’s infrastructure constraints.</w:t>
      </w:r>
    </w:p>
    <w:p>
      <w:pPr>
        <w:spacing w:after="160" w:line="276"/>
      </w:pPr>
      <w:r>
        <w:rPr>
          <w:rFonts w:ascii="Arial" w:cs="Arial" w:eastAsia="Arial" w:hAnsi="Arial"/>
          <w:b/>
          <w:bCs/>
          <w:sz w:val="22"/>
          <w:szCs w:val="22"/>
        </w:rPr>
        <w:t xml:space="preserve">Technology-agnostic specifications: </w:t>
      </w:r>
      <w:r>
        <w:rPr>
          <w:rFonts w:ascii="Arial" w:cs="Arial" w:eastAsia="Arial" w:hAnsi="Arial"/>
          <w:sz w:val="22"/>
          <w:szCs w:val="22"/>
        </w:rPr>
        <w:t xml:space="preserve">The architecture specifies what systems must do and how they must exchange data (FHIR interfaces, FHIR resource profiles, integration flow specifications) without mandating specific internal implementations. This allows platforms to be replaced in the future without disrupting the integration ecosystem, as long as the replacement exposes the same FHIR interfaces.</w:t>
      </w:r>
    </w:p>
    <w:p>
      <w:pPr>
        <w:spacing w:after="160" w:line="276"/>
      </w:pPr>
      <w:r>
        <w:rPr>
          <w:rFonts w:ascii="Arial" w:cs="Arial" w:eastAsia="Arial" w:hAnsi="Arial"/>
          <w:b/>
          <w:bCs/>
          <w:sz w:val="22"/>
          <w:szCs w:val="22"/>
        </w:rPr>
        <w:t xml:space="preserve">Mediated integration only: </w:t>
      </w:r>
      <w:r>
        <w:rPr>
          <w:rFonts w:ascii="Arial" w:cs="Arial" w:eastAsia="Arial" w:hAnsi="Arial"/>
          <w:sz w:val="22"/>
          <w:szCs w:val="22"/>
        </w:rPr>
        <w:t xml:space="preserve">No application communicates directly with another application. All data exchange passes through OpenHIM. This is enforced architecturally and organisationally.</w:t>
      </w:r>
    </w:p>
    <w:p>
      <w:pPr>
        <w:spacing w:after="160" w:line="276"/>
      </w:pPr>
      <w:r>
        <w:rPr>
          <w:rFonts w:ascii="Arial" w:cs="Arial" w:eastAsia="Arial" w:hAnsi="Arial"/>
          <w:b/>
          <w:bCs/>
          <w:sz w:val="22"/>
          <w:szCs w:val="22"/>
        </w:rPr>
        <w:t xml:space="preserve">Standards-based coding: </w:t>
      </w:r>
      <w:r>
        <w:rPr>
          <w:rFonts w:ascii="Arial" w:cs="Arial" w:eastAsia="Arial" w:hAnsi="Arial"/>
          <w:sz w:val="22"/>
          <w:szCs w:val="22"/>
        </w:rPr>
        <w:t xml:space="preserve">All clinical and administrative data uses international coding standards (ICD-11 for diseases, LOINC for laboratory tests, SNOMED CT GPS for clinical concepts, ATC for medications). This ensures semantic interoperability — all systems interpret the same code identically.</w:t>
      </w:r>
    </w:p>
    <w:p>
      <w:pPr>
        <w:pStyle w:val="Heading1"/>
      </w:pPr>
      <w:r>
        <w:t xml:space="preserve">12. International Framework Alignment</w:t>
      </w:r>
    </w:p>
    <w:p>
      <w:pPr>
        <w:spacing w:after="160" w:line="276"/>
      </w:pPr>
      <w:r>
        <w:rPr>
          <w:rFonts w:ascii="Arial" w:cs="Arial" w:eastAsia="Arial" w:hAnsi="Arial"/>
          <w:sz w:val="22"/>
          <w:szCs w:val="22"/>
        </w:rPr>
        <w:t xml:space="preserve">The MoH target architecture is grounded in several international frameworks that an enterprise architect may encounter when working with health-sector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Framework</w:t>
            </w:r>
          </w:p>
        </w:tc>
        <w:tc>
          <w:tcPr>
            <w:tcW w:type="dxa" w:w="6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Role in the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OpenHIE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reference architecture for health information exchange in low- and middle-income countries. Endorsed by WHO. Defines the hub-and-spoke integration model, the role of shared registries (MPI, facility registry, terminology service), and the mediation layer concept. Implemented in varying maturity in Tanzania, Ethiopia, Rwanda, Uganda, Malawi, and Kenya.</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HL7 FHIR R4</w:t>
            </w:r>
          </w:p>
        </w:tc>
        <w:tc>
          <w:tcPr>
            <w:tcW w:type="dxa" w:w="6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The canonical data exchange standard. Defines the resource types, API patterns, and profiles used for all inter-system communication through the HIE.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Digital Health Architecture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WHO’s guidelines for national digital health systems. Defines a five-layer model (Foundation, Data, Integration, Application, Presentation) that the MoH architecture maps to in full.</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IHE Profiles</w:t>
            </w:r>
          </w:p>
        </w:tc>
        <w:tc>
          <w:tcPr>
            <w:tcW w:type="dxa" w:w="6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Integrating the Healthcare Enterprise — technical specifications for specific integration use cases. The architecture uses IHE PIXm/PDQm (patient identity), IHE mCSD (facility registry), and IHE ADX (aggregate data exchange) profiles.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GovStack Building Blocks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broader government digital transformation framework within which the MoH architecture operates. Health-specific systems map to GovStack building block patterns (Identity, Registration, Payment, Information Mediator).</w:t>
            </w:r>
          </w:p>
        </w:tc>
      </w:tr>
    </w:tbl>
    <w:p>
      <w:pPr>
        <w:spacing w:after="200"/>
      </w:pPr>
    </w:p>
    <w:p>
      <w:pPr>
        <w:pStyle w:val="Heading1"/>
      </w:pPr>
      <w:r>
        <w:t xml:space="preserve">13. Glossary of Health Domain Terms</w:t>
      </w:r>
    </w:p>
    <w:p>
      <w:pPr>
        <w:spacing w:after="160" w:line="276"/>
      </w:pPr>
      <w:r>
        <w:rPr>
          <w:rFonts w:ascii="Arial" w:cs="Arial" w:eastAsia="Arial" w:hAnsi="Arial"/>
          <w:sz w:val="22"/>
          <w:szCs w:val="22"/>
        </w:rPr>
        <w:t xml:space="preserve">The following terms appear frequently in health enterprise architecture documentation. They are presented here with plain-language definitions for the non-specialist.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Term</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A-LIS / OpenELIS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Laboratory Information System platforms. A-LIS is the system piloted in Progressa; OpenELIS is an open-source alternative. Both manage lab test ordering, sample tracking, and result reporting.</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ADX</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Aggregate Data Exchange — an IHE-profiled format for exchanging aggregate health statistics between systems, used for international reporting to WHO and RHO.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Anatomical Therapeutic Chemical classification — international standard for categorising medications.</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CHW</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Community Health Worker — a frontline volunteer providing basic health services in communities, particularly in rural areas.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DHIS2</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District Health Information Software 2 — open-source national health statistics platform used by 80+ countries.</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DHIS2 Tracker</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module within DHIS2 for tracking individual cases longitudinally (as opposed to aggregate facility reporting).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Event-Based Surveillance — detecting disease outbreaks from non-traditional signals (media, community reports).</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eCRVS</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Electronic Civil Registration and Vital Statistics — system for recording births, deaths, marriages.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Health Record — digital system for recording clinical encounters at the point of care.</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EIR</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Electronic Immunisation Registry — system tracking individual vaccination records.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eLMIS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Logistics Management Information System — pharmaceutical supply chain management.</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e-NHIS</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Electronic National Health Insurance System — manages insurance enrollment, eligibility, and claims.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FHIR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Healthcare Interoperability Resources — international standard for health data exchange (the health sector’s canonical data model).</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ProgressaPay</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Progressa’s government payment gateway for digital financial transactions.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HAPI FHIR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open-source FHIR server implementation used as the Shared Health Record data store.</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HIE</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Health Information Exchange — the integration platform (implemented as OpenHIM) through which all health systems communicate.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HMIS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Management Information System — the national platform for aggregate health statistics (implemented as DHIS2).</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ICD-11</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International Classification of Diseases, 11th revision — WHO standard for coding diseases and diagnoses.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IDSR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Disease Surveillance and Response — WHO framework for notifiable disease reporting.</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IHE</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Integrating the Healthcare Enterprise — organisation that publishes technical integration profiles for health systems.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IHR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Health Regulations — legally binding international agreement requiring countries to report public health emergencies to WHO.</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iHRIS</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Integrated Human Resource Information System — platform for managing health worker identities and credentials.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LOINC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 Observation Identifiers Names and Codes — international standard for identifying laboratory tests and clinical observations.</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MPI</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Master Patient Index — master data management system for patient identity (implemented as OpenCR).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mTLS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Mutual Transport Layer Security — certificate-based authentication where both client and server verify each other’s identity.</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OCL</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Open Concept Lab — platform for managing health terminology (code sets for diseases, tests, medications).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Client Registry — open-source patient matching engine used as the MPI.</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OpenHIE</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Open Health Information Exchange — international reference architecture for health system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OpenHIM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Health Information Mediator — the integration engine / Enterprise Service Bus for health data exchange.</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OpenMRS</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Open Medical Record System — open-source EHR platform used in 40+ countries.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Health Record — longitudinal patient summary assembled from all clinical data sources.</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SNOMED CT GPS</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Systematized Nomenclature of Medicine — Clinical Terms, Global Patient Set — international standard for coding clinical concepts.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Scanned paper tracking (by Vaxa Foundation) — the current immunisation tracking system using paper-scan workflows.</w:t>
            </w:r>
          </w:p>
        </w:tc>
      </w:tr>
      <w:tr>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USSD</w:t>
            </w:r>
          </w:p>
        </w:tc>
        <w:tc>
          <w:tcPr>
            <w:tcW w:type="dxa" w:w="65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Unstructured Supplementary Service Data — text-menu-based mobile technology that works on basic phones without internet.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Health Organisation — health arm of REC, receives regional health statistics.</w:t>
            </w:r>
          </w:p>
        </w:tc>
      </w:tr>
    </w:tbl>
    <w:p>
      <w:pPr>
        <w:spacing w:after="200"/>
      </w:pPr>
    </w:p>
    <w:p>
      <w:pPr>
        <w:spacing w:before="400"/>
        <w:jc w:val="center"/>
      </w:pPr>
      <w:r>
        <w:rPr>
          <w:rFonts w:ascii="Arial" w:cs="Arial" w:eastAsia="Arial" w:hAnsi="Arial"/>
          <w:i/>
          <w:iCs/>
          <w:color w:val="999999"/>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MoH Target Architecture — Narrative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2026-02-27T10:06:14.634Z</dcterms:created>
  <dcterms:modified xsi:type="dcterms:W3CDTF">2026-02-27T10:06:14.634Z</dcterms:modified>
</cp:coreProperties>
</file>

<file path=docProps/custom.xml><?xml version="1.0" encoding="utf-8"?>
<Properties xmlns="http://schemas.openxmlformats.org/officeDocument/2006/custom-properties" xmlns:vt="http://schemas.openxmlformats.org/officeDocument/2006/docPropsVTypes"/>
</file>