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Lesotho</w:t>
      </w:r>
      <w:r>
        <w:t xml:space="preserve"> </w:t>
      </w:r>
      <w:r>
        <w:t xml:space="preserve">Farmers</w:t>
      </w:r>
      <w:r>
        <w:t xml:space="preserve"> </w:t>
      </w:r>
      <w:r>
        <w:t xml:space="preserve">Registration</w:t>
      </w:r>
      <w:r>
        <w:t xml:space="preserve"> </w:t>
      </w:r>
      <w:r>
        <w:t xml:space="preserve">System</w:t>
      </w:r>
      <w:r>
        <w:t xml:space="preserve"> </w:t>
      </w:r>
      <w:r>
        <w:t xml:space="preserve">(FRS)</w:t>
      </w:r>
    </w:p>
    <w:p>
      <w:pPr>
        <w:pStyle w:val="Subtitle"/>
      </w:pPr>
      <w:r>
        <w:t xml:space="preserve">Comprehensive</w:t>
      </w:r>
      <w:r>
        <w:t xml:space="preserve"> </w:t>
      </w:r>
      <w:r>
        <w:t xml:space="preserve">User</w:t>
      </w:r>
      <w:r>
        <w:t xml:space="preserve"> </w:t>
      </w:r>
      <w:r>
        <w:t xml:space="preserve">Guide</w:t>
      </w:r>
    </w:p>
    <w:p>
      <w:pPr>
        <w:pStyle w:val="Author"/>
      </w:pPr>
      <w:r>
        <w:t xml:space="preserve">Ministry</w:t>
      </w:r>
      <w:r>
        <w:t xml:space="preserve"> </w:t>
      </w:r>
      <w:r>
        <w:t xml:space="preserve">of</w:t>
      </w:r>
      <w:r>
        <w:t xml:space="preserve"> </w:t>
      </w:r>
      <w:r>
        <w:t xml:space="preserve">Agriculture,</w:t>
      </w:r>
      <w:r>
        <w:t xml:space="preserve"> </w:t>
      </w:r>
      <w:r>
        <w:t xml:space="preserve">Food</w:t>
      </w:r>
      <w:r>
        <w:t xml:space="preserve"> </w:t>
      </w:r>
      <w:r>
        <w:t xml:space="preserve">Security</w:t>
      </w:r>
      <w:r>
        <w:t xml:space="preserve"> </w:t>
      </w:r>
      <w:r>
        <w:t xml:space="preserve">and</w:t>
      </w:r>
      <w:r>
        <w:t xml:space="preserve"> </w:t>
      </w:r>
      <w:r>
        <w:t xml:space="preserve">Nutrition</w:t>
      </w:r>
      <w:r>
        <w:t xml:space="preserve"> </w:t>
      </w:r>
      <w:r>
        <w:t xml:space="preserve">(MAFSN),</w:t>
      </w:r>
      <w:r>
        <w:t xml:space="preserve"> </w:t>
      </w:r>
      <w:r>
        <w:t xml:space="preserve">Kingdom</w:t>
      </w:r>
      <w:r>
        <w:t xml:space="preserve"> </w:t>
      </w:r>
      <w:r>
        <w:t xml:space="preserve">of</w:t>
      </w:r>
      <w:r>
        <w:t xml:space="preserve"> </w:t>
      </w:r>
      <w:r>
        <w:t xml:space="preserve">Lesotho</w:t>
      </w:r>
    </w:p>
    <w:p>
      <w:pPr>
        <w:pStyle w:val="Date"/>
      </w:pPr>
      <w:r>
        <w:t xml:space="preserve">Version</w:t>
      </w:r>
      <w:r>
        <w:t xml:space="preserve"> </w:t>
      </w:r>
      <w:r>
        <w:t>1.1</w:t>
      </w:r>
      <w:r>
        <w:t xml:space="preserve"> </w:t>
      </w:r>
      <w:r>
        <w:t xml:space="preserve">—</w:t>
      </w:r>
      <w:r>
        <w:t xml:space="preserve"> </w:t>
      </w:r>
      <w:r>
        <w:t>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introduction"/>
    <w:p>
      <w:pPr>
        <w:pStyle w:val="Heading1"/>
      </w:pPr>
      <w:r>
        <w:t xml:space="preserve">1. Introduction</w:t>
      </w:r>
    </w:p>
    <w:bookmarkStart w:id="20" w:name="what-this-system-is"/>
    <w:p>
      <w:pPr>
        <w:pStyle w:val="Heading2"/>
      </w:pPr>
      <w:r>
        <w:t xml:space="preserve">1.1 What this system is</w:t>
      </w:r>
    </w:p>
    <w:p>
      <w:pPr>
        <w:pStyle w:val="FirstParagraph"/>
      </w:pPr>
      <w:r>
        <w:t xml:space="preserve">The</w:t>
      </w:r>
      <w:r>
        <w:t xml:space="preserve"> </w:t>
      </w:r>
      <w:r>
        <w:rPr>
          <w:bCs/>
          <w:b/>
        </w:rPr>
        <w:t xml:space="preserve">Farmers Registration System (FRS)</w:t>
      </w:r>
      <w:r>
        <w:t xml:space="preserve"> </w:t>
      </w:r>
      <w:r>
        <w:t xml:space="preserve">— also referred to as the</w:t>
      </w:r>
      <w:r>
        <w:t xml:space="preserve"> </w:t>
      </w:r>
      <w:r>
        <w:rPr>
          <w:bCs/>
          <w:b/>
        </w:rPr>
        <w:t xml:space="preserve">Farmers Portal</w:t>
      </w:r>
      <w:r>
        <w:t xml:space="preserve"> </w:t>
      </w:r>
      <w:r>
        <w:t xml:space="preserve">or the</w:t>
      </w:r>
      <w:r>
        <w:t xml:space="preserve"> </w:t>
      </w:r>
      <w:r>
        <w:rPr>
          <w:bCs/>
          <w:b/>
        </w:rPr>
        <w:t xml:space="preserve">Agricultural Subsidy Management System (ASMS)</w:t>
      </w:r>
      <w:r>
        <w:t xml:space="preserve"> </w:t>
      </w:r>
      <w:r>
        <w:t xml:space="preserve">— is the digital platform used by the</w:t>
      </w:r>
      <w:r>
        <w:t xml:space="preserve"> </w:t>
      </w:r>
      <w:r>
        <w:rPr>
          <w:bCs/>
          <w:b/>
        </w:rPr>
        <w:t xml:space="preserve">Ministry of Agriculture, Food Security and Nutrition (MAFSN)</w:t>
      </w:r>
      <w:r>
        <w:t xml:space="preserve"> </w:t>
      </w:r>
      <w:r>
        <w:t xml:space="preserve">of the Kingdom of Lesotho to register farmers, capture their land parcels, manage agricultural subsidy programmes, evaluate applications for eligibility, control the budget that funds those subsidies, and distribute farm inputs (such as seed and fertiliser) to beneficiaries through a voucher system.</w:t>
      </w:r>
    </w:p>
    <w:p>
      <w:pPr>
        <w:pStyle w:val="BodyText"/>
      </w:pPr>
      <w:r>
        <w:t xml:space="preserve">In plain terms, the system answers four questions for the Ministry:</w:t>
      </w:r>
    </w:p>
    <w:p>
      <w:pPr>
        <w:numPr>
          <w:ilvl w:val="0"/>
          <w:numId w:val="1001"/>
        </w:numPr>
        <w:pStyle w:val="Compact"/>
      </w:pPr>
      <w:r>
        <w:rPr>
          <w:bCs/>
          <w:b/>
        </w:rPr>
        <w:t xml:space="preserve">Who are our farmers, and where do they farm?</w:t>
      </w:r>
      <w:r>
        <w:t xml:space="preserve"> </w:t>
      </w:r>
      <w:r>
        <w:t xml:space="preserve">(Registration)</w:t>
      </w:r>
    </w:p>
    <w:p>
      <w:pPr>
        <w:numPr>
          <w:ilvl w:val="0"/>
          <w:numId w:val="1001"/>
        </w:numPr>
        <w:pStyle w:val="Compact"/>
      </w:pPr>
      <w:r>
        <w:rPr>
          <w:bCs/>
          <w:b/>
        </w:rPr>
        <w:t xml:space="preserve">Who qualifies for a given subsidy programme, and who decides?</w:t>
      </w:r>
      <w:r>
        <w:t xml:space="preserve"> </w:t>
      </w:r>
      <w:r>
        <w:t xml:space="preserve">(Applications and review)</w:t>
      </w:r>
    </w:p>
    <w:p>
      <w:pPr>
        <w:numPr>
          <w:ilvl w:val="0"/>
          <w:numId w:val="1001"/>
        </w:numPr>
        <w:pStyle w:val="Compact"/>
      </w:pPr>
      <w:r>
        <w:rPr>
          <w:bCs/>
          <w:b/>
        </w:rPr>
        <w:t xml:space="preserve">Can we afford it, and where did the money go?</w:t>
      </w:r>
      <w:r>
        <w:t xml:space="preserve"> </w:t>
      </w:r>
      <w:r>
        <w:t xml:space="preserve">(Budget)</w:t>
      </w:r>
    </w:p>
    <w:p>
      <w:pPr>
        <w:numPr>
          <w:ilvl w:val="0"/>
          <w:numId w:val="1001"/>
        </w:numPr>
        <w:pStyle w:val="Compact"/>
      </w:pPr>
      <w:r>
        <w:rPr>
          <w:bCs/>
          <w:b/>
        </w:rPr>
        <w:t xml:space="preserve">Did the farmer actually receive the inputs they were entitled to?</w:t>
      </w:r>
      <w:r>
        <w:t xml:space="preserve"> </w:t>
      </w:r>
      <w:r>
        <w:t xml:space="preserve">(Inputs Management and vouchers)</w:t>
      </w:r>
    </w:p>
    <w:bookmarkEnd w:id="20"/>
    <w:bookmarkStart w:id="21" w:name="the-standard-it-follows-govstack-regbb"/>
    <w:p>
      <w:pPr>
        <w:pStyle w:val="Heading2"/>
      </w:pPr>
      <w:r>
        <w:t xml:space="preserve">1.2 The standard it follows (GovStack RegBB)</w:t>
      </w:r>
    </w:p>
    <w:p>
      <w:pPr>
        <w:pStyle w:val="FirstParagraph"/>
      </w:pPr>
      <w:r>
        <w:t xml:space="preserve">The FRS is built as an implementation of the</w:t>
      </w:r>
      <w:r>
        <w:t xml:space="preserve"> </w:t>
      </w:r>
      <w:r>
        <w:rPr>
          <w:bCs/>
          <w:b/>
        </w:rPr>
        <w:t xml:space="preserve">GovStack Registration Building Block (RegBB)</w:t>
      </w:r>
      <w:r>
        <w:t xml:space="preserve">.</w:t>
      </w:r>
      <w:r>
        <w:t xml:space="preserve"> </w:t>
      </w:r>
      <w:r>
        <w:rPr>
          <w:iCs/>
          <w:i/>
        </w:rPr>
        <w:t xml:space="preserve">GovStack</w:t>
      </w:r>
      <w:r>
        <w:t xml:space="preserve"> </w:t>
      </w:r>
      <w:r>
        <w:t xml:space="preserve">is an international set of standards for building reusable digital-government services, and a</w:t>
      </w:r>
      <w:r>
        <w:t xml:space="preserve"> </w:t>
      </w:r>
      <w:r>
        <w:rPr>
          <w:iCs/>
          <w:i/>
        </w:rPr>
        <w:t xml:space="preserve">Building Block</w:t>
      </w:r>
      <w:r>
        <w:t xml:space="preserve"> </w:t>
      </w:r>
      <w:r>
        <w:t xml:space="preserve">is one reusable component of that standard. The</w:t>
      </w:r>
      <w:r>
        <w:t xml:space="preserve"> </w:t>
      </w:r>
      <w:r>
        <w:rPr>
          <w:iCs/>
          <w:i/>
        </w:rPr>
        <w:t xml:space="preserve">Registration Building Block</w:t>
      </w:r>
      <w:r>
        <w:t xml:space="preserve"> </w:t>
      </w:r>
      <w:r>
        <w:t xml:space="preserve">is the component that deals with registering people (or, here, farmers) and processing their applications for a government service or benefit.</w:t>
      </w:r>
    </w:p>
    <w:p>
      <w:pPr>
        <w:pStyle w:val="BodyText"/>
      </w:pPr>
      <w:r>
        <w:t xml:space="preserve">The practical consequence of following this standard is that the system is</w:t>
      </w:r>
      <w:r>
        <w:t xml:space="preserve"> </w:t>
      </w:r>
      <w:r>
        <w:rPr>
          <w:bCs/>
          <w:b/>
        </w:rPr>
        <w:t xml:space="preserve">configuration-driven</w:t>
      </w:r>
      <w:r>
        <w:t xml:space="preserve">: a new subsidy programme can be added by an administrator filling in configuration screens (the</w:t>
      </w:r>
      <w:r>
        <w:t xml:space="preserve"> </w:t>
      </w:r>
      <w:r>
        <w:t xml:space="preserve">“</w:t>
      </w:r>
      <w:r>
        <w:t xml:space="preserve">metamodel</w:t>
      </w:r>
      <w:r>
        <w:t xml:space="preserve">”</w:t>
      </w:r>
      <w:r>
        <w:t xml:space="preserve"> </w:t>
      </w:r>
      <w:r>
        <w:t xml:space="preserve">— see Section 5.7), rather than a software developer writing new program code. This makes the platform flexible and reusable across different agricultural programmes.</w:t>
      </w:r>
    </w:p>
    <w:bookmarkEnd w:id="21"/>
    <w:bookmarkStart w:id="22" w:name="the-technology-at-a-glance"/>
    <w:p>
      <w:pPr>
        <w:pStyle w:val="Heading2"/>
      </w:pPr>
      <w:r>
        <w:t xml:space="preserve">1.3 The technology, at a glance</w:t>
      </w:r>
    </w:p>
    <w:p>
      <w:pPr>
        <w:pStyle w:val="FirstParagraph"/>
      </w:pPr>
      <w:r>
        <w:t xml:space="preserve">The FRS runs on</w:t>
      </w:r>
      <w:r>
        <w:t xml:space="preserve"> </w:t>
      </w:r>
      <w:r>
        <w:rPr>
          <w:bCs/>
          <w:b/>
        </w:rPr>
        <w:t xml:space="preserve">Joget DX</w:t>
      </w:r>
      <w:r>
        <w:t xml:space="preserve"> </w:t>
      </w:r>
      <w:r>
        <w:t xml:space="preserve">— a low-code application platform. You do not need to know anything about Joget to</w:t>
      </w:r>
      <w:r>
        <w:t xml:space="preserve"> </w:t>
      </w:r>
      <w:r>
        <w:rPr>
          <w:iCs/>
          <w:i/>
        </w:rPr>
        <w:t xml:space="preserve">use</w:t>
      </w:r>
      <w:r>
        <w:t xml:space="preserve"> </w:t>
      </w:r>
      <w:r>
        <w:t xml:space="preserve">the system; this guide describes everything in terms of the screens you see. The only Joget concepts worth knowing as a user are that the navigation is organised into</w:t>
      </w:r>
      <w:r>
        <w:t xml:space="preserve"> </w:t>
      </w:r>
      <w:r>
        <w:rPr>
          <w:bCs/>
          <w:b/>
        </w:rPr>
        <w:t xml:space="preserve">categories</w:t>
      </w:r>
      <w:r>
        <w:t xml:space="preserve"> </w:t>
      </w:r>
      <w:r>
        <w:t xml:space="preserve">(the collapsible groups in the left-hand menu) and</w:t>
      </w:r>
      <w:r>
        <w:t xml:space="preserve"> </w:t>
      </w:r>
      <w:r>
        <w:rPr>
          <w:bCs/>
          <w:b/>
        </w:rPr>
        <w:t xml:space="preserve">menus</w:t>
      </w:r>
      <w:r>
        <w:t xml:space="preserve"> </w:t>
      </w:r>
      <w:r>
        <w:t xml:space="preserve">(the individual screens inside each category). This guide uses the word</w:t>
      </w:r>
      <w:r>
        <w:t xml:space="preserve"> </w:t>
      </w:r>
      <w:r>
        <w:rPr>
          <w:bCs/>
          <w:b/>
        </w:rPr>
        <w:t xml:space="preserve">module</w:t>
      </w:r>
      <w:r>
        <w:t xml:space="preserve"> </w:t>
      </w:r>
      <w:r>
        <w:t xml:space="preserve">for a category and</w:t>
      </w:r>
      <w:r>
        <w:t xml:space="preserve"> </w:t>
      </w:r>
      <w:r>
        <w:rPr>
          <w:bCs/>
          <w:b/>
        </w:rPr>
        <w:t xml:space="preserve">screen</w:t>
      </w:r>
      <w:r>
        <w:t xml:space="preserve"> </w:t>
      </w:r>
      <w:r>
        <w:t xml:space="preserve">for a menu.</w:t>
      </w:r>
    </w:p>
    <w:bookmarkEnd w:id="22"/>
    <w:bookmarkStart w:id="23" w:name="who-uses-the-system"/>
    <w:p>
      <w:pPr>
        <w:pStyle w:val="Heading2"/>
      </w:pPr>
      <w:r>
        <w:t xml:space="preserve">1.4 Who uses the system</w:t>
      </w:r>
    </w:p>
    <w:p>
      <w:pPr>
        <w:pStyle w:val="FirstParagraph"/>
      </w:pPr>
      <w:r>
        <w:t xml:space="preserve">The FRS is used by several types of staff, each with a defined</w:t>
      </w:r>
      <w:r>
        <w:t xml:space="preserve"> </w:t>
      </w:r>
      <w:r>
        <w:rPr>
          <w:bCs/>
          <w:b/>
        </w:rPr>
        <w:t xml:space="preserve">role</w:t>
      </w:r>
      <w:r>
        <w:t xml:space="preserve"> </w:t>
      </w:r>
      <w:r>
        <w:t xml:space="preserve">that controls which modules they can see and what they can do. The five roles are the System Administrator, the District Supervisor, the Field Officer, the Finance Officer, and the Analyst. Roles are explained in full in</w:t>
      </w:r>
      <w:r>
        <w:t xml:space="preserve"> </w:t>
      </w:r>
      <w:r>
        <w:rPr>
          <w:bCs/>
          <w:b/>
        </w:rPr>
        <w:t xml:space="preserve">Section 3</w:t>
      </w:r>
      <w:r>
        <w:t xml:space="preserve">.</w:t>
      </w:r>
    </w:p>
    <w:bookmarkEnd w:id="23"/>
    <w:bookmarkEnd w:id="24"/>
    <w:bookmarkStart w:id="30" w:name="getting-started"/>
    <w:p>
      <w:pPr>
        <w:pStyle w:val="Heading1"/>
      </w:pPr>
      <w:r>
        <w:t xml:space="preserve">2. Getting Started</w:t>
      </w:r>
    </w:p>
    <w:bookmarkStart w:id="25" w:name="accessing-the-system"/>
    <w:p>
      <w:pPr>
        <w:pStyle w:val="Heading2"/>
      </w:pPr>
      <w:r>
        <w:t xml:space="preserve">2.1 Accessing the system</w:t>
      </w:r>
    </w:p>
    <w:p>
      <w:pPr>
        <w:pStyle w:val="FirstParagraph"/>
      </w:pPr>
      <w:r>
        <w:t xml:space="preserve">Open a modern web browser (Google Chrome, Mozilla Firefox, or Microsoft Edge) and go to the address of your FRS server. On a local installation this is typically</w:t>
      </w:r>
      <w:r>
        <w:t xml:space="preserve"> </w:t>
      </w:r>
      <w:r>
        <w:rPr>
          <w:rStyle w:val="VerbatimChar"/>
        </w:rPr>
        <w:t xml:space="preserve">http://localhost:8077/jw</w:t>
      </w:r>
      <w:r>
        <w:t xml:space="preserve">; on a shared server it will be an address provided by your administrator. You will be taken to a</w:t>
      </w:r>
      <w:r>
        <w:t xml:space="preserve"> </w:t>
      </w:r>
      <w:r>
        <w:rPr>
          <w:bCs/>
          <w:b/>
        </w:rPr>
        <w:t xml:space="preserve">login page</w:t>
      </w:r>
      <w:r>
        <w:t xml:space="preserve">.</w:t>
      </w:r>
    </w:p>
    <w:bookmarkEnd w:id="25"/>
    <w:bookmarkStart w:id="26" w:name="logging-in"/>
    <w:p>
      <w:pPr>
        <w:pStyle w:val="Heading2"/>
      </w:pPr>
      <w:r>
        <w:t xml:space="preserve">2.2 Logging in</w:t>
      </w:r>
    </w:p>
    <w:p>
      <w:pPr>
        <w:pStyle w:val="FirstParagraph"/>
      </w:pPr>
      <w:r>
        <w:t xml:space="preserve">Enter your</w:t>
      </w:r>
      <w:r>
        <w:t xml:space="preserve"> </w:t>
      </w:r>
      <w:r>
        <w:rPr>
          <w:bCs/>
          <w:b/>
        </w:rPr>
        <w:t xml:space="preserve">username</w:t>
      </w:r>
      <w:r>
        <w:t xml:space="preserve"> </w:t>
      </w:r>
      <w:r>
        <w:t xml:space="preserve">and</w:t>
      </w:r>
      <w:r>
        <w:t xml:space="preserve"> </w:t>
      </w:r>
      <w:r>
        <w:rPr>
          <w:bCs/>
          <w:b/>
        </w:rPr>
        <w:t xml:space="preserve">password</w:t>
      </w:r>
      <w:r>
        <w:t xml:space="preserve"> </w:t>
      </w:r>
      <w:r>
        <w:t xml:space="preserve">and select</w:t>
      </w:r>
      <w:r>
        <w:t xml:space="preserve"> </w:t>
      </w:r>
      <w:r>
        <w:rPr>
          <w:bCs/>
          <w:b/>
        </w:rPr>
        <w:t xml:space="preserve">Login</w:t>
      </w:r>
      <w:r>
        <w:t xml:space="preserve">. Your account is created for you by the System Administrator, who also assigns your role. If you cannot log in, contact your administrator — do not share accounts, because the system records</w:t>
      </w:r>
      <w:r>
        <w:t xml:space="preserve"> </w:t>
      </w:r>
      <w:r>
        <w:rPr>
          <w:bCs/>
          <w:b/>
        </w:rPr>
        <w:t xml:space="preserve">who</w:t>
      </w:r>
      <w:r>
        <w:t xml:space="preserve"> </w:t>
      </w:r>
      <w:r>
        <w:t xml:space="preserve">performed every action (see</w:t>
      </w:r>
      <w:r>
        <w:t xml:space="preserve"> </w:t>
      </w:r>
      <w:r>
        <w:rPr>
          <w:iCs/>
          <w:i/>
        </w:rPr>
        <w:t xml:space="preserve">Audit Trail</w:t>
      </w:r>
      <w:r>
        <w:t xml:space="preserve"> </w:t>
      </w:r>
      <w:r>
        <w:t xml:space="preserve">in the glossary).</w:t>
      </w:r>
    </w:p>
    <w:bookmarkEnd w:id="26"/>
    <w:bookmarkStart w:id="27" w:name="the-layout-of-the-screen"/>
    <w:p>
      <w:pPr>
        <w:pStyle w:val="Heading2"/>
      </w:pPr>
      <w:r>
        <w:t xml:space="preserve">2.3 The layout of the screen</w:t>
      </w:r>
    </w:p>
    <w:p>
      <w:pPr>
        <w:pStyle w:val="FirstParagraph"/>
      </w:pPr>
      <w:r>
        <w:t xml:space="preserve">After logging in you land on the</w:t>
      </w:r>
      <w:r>
        <w:t xml:space="preserve"> </w:t>
      </w:r>
      <w:r>
        <w:rPr>
          <w:bCs/>
          <w:b/>
        </w:rPr>
        <w:t xml:space="preserve">App Center / Home</w:t>
      </w:r>
      <w:r>
        <w:t xml:space="preserve">. Once inside the Farmers Registration app you will see three main areas:</w:t>
      </w:r>
    </w:p>
    <w:p>
      <w:pPr>
        <w:numPr>
          <w:ilvl w:val="0"/>
          <w:numId w:val="1002"/>
        </w:numPr>
        <w:pStyle w:val="Compact"/>
      </w:pPr>
      <w:r>
        <w:rPr>
          <w:bCs/>
          <w:b/>
        </w:rPr>
        <w:t xml:space="preserve">The top bar</w:t>
      </w:r>
      <w:r>
        <w:t xml:space="preserve"> </w:t>
      </w:r>
      <w:r>
        <w:t xml:space="preserve">— shows the app name and logo on the left, and on the right your name (e.g. </w:t>
      </w:r>
      <w:r>
        <w:t xml:space="preserve">“</w:t>
      </w:r>
      <w:r>
        <w:t xml:space="preserve">Admin Admin</w:t>
      </w:r>
      <w:r>
        <w:t xml:space="preserve">”</w:t>
      </w:r>
      <w:r>
        <w:t xml:space="preserve">) with a drop-down for signing out. A</w:t>
      </w:r>
      <w:r>
        <w:t xml:space="preserve"> </w:t>
      </w:r>
      <w:r>
        <w:rPr>
          <w:bCs/>
          <w:b/>
        </w:rPr>
        <w:t xml:space="preserve">TEST MODE</w:t>
      </w:r>
      <w:r>
        <w:t xml:space="preserve"> </w:t>
      </w:r>
      <w:r>
        <w:t xml:space="preserve">badge may appear here: it indicates the system is running on non-production (practice) data. Never treat TEST MODE data as real.</w:t>
      </w:r>
    </w:p>
    <w:p>
      <w:pPr>
        <w:numPr>
          <w:ilvl w:val="0"/>
          <w:numId w:val="1002"/>
        </w:numPr>
        <w:pStyle w:val="Compact"/>
      </w:pPr>
      <w:r>
        <w:rPr>
          <w:bCs/>
          <w:b/>
        </w:rPr>
        <w:t xml:space="preserve">The left navigation menu</w:t>
      </w:r>
      <w:r>
        <w:t xml:space="preserve"> </w:t>
      </w:r>
      <w:r>
        <w:t xml:space="preserve">— the list of</w:t>
      </w:r>
      <w:r>
        <w:t xml:space="preserve"> </w:t>
      </w:r>
      <w:r>
        <w:rPr>
          <w:bCs/>
          <w:b/>
        </w:rPr>
        <w:t xml:space="preserve">modules</w:t>
      </w:r>
      <w:r>
        <w:t xml:space="preserve"> </w:t>
      </w:r>
      <w:r>
        <w:t xml:space="preserve">(Dashboard, Registration Forms, MOA Office, Budget, Inputs Management, Reports, MM-Configuration, Admin, Master Data). Selecting a module expands it to show its</w:t>
      </w:r>
      <w:r>
        <w:t xml:space="preserve"> </w:t>
      </w:r>
      <w:r>
        <w:rPr>
          <w:bCs/>
          <w:b/>
        </w:rPr>
        <w:t xml:space="preserve">screens</w:t>
      </w:r>
      <w:r>
        <w:t xml:space="preserve">. You will only see the modules your role permits.</w:t>
      </w:r>
    </w:p>
    <w:p>
      <w:pPr>
        <w:numPr>
          <w:ilvl w:val="0"/>
          <w:numId w:val="1002"/>
        </w:numPr>
        <w:pStyle w:val="Compact"/>
      </w:pPr>
      <w:r>
        <w:rPr>
          <w:bCs/>
          <w:b/>
        </w:rPr>
        <w:t xml:space="preserve">The content area</w:t>
      </w:r>
      <w:r>
        <w:t xml:space="preserve"> </w:t>
      </w:r>
      <w:r>
        <w:t xml:space="preserve">— the large central panel where the selected screen is displayed.</w:t>
      </w:r>
    </w:p>
    <w:bookmarkEnd w:id="27"/>
    <w:bookmarkStart w:id="28" w:name="working-with-list-screens"/>
    <w:p>
      <w:pPr>
        <w:pStyle w:val="Heading2"/>
      </w:pPr>
      <w:r>
        <w:t xml:space="preserve">2.4 Working with list screens</w:t>
      </w:r>
    </w:p>
    <w:p>
      <w:pPr>
        <w:pStyle w:val="FirstParagraph"/>
      </w:pPr>
      <w:r>
        <w:t xml:space="preserve">Most screens show a</w:t>
      </w:r>
      <w:r>
        <w:t xml:space="preserve"> </w:t>
      </w:r>
      <w:r>
        <w:rPr>
          <w:bCs/>
          <w:b/>
        </w:rPr>
        <w:t xml:space="preserve">list</w:t>
      </w:r>
      <w:r>
        <w:t xml:space="preserve"> </w:t>
      </w:r>
      <w:r>
        <w:t xml:space="preserve">(a table) of records — for example, the list of registered farmers. A list screen has these common elements:</w:t>
      </w:r>
    </w:p>
    <w:p>
      <w:pPr>
        <w:numPr>
          <w:ilvl w:val="0"/>
          <w:numId w:val="1003"/>
        </w:numPr>
        <w:pStyle w:val="Compact"/>
      </w:pPr>
      <w:r>
        <w:rPr>
          <w:bCs/>
          <w:b/>
        </w:rPr>
        <w:t xml:space="preserve">Page-size selector</w:t>
      </w:r>
      <w:r>
        <w:t xml:space="preserve"> </w:t>
      </w:r>
      <w:r>
        <w:t xml:space="preserve">(e.g. </w:t>
      </w:r>
      <w:r>
        <w:t xml:space="preserve">“</w:t>
      </w:r>
      <w:r>
        <w:t xml:space="preserve">20</w:t>
      </w:r>
      <w:r>
        <w:t xml:space="preserve">”</w:t>
      </w:r>
      <w:r>
        <w:t xml:space="preserve">) — how many rows to show per page.</w:t>
      </w:r>
    </w:p>
    <w:p>
      <w:pPr>
        <w:numPr>
          <w:ilvl w:val="0"/>
          <w:numId w:val="1003"/>
        </w:numPr>
        <w:pStyle w:val="Compact"/>
      </w:pPr>
      <w:r>
        <w:rPr>
          <w:bCs/>
          <w:b/>
        </w:rPr>
        <w:t xml:space="preserve">Filter/search boxes</w:t>
      </w:r>
      <w:r>
        <w:t xml:space="preserve"> </w:t>
      </w:r>
      <w:r>
        <w:t xml:space="preserve">(e.g. District, National ID, Mobile) — type a value and select</w:t>
      </w:r>
      <w:r>
        <w:t xml:space="preserve"> </w:t>
      </w:r>
      <w:r>
        <w:rPr>
          <w:bCs/>
          <w:b/>
        </w:rPr>
        <w:t xml:space="preserve">Show</w:t>
      </w:r>
      <w:r>
        <w:t xml:space="preserve"> </w:t>
      </w:r>
      <w:r>
        <w:t xml:space="preserve">to narrow the list.</w:t>
      </w:r>
    </w:p>
    <w:p>
      <w:pPr>
        <w:numPr>
          <w:ilvl w:val="0"/>
          <w:numId w:val="1003"/>
        </w:numPr>
        <w:pStyle w:val="Compact"/>
      </w:pPr>
      <w:r>
        <w:rPr>
          <w:bCs/>
          <w:b/>
        </w:rPr>
        <w:t xml:space="preserve">Column headers with sort arrows</w:t>
      </w:r>
      <w:r>
        <w:t xml:space="preserve"> </w:t>
      </w:r>
      <w:r>
        <w:t xml:space="preserve">— select a header to sort by that column.</w:t>
      </w:r>
    </w:p>
    <w:p>
      <w:pPr>
        <w:numPr>
          <w:ilvl w:val="0"/>
          <w:numId w:val="1003"/>
        </w:numPr>
        <w:pStyle w:val="Compact"/>
      </w:pPr>
      <w:r>
        <w:rPr>
          <w:bCs/>
          <w:b/>
        </w:rPr>
        <w:t xml:space="preserve">The New button</w:t>
      </w:r>
      <w:r>
        <w:t xml:space="preserve"> </w:t>
      </w:r>
      <w:r>
        <w:t xml:space="preserve">— opens a blank form to create a new record.</w:t>
      </w:r>
    </w:p>
    <w:p>
      <w:pPr>
        <w:numPr>
          <w:ilvl w:val="0"/>
          <w:numId w:val="1003"/>
        </w:numPr>
        <w:pStyle w:val="Compact"/>
      </w:pPr>
      <w:r>
        <w:rPr>
          <w:bCs/>
          <w:b/>
        </w:rPr>
        <w:t xml:space="preserve">Row actions</w:t>
      </w:r>
      <w:r>
        <w:t xml:space="preserve"> </w:t>
      </w:r>
      <w:r>
        <w:t xml:space="preserve">— selecting a row (or its edit icon) opens that record for viewing or editing; a checkbox column allows selecting several rows for a bulk action.</w:t>
      </w:r>
    </w:p>
    <w:p>
      <w:pPr>
        <w:numPr>
          <w:ilvl w:val="0"/>
          <w:numId w:val="1003"/>
        </w:numPr>
        <w:pStyle w:val="Compact"/>
      </w:pPr>
      <w:r>
        <w:rPr>
          <w:bCs/>
          <w:b/>
        </w:rPr>
        <w:t xml:space="preserve">Pagination controls</w:t>
      </w:r>
      <w:r>
        <w:t xml:space="preserve"> </w:t>
      </w:r>
      <w:r>
        <w:t xml:space="preserve">— move between pages when there are many records.</w:t>
      </w:r>
    </w:p>
    <w:p>
      <w:pPr>
        <w:pStyle w:val="FirstParagraph"/>
      </w:pPr>
      <w:r>
        <w:t xml:space="preserve">If a list shows</w:t>
      </w:r>
      <w:r>
        <w:t xml:space="preserve"> </w:t>
      </w:r>
      <w:r>
        <w:t xml:space="preserve">“</w:t>
      </w:r>
      <w:r>
        <w:t xml:space="preserve">Nothing found to display</w:t>
      </w:r>
      <w:r>
        <w:t xml:space="preserve">”</w:t>
      </w:r>
      <w:r>
        <w:t xml:space="preserve">, it means no records match the current filter — clear the filters and select</w:t>
      </w:r>
      <w:r>
        <w:t xml:space="preserve"> </w:t>
      </w:r>
      <w:r>
        <w:rPr>
          <w:bCs/>
          <w:b/>
        </w:rPr>
        <w:t xml:space="preserve">Show</w:t>
      </w:r>
      <w:r>
        <w:t xml:space="preserve"> </w:t>
      </w:r>
      <w:r>
        <w:t xml:space="preserve">again. (If a list is unexpectedly empty even without filters, see</w:t>
      </w:r>
      <w:r>
        <w:t xml:space="preserve"> </w:t>
      </w:r>
      <w:r>
        <w:rPr>
          <w:bCs/>
          <w:b/>
        </w:rPr>
        <w:t xml:space="preserve">Section 10, Troubleshooting</w:t>
      </w:r>
      <w:r>
        <w:t xml:space="preserve">.)</w:t>
      </w:r>
    </w:p>
    <w:bookmarkEnd w:id="28"/>
    <w:bookmarkStart w:id="29" w:name="working-with-form-screens"/>
    <w:p>
      <w:pPr>
        <w:pStyle w:val="Heading2"/>
      </w:pPr>
      <w:r>
        <w:t xml:space="preserve">2.5 Working with form screens</w:t>
      </w:r>
    </w:p>
    <w:p>
      <w:pPr>
        <w:pStyle w:val="FirstParagraph"/>
      </w:pPr>
      <w:r>
        <w:t xml:space="preserve">Creating or editing a record opens a</w:t>
      </w:r>
      <w:r>
        <w:t xml:space="preserve"> </w:t>
      </w:r>
      <w:r>
        <w:rPr>
          <w:bCs/>
          <w:b/>
        </w:rPr>
        <w:t xml:space="preserve">form</w:t>
      </w:r>
      <w:r>
        <w:t xml:space="preserve">. Forms may be split into</w:t>
      </w:r>
      <w:r>
        <w:t xml:space="preserve"> </w:t>
      </w:r>
      <w:r>
        <w:rPr>
          <w:bCs/>
          <w:b/>
        </w:rPr>
        <w:t xml:space="preserve">tabs</w:t>
      </w:r>
      <w:r>
        <w:t xml:space="preserve"> </w:t>
      </w:r>
      <w:r>
        <w:t xml:space="preserve">(for example, the subsidy application is a multi-tab wizard). Fields marked as required must be completed before the form will save. Use</w:t>
      </w:r>
      <w:r>
        <w:t xml:space="preserve"> </w:t>
      </w:r>
      <w:r>
        <w:rPr>
          <w:bCs/>
          <w:b/>
        </w:rPr>
        <w:t xml:space="preserve">Save</w:t>
      </w:r>
      <w:r>
        <w:t xml:space="preserve"> </w:t>
      </w:r>
      <w:r>
        <w:t xml:space="preserve">(or</w:t>
      </w:r>
      <w:r>
        <w:t xml:space="preserve"> </w:t>
      </w:r>
      <w:r>
        <w:rPr>
          <w:bCs/>
          <w:b/>
        </w:rPr>
        <w:t xml:space="preserve">Submit</w:t>
      </w:r>
      <w:r>
        <w:t xml:space="preserve">) to store your work and</w:t>
      </w:r>
      <w:r>
        <w:t xml:space="preserve"> </w:t>
      </w:r>
      <w:r>
        <w:rPr>
          <w:bCs/>
          <w:b/>
        </w:rPr>
        <w:t xml:space="preserve">Cancel</w:t>
      </w:r>
      <w:r>
        <w:t xml:space="preserve"> </w:t>
      </w:r>
      <w:r>
        <w:t xml:space="preserve">to discard it. Some fields auto-fill: for instance, entering a farmer’s</w:t>
      </w:r>
      <w:r>
        <w:t xml:space="preserve"> </w:t>
      </w:r>
      <w:r>
        <w:rPr>
          <w:bCs/>
          <w:b/>
        </w:rPr>
        <w:t xml:space="preserve">National ID</w:t>
      </w:r>
      <w:r>
        <w:t xml:space="preserve"> </w:t>
      </w:r>
      <w:r>
        <w:t xml:space="preserve">on an application automatically pulls in that farmer’s name and district from the registry (this is done by the</w:t>
      </w:r>
      <w:r>
        <w:t xml:space="preserve"> </w:t>
      </w:r>
      <w:r>
        <w:rPr>
          <w:iCs/>
          <w:i/>
        </w:rPr>
        <w:t xml:space="preserve">Identity Resolver</w:t>
      </w:r>
      <w:r>
        <w:t xml:space="preserve"> </w:t>
      </w:r>
      <w:r>
        <w:t xml:space="preserve">— see the glossary).</w:t>
      </w:r>
    </w:p>
    <w:bookmarkEnd w:id="29"/>
    <w:bookmarkEnd w:id="30"/>
    <w:bookmarkStart w:id="31" w:name="roles-and-permissions"/>
    <w:p>
      <w:pPr>
        <w:pStyle w:val="Heading1"/>
      </w:pPr>
      <w:r>
        <w:t xml:space="preserve">3. Roles and Permissions</w:t>
      </w:r>
    </w:p>
    <w:p>
      <w:pPr>
        <w:pStyle w:val="FirstParagraph"/>
      </w:pPr>
      <w:r>
        <w:t xml:space="preserve">Every user is assigned one or more</w:t>
      </w:r>
      <w:r>
        <w:t xml:space="preserve"> </w:t>
      </w:r>
      <w:r>
        <w:rPr>
          <w:bCs/>
          <w:b/>
        </w:rPr>
        <w:t xml:space="preserve">roles</w:t>
      </w:r>
      <w:r>
        <w:t xml:space="preserve"> </w:t>
      </w:r>
      <w:r>
        <w:t xml:space="preserve">(in Joget these are called</w:t>
      </w:r>
      <w:r>
        <w:t xml:space="preserve"> </w:t>
      </w:r>
      <w:r>
        <w:rPr>
          <w:iCs/>
          <w:i/>
        </w:rPr>
        <w:t xml:space="preserve">groups</w:t>
      </w:r>
      <w:r>
        <w:t xml:space="preserve">). A role determines which</w:t>
      </w:r>
      <w:r>
        <w:t xml:space="preserve"> </w:t>
      </w:r>
      <w:r>
        <w:rPr>
          <w:bCs/>
          <w:b/>
        </w:rPr>
        <w:t xml:space="preserve">modules</w:t>
      </w:r>
      <w:r>
        <w:t xml:space="preserve"> </w:t>
      </w:r>
      <w:r>
        <w:t xml:space="preserve">appear in your left-hand menu and what you are allowed to do. The FRS defines five roles.</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3627"/>
        <w:gridCol w:w="2139"/>
        <w:gridCol w:w="3534"/>
      </w:tblGrid>
      <w:tr>
        <w:trPr>
          <w:tblHeader w:val="true"/>
          <w:cantSplit w:val="true"/>
        </w:trPr>
        <w:tc>
          <w:tcPr>
            <w:shd w:val="clear" w:color="auto" w:fill="DCE6F1"/>
            <w:tcW w:w="1950" w:type="pct"/>
          </w:tcPr>
          <w:p>
            <w:pPr>
              <w:pStyle w:val="Compact"/>
              <w:jc w:val="left"/>
              <w:wordWrap w:val="true"/>
            </w:pPr>
            <w:r>
              <w:rPr>
                <w:b/>
              </w:rPr>
              <w:t xml:space="preserve">Role (technical id)</w:t>
            </w:r>
          </w:p>
        </w:tc>
        <w:tc>
          <w:tcPr>
            <w:shd w:val="clear" w:color="auto" w:fill="DCE6F1"/>
            <w:tcW w:w="1150" w:type="pct"/>
          </w:tcPr>
          <w:p>
            <w:pPr>
              <w:pStyle w:val="Compact"/>
              <w:jc w:val="left"/>
              <w:wordWrap w:val="true"/>
            </w:pPr>
            <w:r>
              <w:rPr>
                <w:b/>
              </w:rPr>
              <w:t xml:space="preserve">Title</w:t>
            </w:r>
          </w:p>
        </w:tc>
        <w:tc>
          <w:tcPr>
            <w:shd w:val="clear" w:color="auto" w:fill="DCE6F1"/>
            <w:tcW w:w="1900" w:type="pct"/>
          </w:tcPr>
          <w:p>
            <w:pPr>
              <w:pStyle w:val="Compact"/>
              <w:jc w:val="left"/>
              <w:wordWrap w:val="true"/>
            </w:pPr>
            <w:r>
              <w:rPr>
                <w:b/>
              </w:rPr>
              <w:t xml:space="preserve">What this person typically does</w:t>
            </w:r>
          </w:p>
        </w:tc>
      </w:tr>
      <w:tr>
        <w:trPr>
          <w:cantSplit w:val="true"/>
        </w:trPr>
        <w:tc>
          <w:tcPr>
            <w:tcW w:w="1950" w:type="pct"/>
          </w:tcPr>
          <w:p>
            <w:pPr>
              <w:pStyle w:val="Compact"/>
              <w:jc w:val="left"/>
              <w:wordWrap w:val="true"/>
            </w:pPr>
            <w:r>
              <w:rPr>
                <w:rStyle w:val="VerbatimChar"/>
              </w:rPr>
              <w:t xml:space="preserve">role_sysadmin</w:t>
            </w:r>
          </w:p>
        </w:tc>
        <w:tc>
          <w:tcPr>
            <w:tcW w:w="1150" w:type="pct"/>
          </w:tcPr>
          <w:p>
            <w:pPr>
              <w:pStyle w:val="Compact"/>
              <w:jc w:val="left"/>
              <w:wordWrap w:val="true"/>
            </w:pPr>
            <w:r>
              <w:t xml:space="preserve">System Administrator</w:t>
            </w:r>
          </w:p>
        </w:tc>
        <w:tc>
          <w:tcPr>
            <w:tcW w:w="1900" w:type="pct"/>
          </w:tcPr>
          <w:p>
            <w:pPr>
              <w:pStyle w:val="Compact"/>
              <w:jc w:val="left"/>
              <w:wordWrap w:val="true"/>
            </w:pPr>
            <w:r>
              <w:t xml:space="preserve">Full access to every module. Configures programmes and master data, manages users and API keys, oversees notifications, and supports all other users.</w:t>
            </w:r>
          </w:p>
        </w:tc>
      </w:tr>
      <w:tr>
        <w:trPr>
          <w:cantSplit w:val="true"/>
        </w:trPr>
        <w:tc>
          <w:tcPr>
            <w:tcW w:w="1950" w:type="pct"/>
          </w:tcPr>
          <w:p>
            <w:pPr>
              <w:pStyle w:val="Compact"/>
              <w:jc w:val="left"/>
              <w:wordWrap w:val="true"/>
            </w:pPr>
            <w:r>
              <w:rPr>
                <w:rStyle w:val="VerbatimChar"/>
              </w:rPr>
              <w:t xml:space="preserve">role_district_supervisor</w:t>
            </w:r>
          </w:p>
        </w:tc>
        <w:tc>
          <w:tcPr>
            <w:tcW w:w="1150" w:type="pct"/>
          </w:tcPr>
          <w:p>
            <w:pPr>
              <w:pStyle w:val="Compact"/>
              <w:jc w:val="left"/>
              <w:wordWrap w:val="true"/>
            </w:pPr>
            <w:r>
              <w:t xml:space="preserve">District Supervisor</w:t>
            </w:r>
          </w:p>
        </w:tc>
        <w:tc>
          <w:tcPr>
            <w:tcW w:w="1900" w:type="pct"/>
          </w:tcPr>
          <w:p>
            <w:pPr>
              <w:pStyle w:val="Compact"/>
              <w:jc w:val="left"/>
              <w:wordWrap w:val="true"/>
            </w:pPr>
            <w:r>
              <w:t xml:space="preserve">Oversees registration and applications for a district. Sees dashboards, registration forms, the MOA Office review queue, and inputs management.</w:t>
            </w:r>
          </w:p>
        </w:tc>
      </w:tr>
      <w:tr>
        <w:trPr>
          <w:cantSplit w:val="true"/>
        </w:trPr>
        <w:tc>
          <w:tcPr>
            <w:tcW w:w="1950" w:type="pct"/>
          </w:tcPr>
          <w:p>
            <w:pPr>
              <w:pStyle w:val="Compact"/>
              <w:jc w:val="left"/>
              <w:wordWrap w:val="true"/>
            </w:pPr>
            <w:r>
              <w:rPr>
                <w:rStyle w:val="VerbatimChar"/>
              </w:rPr>
              <w:t xml:space="preserve">role_field_officer</w:t>
            </w:r>
          </w:p>
        </w:tc>
        <w:tc>
          <w:tcPr>
            <w:tcW w:w="1150" w:type="pct"/>
          </w:tcPr>
          <w:p>
            <w:pPr>
              <w:pStyle w:val="Compact"/>
              <w:jc w:val="left"/>
              <w:wordWrap w:val="true"/>
            </w:pPr>
            <w:r>
              <w:t xml:space="preserve">Field Officer</w:t>
            </w:r>
          </w:p>
        </w:tc>
        <w:tc>
          <w:tcPr>
            <w:tcW w:w="1900" w:type="pct"/>
          </w:tcPr>
          <w:p>
            <w:pPr>
              <w:pStyle w:val="Compact"/>
              <w:jc w:val="left"/>
              <w:wordWrap w:val="true"/>
            </w:pPr>
            <w:r>
              <w:t xml:space="preserve">Front-line staff at district and centre level. Registers farmers and parcels, captures applications, and redeems vouchers at resource centres.</w:t>
            </w:r>
          </w:p>
        </w:tc>
      </w:tr>
      <w:tr>
        <w:trPr>
          <w:cantSplit w:val="true"/>
        </w:trPr>
        <w:tc>
          <w:tcPr>
            <w:tcW w:w="1950" w:type="pct"/>
          </w:tcPr>
          <w:p>
            <w:pPr>
              <w:pStyle w:val="Compact"/>
              <w:jc w:val="left"/>
              <w:wordWrap w:val="true"/>
            </w:pPr>
            <w:r>
              <w:rPr>
                <w:rStyle w:val="VerbatimChar"/>
              </w:rPr>
              <w:t xml:space="preserve">role_finance_officer</w:t>
            </w:r>
          </w:p>
        </w:tc>
        <w:tc>
          <w:tcPr>
            <w:tcW w:w="1150" w:type="pct"/>
          </w:tcPr>
          <w:p>
            <w:pPr>
              <w:pStyle w:val="Compact"/>
              <w:jc w:val="left"/>
              <w:wordWrap w:val="true"/>
            </w:pPr>
            <w:r>
              <w:t xml:space="preserve">Finance Officer</w:t>
            </w:r>
          </w:p>
        </w:tc>
        <w:tc>
          <w:tcPr>
            <w:tcW w:w="1900" w:type="pct"/>
          </w:tcPr>
          <w:p>
            <w:pPr>
              <w:pStyle w:val="Compact"/>
              <w:jc w:val="left"/>
              <w:wordWrap w:val="true"/>
            </w:pPr>
            <w:r>
              <w:t xml:space="preserve">Manages and monitors the budget. Sees dashboards, the full Budget module, and financial reports.</w:t>
            </w:r>
          </w:p>
        </w:tc>
      </w:tr>
      <w:tr>
        <w:trPr>
          <w:cantSplit w:val="true"/>
        </w:trPr>
        <w:tc>
          <w:tcPr>
            <w:tcW w:w="1950" w:type="pct"/>
          </w:tcPr>
          <w:p>
            <w:pPr>
              <w:pStyle w:val="Compact"/>
              <w:jc w:val="left"/>
              <w:wordWrap w:val="true"/>
            </w:pPr>
            <w:r>
              <w:rPr>
                <w:rStyle w:val="VerbatimChar"/>
              </w:rPr>
              <w:t xml:space="preserve">role_analyst</w:t>
            </w:r>
          </w:p>
        </w:tc>
        <w:tc>
          <w:tcPr>
            <w:tcW w:w="1150" w:type="pct"/>
          </w:tcPr>
          <w:p>
            <w:pPr>
              <w:pStyle w:val="Compact"/>
              <w:jc w:val="left"/>
              <w:wordWrap w:val="true"/>
            </w:pPr>
            <w:r>
              <w:t xml:space="preserve">Analyst</w:t>
            </w:r>
          </w:p>
        </w:tc>
        <w:tc>
          <w:tcPr>
            <w:tcW w:w="1900" w:type="pct"/>
          </w:tcPr>
          <w:p>
            <w:pPr>
              <w:pStyle w:val="Compact"/>
              <w:jc w:val="left"/>
              <w:wordWrap w:val="true"/>
            </w:pPr>
            <w:r>
              <w:t xml:space="preserve">Configures the service definition and reference data. Works in the MM-Configuration and Master Data modules.</w:t>
            </w:r>
          </w:p>
        </w:tc>
      </w:tr>
    </w:tbl>
    <w:p>
      <w:pPr>
        <w:pStyle w:val="BodyText"/>
      </w:pPr>
      <w:r>
        <w:rPr>
          <w:bCs/>
          <w:b/>
        </w:rPr>
        <w:t xml:space="preserve">How to read this:</w:t>
      </w:r>
      <w:r>
        <w:t xml:space="preserve"> </w:t>
      </w:r>
      <w:r>
        <w:t xml:space="preserve">if a module or screen described later in this guide does not appear in your menu, it is because your role does not grant access to it — this is by design. The table below summarises which roles can open each module.</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2604"/>
        <w:gridCol w:w="1395"/>
        <w:gridCol w:w="1674"/>
        <w:gridCol w:w="1209"/>
        <w:gridCol w:w="1209"/>
        <w:gridCol w:w="1209"/>
      </w:tblGrid>
      <w:tr>
        <w:trPr>
          <w:tblHeader w:val="true"/>
          <w:cantSplit w:val="true"/>
        </w:trPr>
        <w:tc>
          <w:tcPr>
            <w:shd w:val="clear" w:color="auto" w:fill="DCE6F1"/>
            <w:tcW w:w="1400" w:type="pct"/>
          </w:tcPr>
          <w:p>
            <w:pPr>
              <w:pStyle w:val="Compact"/>
              <w:jc w:val="left"/>
              <w:wordWrap w:val="true"/>
            </w:pPr>
            <w:r>
              <w:rPr>
                <w:b/>
              </w:rPr>
              <w:t xml:space="preserve">Module</w:t>
            </w:r>
          </w:p>
        </w:tc>
        <w:tc>
          <w:tcPr>
            <w:shd w:val="clear" w:color="auto" w:fill="DCE6F1"/>
            <w:tcW w:w="750" w:type="pct"/>
          </w:tcPr>
          <w:p>
            <w:pPr>
              <w:pStyle w:val="Compact"/>
              <w:jc w:val="center"/>
              <w:wordWrap w:val="true"/>
            </w:pPr>
            <w:r>
              <w:rPr>
                <w:b/>
              </w:rPr>
              <w:t xml:space="preserve">Sysadmin</w:t>
            </w:r>
          </w:p>
        </w:tc>
        <w:tc>
          <w:tcPr>
            <w:shd w:val="clear" w:color="auto" w:fill="DCE6F1"/>
            <w:tcW w:w="900" w:type="pct"/>
          </w:tcPr>
          <w:p>
            <w:pPr>
              <w:pStyle w:val="Compact"/>
              <w:jc w:val="center"/>
              <w:wordWrap w:val="true"/>
            </w:pPr>
            <w:r>
              <w:rPr>
                <w:b/>
              </w:rPr>
              <w:t xml:space="preserve">District Supervisor</w:t>
            </w:r>
          </w:p>
        </w:tc>
        <w:tc>
          <w:tcPr>
            <w:shd w:val="clear" w:color="auto" w:fill="DCE6F1"/>
            <w:tcW w:w="650" w:type="pct"/>
          </w:tcPr>
          <w:p>
            <w:pPr>
              <w:pStyle w:val="Compact"/>
              <w:jc w:val="center"/>
              <w:wordWrap w:val="true"/>
            </w:pPr>
            <w:r>
              <w:rPr>
                <w:b/>
              </w:rPr>
              <w:t xml:space="preserve">Field Officer</w:t>
            </w:r>
          </w:p>
        </w:tc>
        <w:tc>
          <w:tcPr>
            <w:shd w:val="clear" w:color="auto" w:fill="DCE6F1"/>
            <w:tcW w:w="650" w:type="pct"/>
          </w:tcPr>
          <w:p>
            <w:pPr>
              <w:pStyle w:val="Compact"/>
              <w:jc w:val="center"/>
              <w:wordWrap w:val="true"/>
            </w:pPr>
            <w:r>
              <w:rPr>
                <w:b/>
              </w:rPr>
              <w:t xml:space="preserve">Finance Officer</w:t>
            </w:r>
          </w:p>
        </w:tc>
        <w:tc>
          <w:tcPr>
            <w:shd w:val="clear" w:color="auto" w:fill="DCE6F1"/>
            <w:tcW w:w="650" w:type="pct"/>
          </w:tcPr>
          <w:p>
            <w:pPr>
              <w:pStyle w:val="Compact"/>
              <w:jc w:val="center"/>
              <w:wordWrap w:val="true"/>
            </w:pPr>
            <w:r>
              <w:rPr>
                <w:b/>
              </w:rPr>
              <w:t xml:space="preserve">Analyst</w:t>
            </w:r>
          </w:p>
        </w:tc>
      </w:tr>
      <w:tr>
        <w:trPr>
          <w:cantSplit w:val="true"/>
        </w:trPr>
        <w:tc>
          <w:tcPr>
            <w:tcW w:w="1400" w:type="pct"/>
          </w:tcPr>
          <w:p>
            <w:pPr>
              <w:pStyle w:val="Compact"/>
              <w:jc w:val="left"/>
              <w:wordWrap w:val="true"/>
            </w:pPr>
            <w:r>
              <w:t xml:space="preserve">Dashboard</w:t>
            </w:r>
          </w:p>
        </w:tc>
        <w:tc>
          <w:tcPr>
            <w:tcW w:w="750" w:type="pct"/>
          </w:tcPr>
          <w:p>
            <w:pPr>
              <w:pStyle w:val="Compact"/>
              <w:jc w:val="center"/>
              <w:wordWrap w:val="true"/>
            </w:pPr>
            <w:r>
              <w:t xml:space="preserve">✔</w:t>
            </w:r>
          </w:p>
        </w:tc>
        <w:tc>
          <w:tcPr>
            <w:tcW w:w="900" w:type="pct"/>
          </w:tcPr>
          <w:p>
            <w:pPr>
              <w:pStyle w:val="Compact"/>
              <w:jc w:val="center"/>
              <w:wordWrap w:val="true"/>
            </w:pPr>
            <w:r>
              <w:t xml:space="preserve">✔</w:t>
            </w:r>
          </w:p>
        </w:tc>
        <w:tc>
          <w:tcPr>
            <w:tcW w:w="650" w:type="pct"/>
          </w:tcPr>
          <w:p>
            <w:pPr>
              <w:pStyle w:val="Compact"/>
              <w:wordWrap w:val="true"/>
            </w:pPr>
          </w:p>
        </w:tc>
        <w:tc>
          <w:tcPr>
            <w:tcW w:w="650" w:type="pct"/>
          </w:tcPr>
          <w:p>
            <w:pPr>
              <w:pStyle w:val="Compact"/>
              <w:jc w:val="center"/>
              <w:wordWrap w:val="true"/>
            </w:pPr>
            <w:r>
              <w:t xml:space="preserve">✔</w:t>
            </w:r>
          </w:p>
        </w:tc>
        <w:tc>
          <w:tcPr>
            <w:tcW w:w="650" w:type="pct"/>
          </w:tcPr>
          <w:p>
            <w:pPr>
              <w:pStyle w:val="Compact"/>
              <w:wordWrap w:val="true"/>
            </w:pPr>
          </w:p>
        </w:tc>
      </w:tr>
      <w:tr>
        <w:trPr>
          <w:cantSplit w:val="true"/>
        </w:trPr>
        <w:tc>
          <w:tcPr>
            <w:tcW w:w="1400" w:type="pct"/>
          </w:tcPr>
          <w:p>
            <w:pPr>
              <w:pStyle w:val="Compact"/>
              <w:jc w:val="left"/>
              <w:wordWrap w:val="true"/>
            </w:pPr>
            <w:r>
              <w:t xml:space="preserve">Registration Forms</w:t>
            </w:r>
          </w:p>
        </w:tc>
        <w:tc>
          <w:tcPr>
            <w:tcW w:w="750" w:type="pct"/>
          </w:tcPr>
          <w:p>
            <w:pPr>
              <w:pStyle w:val="Compact"/>
              <w:jc w:val="center"/>
              <w:wordWrap w:val="true"/>
            </w:pPr>
            <w:r>
              <w:t xml:space="preserve">✔</w:t>
            </w:r>
          </w:p>
        </w:tc>
        <w:tc>
          <w:tcPr>
            <w:tcW w:w="900" w:type="pct"/>
          </w:tcPr>
          <w:p>
            <w:pPr>
              <w:pStyle w:val="Compact"/>
              <w:jc w:val="center"/>
              <w:wordWrap w:val="true"/>
            </w:pPr>
            <w:r>
              <w:t xml:space="preserve">✔</w:t>
            </w:r>
          </w:p>
        </w:tc>
        <w:tc>
          <w:tcPr>
            <w:tcW w:w="650" w:type="pct"/>
          </w:tcPr>
          <w:p>
            <w:pPr>
              <w:pStyle w:val="Compact"/>
              <w:jc w:val="center"/>
              <w:wordWrap w:val="true"/>
            </w:pPr>
            <w:r>
              <w:t xml:space="preserve">✔</w:t>
            </w:r>
          </w:p>
        </w:tc>
        <w:tc>
          <w:tcPr>
            <w:tcW w:w="650" w:type="pct"/>
          </w:tcPr>
          <w:p>
            <w:pPr>
              <w:pStyle w:val="Compact"/>
              <w:wordWrap w:val="true"/>
            </w:pPr>
          </w:p>
        </w:tc>
        <w:tc>
          <w:tcPr>
            <w:tcW w:w="650" w:type="pct"/>
          </w:tcPr>
          <w:p>
            <w:pPr>
              <w:pStyle w:val="Compact"/>
              <w:wordWrap w:val="true"/>
            </w:pPr>
          </w:p>
        </w:tc>
      </w:tr>
      <w:tr>
        <w:trPr>
          <w:cantSplit w:val="true"/>
        </w:trPr>
        <w:tc>
          <w:tcPr>
            <w:tcW w:w="1400" w:type="pct"/>
          </w:tcPr>
          <w:p>
            <w:pPr>
              <w:pStyle w:val="Compact"/>
              <w:jc w:val="left"/>
              <w:wordWrap w:val="true"/>
            </w:pPr>
            <w:r>
              <w:t xml:space="preserve">MOA Office</w:t>
            </w:r>
          </w:p>
        </w:tc>
        <w:tc>
          <w:tcPr>
            <w:tcW w:w="750" w:type="pct"/>
          </w:tcPr>
          <w:p>
            <w:pPr>
              <w:pStyle w:val="Compact"/>
              <w:jc w:val="center"/>
              <w:wordWrap w:val="true"/>
            </w:pPr>
            <w:r>
              <w:t xml:space="preserve">✔</w:t>
            </w:r>
          </w:p>
        </w:tc>
        <w:tc>
          <w:tcPr>
            <w:tcW w:w="900" w:type="pct"/>
          </w:tcPr>
          <w:p>
            <w:pPr>
              <w:pStyle w:val="Compact"/>
              <w:jc w:val="center"/>
              <w:wordWrap w:val="true"/>
            </w:pPr>
            <w:r>
              <w:t xml:space="preserve">✔</w:t>
            </w:r>
          </w:p>
        </w:tc>
        <w:tc>
          <w:tcPr>
            <w:tcW w:w="650" w:type="pct"/>
          </w:tcPr>
          <w:p>
            <w:pPr>
              <w:pStyle w:val="Compact"/>
              <w:wordWrap w:val="true"/>
            </w:pPr>
          </w:p>
        </w:tc>
        <w:tc>
          <w:tcPr>
            <w:tcW w:w="650" w:type="pct"/>
          </w:tcPr>
          <w:p>
            <w:pPr>
              <w:pStyle w:val="Compact"/>
              <w:wordWrap w:val="true"/>
            </w:pPr>
          </w:p>
        </w:tc>
        <w:tc>
          <w:tcPr>
            <w:tcW w:w="650" w:type="pct"/>
          </w:tcPr>
          <w:p>
            <w:pPr>
              <w:pStyle w:val="Compact"/>
              <w:wordWrap w:val="true"/>
            </w:pPr>
          </w:p>
        </w:tc>
      </w:tr>
      <w:tr>
        <w:trPr>
          <w:cantSplit w:val="true"/>
        </w:trPr>
        <w:tc>
          <w:tcPr>
            <w:tcW w:w="1400" w:type="pct"/>
          </w:tcPr>
          <w:p>
            <w:pPr>
              <w:pStyle w:val="Compact"/>
              <w:jc w:val="left"/>
              <w:wordWrap w:val="true"/>
            </w:pPr>
            <w:r>
              <w:t xml:space="preserve">Budget</w:t>
            </w:r>
          </w:p>
        </w:tc>
        <w:tc>
          <w:tcPr>
            <w:tcW w:w="750" w:type="pct"/>
          </w:tcPr>
          <w:p>
            <w:pPr>
              <w:pStyle w:val="Compact"/>
              <w:jc w:val="center"/>
              <w:wordWrap w:val="true"/>
            </w:pPr>
            <w:r>
              <w:t xml:space="preserve">✔</w:t>
            </w:r>
          </w:p>
        </w:tc>
        <w:tc>
          <w:tcPr>
            <w:tcW w:w="900" w:type="pct"/>
          </w:tcPr>
          <w:p>
            <w:pPr>
              <w:pStyle w:val="Compact"/>
              <w:wordWrap w:val="true"/>
            </w:pPr>
          </w:p>
        </w:tc>
        <w:tc>
          <w:tcPr>
            <w:tcW w:w="650" w:type="pct"/>
          </w:tcPr>
          <w:p>
            <w:pPr>
              <w:pStyle w:val="Compact"/>
              <w:wordWrap w:val="true"/>
            </w:pPr>
          </w:p>
        </w:tc>
        <w:tc>
          <w:tcPr>
            <w:tcW w:w="650" w:type="pct"/>
          </w:tcPr>
          <w:p>
            <w:pPr>
              <w:pStyle w:val="Compact"/>
              <w:jc w:val="center"/>
              <w:wordWrap w:val="true"/>
            </w:pPr>
            <w:r>
              <w:t xml:space="preserve">✔</w:t>
            </w:r>
          </w:p>
        </w:tc>
        <w:tc>
          <w:tcPr>
            <w:tcW w:w="650" w:type="pct"/>
          </w:tcPr>
          <w:p>
            <w:pPr>
              <w:pStyle w:val="Compact"/>
              <w:wordWrap w:val="true"/>
            </w:pPr>
          </w:p>
        </w:tc>
      </w:tr>
      <w:tr>
        <w:trPr>
          <w:cantSplit w:val="true"/>
        </w:trPr>
        <w:tc>
          <w:tcPr>
            <w:tcW w:w="1400" w:type="pct"/>
          </w:tcPr>
          <w:p>
            <w:pPr>
              <w:pStyle w:val="Compact"/>
              <w:jc w:val="left"/>
              <w:wordWrap w:val="true"/>
            </w:pPr>
            <w:r>
              <w:t xml:space="preserve">Inputs Management</w:t>
            </w:r>
          </w:p>
        </w:tc>
        <w:tc>
          <w:tcPr>
            <w:tcW w:w="750" w:type="pct"/>
          </w:tcPr>
          <w:p>
            <w:pPr>
              <w:pStyle w:val="Compact"/>
              <w:jc w:val="center"/>
              <w:wordWrap w:val="true"/>
            </w:pPr>
            <w:r>
              <w:t xml:space="preserve">✔</w:t>
            </w:r>
          </w:p>
        </w:tc>
        <w:tc>
          <w:tcPr>
            <w:tcW w:w="900" w:type="pct"/>
          </w:tcPr>
          <w:p>
            <w:pPr>
              <w:pStyle w:val="Compact"/>
              <w:jc w:val="center"/>
              <w:wordWrap w:val="true"/>
            </w:pPr>
            <w:r>
              <w:t xml:space="preserve">✔</w:t>
            </w:r>
          </w:p>
        </w:tc>
        <w:tc>
          <w:tcPr>
            <w:tcW w:w="650" w:type="pct"/>
          </w:tcPr>
          <w:p>
            <w:pPr>
              <w:pStyle w:val="Compact"/>
              <w:jc w:val="center"/>
              <w:wordWrap w:val="true"/>
            </w:pPr>
            <w:r>
              <w:t xml:space="preserve">✔</w:t>
            </w:r>
          </w:p>
        </w:tc>
        <w:tc>
          <w:tcPr>
            <w:tcW w:w="650" w:type="pct"/>
          </w:tcPr>
          <w:p>
            <w:pPr>
              <w:pStyle w:val="Compact"/>
              <w:wordWrap w:val="true"/>
            </w:pPr>
          </w:p>
        </w:tc>
        <w:tc>
          <w:tcPr>
            <w:tcW w:w="650" w:type="pct"/>
          </w:tcPr>
          <w:p>
            <w:pPr>
              <w:pStyle w:val="Compact"/>
              <w:wordWrap w:val="true"/>
            </w:pPr>
          </w:p>
        </w:tc>
      </w:tr>
      <w:tr>
        <w:trPr>
          <w:cantSplit w:val="true"/>
        </w:trPr>
        <w:tc>
          <w:tcPr>
            <w:tcW w:w="1400" w:type="pct"/>
          </w:tcPr>
          <w:p>
            <w:pPr>
              <w:pStyle w:val="Compact"/>
              <w:jc w:val="left"/>
              <w:wordWrap w:val="true"/>
            </w:pPr>
            <w:r>
              <w:t xml:space="preserve">Reports</w:t>
            </w:r>
          </w:p>
        </w:tc>
        <w:tc>
          <w:tcPr>
            <w:tcW w:w="750" w:type="pct"/>
          </w:tcPr>
          <w:p>
            <w:pPr>
              <w:pStyle w:val="Compact"/>
              <w:jc w:val="center"/>
              <w:wordWrap w:val="true"/>
            </w:pPr>
            <w:r>
              <w:t xml:space="preserve">✔</w:t>
            </w:r>
          </w:p>
        </w:tc>
        <w:tc>
          <w:tcPr>
            <w:tcW w:w="900" w:type="pct"/>
          </w:tcPr>
          <w:p>
            <w:pPr>
              <w:pStyle w:val="Compact"/>
              <w:jc w:val="center"/>
              <w:wordWrap w:val="true"/>
            </w:pPr>
            <w:r>
              <w:t xml:space="preserve">✔</w:t>
            </w:r>
          </w:p>
        </w:tc>
        <w:tc>
          <w:tcPr>
            <w:tcW w:w="650" w:type="pct"/>
          </w:tcPr>
          <w:p>
            <w:pPr>
              <w:pStyle w:val="Compact"/>
              <w:wordWrap w:val="true"/>
            </w:pPr>
          </w:p>
        </w:tc>
        <w:tc>
          <w:tcPr>
            <w:tcW w:w="650" w:type="pct"/>
          </w:tcPr>
          <w:p>
            <w:pPr>
              <w:pStyle w:val="Compact"/>
              <w:jc w:val="center"/>
              <w:wordWrap w:val="true"/>
            </w:pPr>
            <w:r>
              <w:t xml:space="preserve">✔</w:t>
            </w:r>
          </w:p>
        </w:tc>
        <w:tc>
          <w:tcPr>
            <w:tcW w:w="650" w:type="pct"/>
          </w:tcPr>
          <w:p>
            <w:pPr>
              <w:pStyle w:val="Compact"/>
              <w:wordWrap w:val="true"/>
            </w:pPr>
          </w:p>
        </w:tc>
      </w:tr>
      <w:tr>
        <w:trPr>
          <w:cantSplit w:val="true"/>
        </w:trPr>
        <w:tc>
          <w:tcPr>
            <w:tcW w:w="1400" w:type="pct"/>
          </w:tcPr>
          <w:p>
            <w:pPr>
              <w:pStyle w:val="Compact"/>
              <w:jc w:val="left"/>
              <w:wordWrap w:val="true"/>
            </w:pPr>
            <w:r>
              <w:t xml:space="preserve">MM-Configuration</w:t>
            </w:r>
          </w:p>
        </w:tc>
        <w:tc>
          <w:tcPr>
            <w:tcW w:w="750" w:type="pct"/>
          </w:tcPr>
          <w:p>
            <w:pPr>
              <w:pStyle w:val="Compact"/>
              <w:jc w:val="center"/>
              <w:wordWrap w:val="true"/>
            </w:pPr>
            <w:r>
              <w:t xml:space="preserve">✔</w:t>
            </w:r>
          </w:p>
        </w:tc>
        <w:tc>
          <w:tcPr>
            <w:tcW w:w="900" w:type="pct"/>
          </w:tcPr>
          <w:p>
            <w:pPr>
              <w:pStyle w:val="Compact"/>
              <w:wordWrap w:val="true"/>
            </w:pPr>
          </w:p>
        </w:tc>
        <w:tc>
          <w:tcPr>
            <w:tcW w:w="650" w:type="pct"/>
          </w:tcPr>
          <w:p>
            <w:pPr>
              <w:pStyle w:val="Compact"/>
              <w:wordWrap w:val="true"/>
            </w:pPr>
          </w:p>
        </w:tc>
        <w:tc>
          <w:tcPr>
            <w:tcW w:w="650" w:type="pct"/>
          </w:tcPr>
          <w:p>
            <w:pPr>
              <w:pStyle w:val="Compact"/>
              <w:wordWrap w:val="true"/>
            </w:pPr>
          </w:p>
        </w:tc>
        <w:tc>
          <w:tcPr>
            <w:tcW w:w="650" w:type="pct"/>
          </w:tcPr>
          <w:p>
            <w:pPr>
              <w:pStyle w:val="Compact"/>
              <w:jc w:val="center"/>
              <w:wordWrap w:val="true"/>
            </w:pPr>
            <w:r>
              <w:t xml:space="preserve">✔</w:t>
            </w:r>
          </w:p>
        </w:tc>
      </w:tr>
      <w:tr>
        <w:trPr>
          <w:cantSplit w:val="true"/>
        </w:trPr>
        <w:tc>
          <w:tcPr>
            <w:tcW w:w="1400" w:type="pct"/>
          </w:tcPr>
          <w:p>
            <w:pPr>
              <w:pStyle w:val="Compact"/>
              <w:jc w:val="left"/>
              <w:wordWrap w:val="true"/>
            </w:pPr>
            <w:r>
              <w:t xml:space="preserve">Admin</w:t>
            </w:r>
          </w:p>
        </w:tc>
        <w:tc>
          <w:tcPr>
            <w:tcW w:w="750" w:type="pct"/>
          </w:tcPr>
          <w:p>
            <w:pPr>
              <w:pStyle w:val="Compact"/>
              <w:jc w:val="center"/>
              <w:wordWrap w:val="true"/>
            </w:pPr>
            <w:r>
              <w:t xml:space="preserve">✔</w:t>
            </w:r>
          </w:p>
        </w:tc>
        <w:tc>
          <w:tcPr>
            <w:tcW w:w="900" w:type="pct"/>
          </w:tcPr>
          <w:p>
            <w:pPr>
              <w:pStyle w:val="Compact"/>
              <w:wordWrap w:val="true"/>
            </w:pPr>
          </w:p>
        </w:tc>
        <w:tc>
          <w:tcPr>
            <w:tcW w:w="650" w:type="pct"/>
          </w:tcPr>
          <w:p>
            <w:pPr>
              <w:pStyle w:val="Compact"/>
              <w:wordWrap w:val="true"/>
            </w:pPr>
          </w:p>
        </w:tc>
        <w:tc>
          <w:tcPr>
            <w:tcW w:w="650" w:type="pct"/>
          </w:tcPr>
          <w:p>
            <w:pPr>
              <w:pStyle w:val="Compact"/>
              <w:wordWrap w:val="true"/>
            </w:pPr>
          </w:p>
        </w:tc>
        <w:tc>
          <w:tcPr>
            <w:tcW w:w="650" w:type="pct"/>
          </w:tcPr>
          <w:p>
            <w:pPr>
              <w:pStyle w:val="Compact"/>
              <w:wordWrap w:val="true"/>
            </w:pPr>
          </w:p>
        </w:tc>
      </w:tr>
      <w:tr>
        <w:trPr>
          <w:cantSplit w:val="true"/>
        </w:trPr>
        <w:tc>
          <w:tcPr>
            <w:tcW w:w="1400" w:type="pct"/>
          </w:tcPr>
          <w:p>
            <w:pPr>
              <w:pStyle w:val="Compact"/>
              <w:jc w:val="left"/>
              <w:wordWrap w:val="true"/>
            </w:pPr>
            <w:r>
              <w:t xml:space="preserve">Master Data</w:t>
            </w:r>
          </w:p>
        </w:tc>
        <w:tc>
          <w:tcPr>
            <w:tcW w:w="750" w:type="pct"/>
          </w:tcPr>
          <w:p>
            <w:pPr>
              <w:pStyle w:val="Compact"/>
              <w:jc w:val="center"/>
              <w:wordWrap w:val="true"/>
            </w:pPr>
            <w:r>
              <w:t xml:space="preserve">✔</w:t>
            </w:r>
          </w:p>
        </w:tc>
        <w:tc>
          <w:tcPr>
            <w:tcW w:w="900" w:type="pct"/>
          </w:tcPr>
          <w:p>
            <w:pPr>
              <w:pStyle w:val="Compact"/>
              <w:wordWrap w:val="true"/>
            </w:pPr>
          </w:p>
        </w:tc>
        <w:tc>
          <w:tcPr>
            <w:tcW w:w="650" w:type="pct"/>
          </w:tcPr>
          <w:p>
            <w:pPr>
              <w:pStyle w:val="Compact"/>
              <w:wordWrap w:val="true"/>
            </w:pPr>
          </w:p>
        </w:tc>
        <w:tc>
          <w:tcPr>
            <w:tcW w:w="650" w:type="pct"/>
          </w:tcPr>
          <w:p>
            <w:pPr>
              <w:pStyle w:val="Compact"/>
              <w:wordWrap w:val="true"/>
            </w:pPr>
          </w:p>
        </w:tc>
        <w:tc>
          <w:tcPr>
            <w:tcW w:w="650" w:type="pct"/>
          </w:tcPr>
          <w:p>
            <w:pPr>
              <w:pStyle w:val="Compact"/>
              <w:jc w:val="center"/>
              <w:wordWrap w:val="true"/>
            </w:pPr>
            <w:r>
              <w:t xml:space="preserve">✔</w:t>
            </w:r>
          </w:p>
        </w:tc>
      </w:tr>
    </w:tbl>
    <w:p>
      <w:pPr>
        <w:pStyle w:val="BodyText"/>
      </w:pPr>
      <w:r>
        <w:t xml:space="preserve">The</w:t>
      </w:r>
      <w:r>
        <w:t xml:space="preserve"> </w:t>
      </w:r>
      <w:r>
        <w:rPr>
          <w:bCs/>
          <w:b/>
        </w:rPr>
        <w:t xml:space="preserve">System Administrator</w:t>
      </w:r>
      <w:r>
        <w:t xml:space="preserve"> </w:t>
      </w:r>
      <w:r>
        <w:t xml:space="preserve">is a super-user and can additionally access administrative functions of the underlying platform (managing users, plugins and system settings) that are outside the scope of this guide.</w:t>
      </w:r>
    </w:p>
    <w:bookmarkEnd w:id="31"/>
    <w:bookmarkStart w:id="37" w:name="core-concepts"/>
    <w:p>
      <w:pPr>
        <w:pStyle w:val="Heading1"/>
      </w:pPr>
      <w:r>
        <w:t xml:space="preserve">4. Core Concepts</w:t>
      </w:r>
    </w:p>
    <w:p>
      <w:pPr>
        <w:pStyle w:val="FirstParagraph"/>
      </w:pPr>
      <w:r>
        <w:t xml:space="preserve">This section explains the foundational terms used throughout the FRS. Read it once; the rest of the guide assumes these meanings. A shorter alphabetical glossary of every term and acronym appears in</w:t>
      </w:r>
      <w:r>
        <w:t xml:space="preserve"> </w:t>
      </w:r>
      <w:r>
        <w:rPr>
          <w:bCs/>
          <w:b/>
        </w:rPr>
        <w:t xml:space="preserve">Section 9</w:t>
      </w:r>
      <w:r>
        <w:t xml:space="preserve">.</w:t>
      </w:r>
    </w:p>
    <w:bookmarkStart w:id="32" w:name="people-and-places"/>
    <w:p>
      <w:pPr>
        <w:pStyle w:val="Heading2"/>
      </w:pPr>
      <w:r>
        <w:t xml:space="preserve">4.1 People and places</w:t>
      </w:r>
    </w:p>
    <w:p>
      <w:pPr>
        <w:numPr>
          <w:ilvl w:val="0"/>
          <w:numId w:val="1004"/>
        </w:numPr>
        <w:pStyle w:val="Compact"/>
      </w:pPr>
      <w:r>
        <w:rPr>
          <w:bCs/>
          <w:b/>
        </w:rPr>
        <w:t xml:space="preserve">Farmer</w:t>
      </w:r>
      <w:r>
        <w:t xml:space="preserve"> </w:t>
      </w:r>
      <w:r>
        <w:t xml:space="preserve">— an individual registered in the system, identified uniquely by their</w:t>
      </w:r>
      <w:r>
        <w:t xml:space="preserve"> </w:t>
      </w:r>
      <w:r>
        <w:rPr>
          <w:bCs/>
          <w:b/>
        </w:rPr>
        <w:t xml:space="preserve">National ID (NID)</w:t>
      </w:r>
      <w:r>
        <w:t xml:space="preserve">. The farmer’s core record holds their name, contact details, demographics and residency.</w:t>
      </w:r>
    </w:p>
    <w:p>
      <w:pPr>
        <w:numPr>
          <w:ilvl w:val="0"/>
          <w:numId w:val="1004"/>
        </w:numPr>
        <w:pStyle w:val="Compact"/>
      </w:pPr>
      <w:r>
        <w:rPr>
          <w:bCs/>
          <w:b/>
        </w:rPr>
        <w:t xml:space="preserve">Household</w:t>
      </w:r>
      <w:r>
        <w:t xml:space="preserve"> </w:t>
      </w:r>
      <w:r>
        <w:t xml:space="preserve">— the family unit a farmer belongs to, including household members and their relationship to the farmer. Household composition (e.g. dependants, orphanhood, disability) can affect eligibility and targeting.</w:t>
      </w:r>
    </w:p>
    <w:p>
      <w:pPr>
        <w:numPr>
          <w:ilvl w:val="0"/>
          <w:numId w:val="1004"/>
        </w:numPr>
        <w:pStyle w:val="Compact"/>
      </w:pPr>
      <w:r>
        <w:rPr>
          <w:bCs/>
          <w:b/>
        </w:rPr>
        <w:t xml:space="preserve">National ID (NID)</w:t>
      </w:r>
      <w:r>
        <w:t xml:space="preserve"> </w:t>
      </w:r>
      <w:r>
        <w:t xml:space="preserve">— the citizen’s national identity number. It is the master key that ties a farmer to their parcels, applications, vouchers and entitlements, and it is used to auto-fill identity details on new records.</w:t>
      </w:r>
    </w:p>
    <w:p>
      <w:pPr>
        <w:numPr>
          <w:ilvl w:val="0"/>
          <w:numId w:val="1004"/>
        </w:numPr>
        <w:pStyle w:val="Compact"/>
      </w:pPr>
      <w:r>
        <w:rPr>
          <w:bCs/>
          <w:b/>
        </w:rPr>
        <w:t xml:space="preserve">Parcel</w:t>
      </w:r>
      <w:r>
        <w:t xml:space="preserve"> </w:t>
      </w:r>
      <w:r>
        <w:t xml:space="preserve">(also</w:t>
      </w:r>
      <w:r>
        <w:t xml:space="preserve"> </w:t>
      </w:r>
      <w:r>
        <w:rPr>
          <w:bCs/>
          <w:b/>
        </w:rPr>
        <w:t xml:space="preserve">Plot</w:t>
      </w:r>
      <w:r>
        <w:t xml:space="preserve"> </w:t>
      </w:r>
      <w:r>
        <w:t xml:space="preserve">or</w:t>
      </w:r>
      <w:r>
        <w:t xml:space="preserve"> </w:t>
      </w:r>
      <w:r>
        <w:rPr>
          <w:bCs/>
          <w:b/>
        </w:rPr>
        <w:t xml:space="preserve">Farm</w:t>
      </w:r>
      <w:r>
        <w:t xml:space="preserve">) — a piece of land a farmer cultivates. A parcel record captures its location (district and</w:t>
      </w:r>
      <w:r>
        <w:t xml:space="preserve"> </w:t>
      </w:r>
      <w:r>
        <w:rPr>
          <w:bCs/>
          <w:b/>
        </w:rPr>
        <w:t xml:space="preserve">agro-ecological zone</w:t>
      </w:r>
      <w:r>
        <w:t xml:space="preserve">), size, and — where captured — its</w:t>
      </w:r>
      <w:r>
        <w:t xml:space="preserve"> </w:t>
      </w:r>
      <w:r>
        <w:rPr>
          <w:bCs/>
          <w:b/>
        </w:rPr>
        <w:t xml:space="preserve">GPS boundary</w:t>
      </w:r>
      <w:r>
        <w:t xml:space="preserve"> </w:t>
      </w:r>
      <w:r>
        <w:t xml:space="preserve">(the polygon drawn on a map). One farmer may have several parcels.</w:t>
      </w:r>
    </w:p>
    <w:p>
      <w:pPr>
        <w:numPr>
          <w:ilvl w:val="0"/>
          <w:numId w:val="1004"/>
        </w:numPr>
        <w:pStyle w:val="Compact"/>
      </w:pPr>
      <w:r>
        <w:rPr>
          <w:bCs/>
          <w:b/>
        </w:rPr>
        <w:t xml:space="preserve">District</w:t>
      </w:r>
      <w:r>
        <w:t xml:space="preserve"> </w:t>
      </w:r>
      <w:r>
        <w:t xml:space="preserve">— one of Lesotho’s ten administrative districts: Berea, Butha-Buthe, Leribe, Mafeteng, Maseru, Mohale’s Hoek, Mokhotlong, Qacha’s Nek, Quthing and Thaba-Tseka. District is used everywhere for targeting, filtering and reporting.</w:t>
      </w:r>
    </w:p>
    <w:p>
      <w:pPr>
        <w:numPr>
          <w:ilvl w:val="0"/>
          <w:numId w:val="1004"/>
        </w:numPr>
        <w:pStyle w:val="Compact"/>
      </w:pPr>
      <w:r>
        <w:rPr>
          <w:bCs/>
          <w:b/>
        </w:rPr>
        <w:t xml:space="preserve">Agro-Ecological Zone (AEZ)</w:t>
      </w:r>
      <w:r>
        <w:t xml:space="preserve"> </w:t>
      </w:r>
      <w:r>
        <w:t xml:space="preserve">— a classification of land by its farming conditions (for example lowlands, foothills, mountains, Senqu River Valley). Combined with district (see</w:t>
      </w:r>
      <w:r>
        <w:t xml:space="preserve"> </w:t>
      </w:r>
      <w:r>
        <w:rPr>
          <w:bCs/>
          <w:b/>
        </w:rPr>
        <w:t xml:space="preserve">MD.95, District × Ecological Zone</w:t>
      </w:r>
      <w:r>
        <w:t xml:space="preserve">), it is used to pre-position map coordinates and to target programmes.</w:t>
      </w:r>
    </w:p>
    <w:p>
      <w:pPr>
        <w:numPr>
          <w:ilvl w:val="0"/>
          <w:numId w:val="1004"/>
        </w:numPr>
        <w:pStyle w:val="Compact"/>
      </w:pPr>
      <w:r>
        <w:rPr>
          <w:bCs/>
          <w:b/>
        </w:rPr>
        <w:t xml:space="preserve">Resource Centre</w:t>
      </w:r>
      <w:r>
        <w:t xml:space="preserve"> </w:t>
      </w:r>
      <w:r>
        <w:t xml:space="preserve">(also</w:t>
      </w:r>
      <w:r>
        <w:t xml:space="preserve"> </w:t>
      </w:r>
      <w:r>
        <w:rPr>
          <w:bCs/>
          <w:b/>
        </w:rPr>
        <w:t xml:space="preserve">Collection Point</w:t>
      </w:r>
      <w:r>
        <w:t xml:space="preserve"> </w:t>
      </w:r>
      <w:r>
        <w:t xml:space="preserve">or</w:t>
      </w:r>
      <w:r>
        <w:t xml:space="preserve"> </w:t>
      </w:r>
      <w:r>
        <w:rPr>
          <w:bCs/>
          <w:b/>
        </w:rPr>
        <w:t xml:space="preserve">Distribution Point</w:t>
      </w:r>
      <w:r>
        <w:t xml:space="preserve">) — a physical location, such as an agricultural service point or depot, where farmers collect their subsidised inputs and where field officers redeem vouchers. There are around 80 such centres across the ten districts (Quthing’s full list of community-council centres was added in August 2026).</w:t>
      </w:r>
    </w:p>
    <w:bookmarkEnd w:id="32"/>
    <w:bookmarkStart w:id="33" w:name="programmes-applications-and-decisions"/>
    <w:p>
      <w:pPr>
        <w:pStyle w:val="Heading2"/>
      </w:pPr>
      <w:r>
        <w:t xml:space="preserve">4.2 Programmes, applications and decisions</w:t>
      </w:r>
    </w:p>
    <w:p>
      <w:pPr>
        <w:numPr>
          <w:ilvl w:val="0"/>
          <w:numId w:val="1005"/>
        </w:numPr>
        <w:pStyle w:val="Compact"/>
      </w:pPr>
      <w:r>
        <w:rPr>
          <w:bCs/>
          <w:b/>
        </w:rPr>
        <w:t xml:space="preserve">Support Programme</w:t>
      </w:r>
      <w:r>
        <w:t xml:space="preserve"> </w:t>
      </w:r>
      <w:r>
        <w:t xml:space="preserve">(or</w:t>
      </w:r>
      <w:r>
        <w:t xml:space="preserve"> </w:t>
      </w:r>
      <w:r>
        <w:rPr>
          <w:bCs/>
          <w:b/>
        </w:rPr>
        <w:t xml:space="preserve">Programme</w:t>
      </w:r>
      <w:r>
        <w:t xml:space="preserve">) — a subsidy scheme the Ministry runs, such as the</w:t>
      </w:r>
      <w:r>
        <w:t xml:space="preserve"> </w:t>
      </w:r>
      <w:r>
        <w:rPr>
          <w:bCs/>
          <w:b/>
        </w:rPr>
        <w:t xml:space="preserve">Input Subsidy Programme</w:t>
      </w:r>
      <w:r>
        <w:t xml:space="preserve">,</w:t>
      </w:r>
      <w:r>
        <w:t xml:space="preserve"> </w:t>
      </w:r>
      <w:r>
        <w:rPr>
          <w:bCs/>
          <w:b/>
        </w:rPr>
        <w:t xml:space="preserve">Block Farming</w:t>
      </w:r>
      <w:r>
        <w:t xml:space="preserve">, or</w:t>
      </w:r>
      <w:r>
        <w:t xml:space="preserve"> </w:t>
      </w:r>
      <w:r>
        <w:rPr>
          <w:bCs/>
          <w:b/>
        </w:rPr>
        <w:t xml:space="preserve">WAMP</w:t>
      </w:r>
      <w:r>
        <w:t xml:space="preserve"> </w:t>
      </w:r>
      <w:r>
        <w:t xml:space="preserve">(Wool and Mohair / Agricultural Marketing Programme). A programme defines who is eligible, what benefit is given, and from which budget it is funded.</w:t>
      </w:r>
    </w:p>
    <w:p>
      <w:pPr>
        <w:numPr>
          <w:ilvl w:val="0"/>
          <w:numId w:val="1005"/>
        </w:numPr>
        <w:pStyle w:val="Compact"/>
      </w:pPr>
      <w:r>
        <w:rPr>
          <w:bCs/>
          <w:b/>
        </w:rPr>
        <w:t xml:space="preserve">Application</w:t>
      </w:r>
      <w:r>
        <w:t xml:space="preserve"> </w:t>
      </w:r>
      <w:r>
        <w:t xml:space="preserve">— a farmer’s request to participate in a programme (for example the</w:t>
      </w:r>
      <w:r>
        <w:t xml:space="preserve"> </w:t>
      </w:r>
      <w:r>
        <w:rPr>
          <w:bCs/>
          <w:b/>
        </w:rPr>
        <w:t xml:space="preserve">2025 Subsidy Application</w:t>
      </w:r>
      <w:r>
        <w:t xml:space="preserve">). An application moves through a defined series of</w:t>
      </w:r>
      <w:r>
        <w:t xml:space="preserve"> </w:t>
      </w:r>
      <w:r>
        <w:rPr>
          <w:bCs/>
          <w:b/>
        </w:rPr>
        <w:t xml:space="preserve">statuses</w:t>
      </w:r>
      <w:r>
        <w:t xml:space="preserve"> </w:t>
      </w:r>
      <w:r>
        <w:t xml:space="preserve">from Draft to a final decision (see Section 4.4 and Section 7).</w:t>
      </w:r>
    </w:p>
    <w:p>
      <w:pPr>
        <w:numPr>
          <w:ilvl w:val="0"/>
          <w:numId w:val="1005"/>
        </w:numPr>
        <w:pStyle w:val="Compact"/>
      </w:pPr>
      <w:r>
        <w:rPr>
          <w:bCs/>
          <w:b/>
        </w:rPr>
        <w:t xml:space="preserve">Eligibility</w:t>
      </w:r>
      <w:r>
        <w:t xml:space="preserve"> </w:t>
      </w:r>
      <w:r>
        <w:t xml:space="preserve">— whether a farmer meets the conditions of a programme. Eligibility is checked against</w:t>
      </w:r>
      <w:r>
        <w:t xml:space="preserve"> </w:t>
      </w:r>
      <w:r>
        <w:rPr>
          <w:bCs/>
          <w:b/>
        </w:rPr>
        <w:t xml:space="preserve">rules</w:t>
      </w:r>
      <w:r>
        <w:t xml:space="preserve"> </w:t>
      </w:r>
      <w:r>
        <w:t xml:space="preserve">(see</w:t>
      </w:r>
      <w:r>
        <w:t xml:space="preserve"> </w:t>
      </w:r>
      <w:r>
        <w:rPr>
          <w:iCs/>
          <w:i/>
        </w:rPr>
        <w:t xml:space="preserve">Determinant</w:t>
      </w:r>
      <w:r>
        <w:t xml:space="preserve">) and recorded per criterion as pass, fail, or not-applicable.</w:t>
      </w:r>
    </w:p>
    <w:p>
      <w:pPr>
        <w:numPr>
          <w:ilvl w:val="0"/>
          <w:numId w:val="1005"/>
        </w:numPr>
        <w:pStyle w:val="Compact"/>
      </w:pPr>
      <w:r>
        <w:rPr>
          <w:bCs/>
          <w:b/>
        </w:rPr>
        <w:t xml:space="preserve">Determinant / Rule</w:t>
      </w:r>
      <w:r>
        <w:t xml:space="preserve"> </w:t>
      </w:r>
      <w:r>
        <w:t xml:space="preserve">— a configurable condition that the system evaluates automatically, expressed in the Ministry’s rule language. Determinants are used for several purposes (eligibility checks, data-quality checks, decision routing) and are authored in the</w:t>
      </w:r>
      <w:r>
        <w:t xml:space="preserve"> </w:t>
      </w:r>
      <w:r>
        <w:rPr>
          <w:bCs/>
          <w:b/>
        </w:rPr>
        <w:t xml:space="preserve">MM-Configuration</w:t>
      </w:r>
      <w:r>
        <w:t xml:space="preserve"> </w:t>
      </w:r>
      <w:r>
        <w:t xml:space="preserve">module and audited to the</w:t>
      </w:r>
      <w:r>
        <w:t xml:space="preserve"> </w:t>
      </w:r>
      <w:r>
        <w:rPr>
          <w:bCs/>
          <w:b/>
        </w:rPr>
        <w:t xml:space="preserve">RegBB Evaluation Audit</w:t>
      </w:r>
      <w:r>
        <w:t xml:space="preserve">.</w:t>
      </w:r>
    </w:p>
    <w:p>
      <w:pPr>
        <w:numPr>
          <w:ilvl w:val="0"/>
          <w:numId w:val="1005"/>
        </w:numPr>
        <w:pStyle w:val="Compact"/>
      </w:pPr>
      <w:r>
        <w:rPr>
          <w:bCs/>
          <w:b/>
        </w:rPr>
        <w:t xml:space="preserve">Operator Review</w:t>
      </w:r>
      <w:r>
        <w:t xml:space="preserve"> </w:t>
      </w:r>
      <w:r>
        <w:t xml:space="preserve">— the step where a Ministry officer examines a submitted application, optionally adjusts the requested quantities, and records a</w:t>
      </w:r>
      <w:r>
        <w:t xml:space="preserve"> </w:t>
      </w:r>
      <w:r>
        <w:rPr>
          <w:bCs/>
          <w:b/>
        </w:rPr>
        <w:t xml:space="preserve">decision</w:t>
      </w:r>
      <w:r>
        <w:t xml:space="preserve">.</w:t>
      </w:r>
    </w:p>
    <w:p>
      <w:pPr>
        <w:numPr>
          <w:ilvl w:val="0"/>
          <w:numId w:val="1005"/>
        </w:numPr>
        <w:pStyle w:val="Compact"/>
      </w:pPr>
      <w:r>
        <w:rPr>
          <w:bCs/>
          <w:b/>
        </w:rPr>
        <w:t xml:space="preserve">Decision</w:t>
      </w:r>
      <w:r>
        <w:t xml:space="preserve"> </w:t>
      </w:r>
      <w:r>
        <w:t xml:space="preserve">— the officer’s ruling on an application: Approved, Partially Approved, Conditionally Approved, Rejected, Pending Additional Information, Escalated, or Under Investigation (see</w:t>
      </w:r>
      <w:r>
        <w:t xml:space="preserve"> </w:t>
      </w:r>
      <w:r>
        <w:rPr>
          <w:bCs/>
          <w:b/>
        </w:rPr>
        <w:t xml:space="preserve">MD.31, Decision Type</w:t>
      </w:r>
      <w:r>
        <w:t xml:space="preserve">).</w:t>
      </w:r>
    </w:p>
    <w:p>
      <w:pPr>
        <w:numPr>
          <w:ilvl w:val="0"/>
          <w:numId w:val="1005"/>
        </w:numPr>
        <w:pStyle w:val="Compact"/>
      </w:pPr>
      <w:r>
        <w:rPr>
          <w:bCs/>
          <w:b/>
        </w:rPr>
        <w:t xml:space="preserve">Rejection Reason</w:t>
      </w:r>
      <w:r>
        <w:t xml:space="preserve"> </w:t>
      </w:r>
      <w:r>
        <w:t xml:space="preserve">— a standard, selectable reason recorded when an application is rejected (for example</w:t>
      </w:r>
      <w:r>
        <w:t xml:space="preserve"> </w:t>
      </w:r>
      <w:r>
        <w:rPr>
          <w:iCs/>
          <w:i/>
        </w:rPr>
        <w:t xml:space="preserve">Not in Target District</w:t>
      </w:r>
      <w:r>
        <w:t xml:space="preserve">,</w:t>
      </w:r>
      <w:r>
        <w:t xml:space="preserve"> </w:t>
      </w:r>
      <w:r>
        <w:rPr>
          <w:iCs/>
          <w:i/>
        </w:rPr>
        <w:t xml:space="preserve">Incomplete Documentation</w:t>
      </w:r>
      <w:r>
        <w:t xml:space="preserve">,</w:t>
      </w:r>
      <w:r>
        <w:t xml:space="preserve"> </w:t>
      </w:r>
      <w:r>
        <w:rPr>
          <w:iCs/>
          <w:i/>
        </w:rPr>
        <w:t xml:space="preserve">Program Budget Exhausted</w:t>
      </w:r>
      <w:r>
        <w:t xml:space="preserve"> </w:t>
      </w:r>
      <w:r>
        <w:t xml:space="preserve">— see</w:t>
      </w:r>
      <w:r>
        <w:t xml:space="preserve"> </w:t>
      </w:r>
      <w:r>
        <w:rPr>
          <w:bCs/>
          <w:b/>
        </w:rPr>
        <w:t xml:space="preserve">MD.32</w:t>
      </w:r>
      <w:r>
        <w:t xml:space="preserve">).</w:t>
      </w:r>
    </w:p>
    <w:p>
      <w:pPr>
        <w:numPr>
          <w:ilvl w:val="0"/>
          <w:numId w:val="1005"/>
        </w:numPr>
        <w:pStyle w:val="Compact"/>
      </w:pPr>
      <w:r>
        <w:rPr>
          <w:bCs/>
          <w:b/>
        </w:rPr>
        <w:t xml:space="preserve">Entitlement</w:t>
      </w:r>
      <w:r>
        <w:t xml:space="preserve"> </w:t>
      </w:r>
      <w:r>
        <w:t xml:space="preserve">— the concrete benefit a farmer is granted once approved: the specific input items and quantities, with their subsidy percentages and monetary values. An entitlement is issued with a code (for example</w:t>
      </w:r>
      <w:r>
        <w:t xml:space="preserve"> </w:t>
      </w:r>
      <w:r>
        <w:rPr>
          <w:rStyle w:val="VerbatimChar"/>
        </w:rPr>
        <w:t xml:space="preserve">EN-XXXXXX</w:t>
      </w:r>
      <w:r>
        <w:t xml:space="preserve">) and is the basis for issuing vouchers.</w:t>
      </w:r>
    </w:p>
    <w:p>
      <w:pPr>
        <w:numPr>
          <w:ilvl w:val="0"/>
          <w:numId w:val="1005"/>
        </w:numPr>
        <w:pStyle w:val="Compact"/>
      </w:pPr>
      <w:r>
        <w:rPr>
          <w:bCs/>
          <w:b/>
        </w:rPr>
        <w:t xml:space="preserve">Case Note</w:t>
      </w:r>
      <w:r>
        <w:t xml:space="preserve"> </w:t>
      </w:r>
      <w:r>
        <w:t xml:space="preserve">— a free-text note an officer attaches to an application or farmer to record context, decisions or follow-ups. Case notes form part of the record’s history.</w:t>
      </w:r>
    </w:p>
    <w:p>
      <w:pPr>
        <w:numPr>
          <w:ilvl w:val="0"/>
          <w:numId w:val="1005"/>
        </w:numPr>
        <w:pStyle w:val="Compact"/>
      </w:pPr>
      <w:r>
        <w:rPr>
          <w:bCs/>
          <w:b/>
        </w:rPr>
        <w:t xml:space="preserve">Appeal</w:t>
      </w:r>
      <w:r>
        <w:t xml:space="preserve"> </w:t>
      </w:r>
      <w:r>
        <w:t xml:space="preserve">— a farmer’s formal challenge to a decision. Appeals have their own lifecycle (Draft → Submitted → Acknowledged → Under Review → Resolved/Closed — see</w:t>
      </w:r>
      <w:r>
        <w:t xml:space="preserve"> </w:t>
      </w:r>
      <w:r>
        <w:rPr>
          <w:bCs/>
          <w:b/>
        </w:rPr>
        <w:t xml:space="preserve">MD.72</w:t>
      </w:r>
      <w:r>
        <w:t xml:space="preserve">).</w:t>
      </w:r>
    </w:p>
    <w:bookmarkEnd w:id="33"/>
    <w:bookmarkStart w:id="34" w:name="inputs-vouchers-and-distribution"/>
    <w:p>
      <w:pPr>
        <w:pStyle w:val="Heading2"/>
      </w:pPr>
      <w:r>
        <w:t xml:space="preserve">4.3 Inputs, vouchers and distribution</w:t>
      </w:r>
    </w:p>
    <w:p>
      <w:pPr>
        <w:numPr>
          <w:ilvl w:val="0"/>
          <w:numId w:val="1006"/>
        </w:numPr>
        <w:pStyle w:val="Compact"/>
      </w:pPr>
      <w:r>
        <w:rPr>
          <w:bCs/>
          <w:b/>
        </w:rPr>
        <w:t xml:space="preserve">Input</w:t>
      </w:r>
      <w:r>
        <w:t xml:space="preserve"> </w:t>
      </w:r>
      <w:r>
        <w:t xml:space="preserve">— a physical agricultural item distributed under a programme, such as maize seed, NPK fertiliser or urea. Inputs are catalogued in master data (</w:t>
      </w:r>
      <w:r>
        <w:rPr>
          <w:bCs/>
          <w:b/>
        </w:rPr>
        <w:t xml:space="preserve">MD.27, MD.44, MD.91</w:t>
      </w:r>
      <w:r>
        <w:t xml:space="preserve">).</w:t>
      </w:r>
    </w:p>
    <w:p>
      <w:pPr>
        <w:numPr>
          <w:ilvl w:val="0"/>
          <w:numId w:val="1006"/>
        </w:numPr>
        <w:pStyle w:val="Compact"/>
      </w:pPr>
      <w:r>
        <w:rPr>
          <w:bCs/>
          <w:b/>
        </w:rPr>
        <w:t xml:space="preserve">Supplier / Agro-Dealer</w:t>
      </w:r>
      <w:r>
        <w:t xml:space="preserve"> </w:t>
      </w:r>
      <w:r>
        <w:t xml:space="preserve">— a company or dealer that provides inputs to the programme. Suppliers are registered so their stock and performance can be tracked.</w:t>
      </w:r>
    </w:p>
    <w:p>
      <w:pPr>
        <w:numPr>
          <w:ilvl w:val="0"/>
          <w:numId w:val="1006"/>
        </w:numPr>
        <w:pStyle w:val="Compact"/>
      </w:pPr>
      <w:r>
        <w:rPr>
          <w:bCs/>
          <w:b/>
        </w:rPr>
        <w:t xml:space="preserve">Inventory</w:t>
      </w:r>
      <w:r>
        <w:t xml:space="preserve"> </w:t>
      </w:r>
      <w:r>
        <w:t xml:space="preserve">— the stock of each input held at each resource centre, expressed as</w:t>
      </w:r>
      <w:r>
        <w:t xml:space="preserve"> </w:t>
      </w:r>
      <w:r>
        <w:rPr>
          <w:bCs/>
          <w:b/>
        </w:rPr>
        <w:t xml:space="preserve">quantity on hand</w:t>
      </w:r>
      <w:r>
        <w:t xml:space="preserve">. Redeeming a voucher decreases the relevant inventory.</w:t>
      </w:r>
    </w:p>
    <w:p>
      <w:pPr>
        <w:numPr>
          <w:ilvl w:val="0"/>
          <w:numId w:val="1006"/>
        </w:numPr>
        <w:pStyle w:val="Compact"/>
      </w:pPr>
      <w:r>
        <w:rPr>
          <w:bCs/>
          <w:b/>
        </w:rPr>
        <w:t xml:space="preserve">Stock Transaction</w:t>
      </w:r>
      <w:r>
        <w:t xml:space="preserve"> </w:t>
      </w:r>
      <w:r>
        <w:t xml:space="preserve">— a recorded movement of stock (a receipt into a centre, an issue out of it, or an adjustment). Stock transactions keep inventory accurate.</w:t>
      </w:r>
    </w:p>
    <w:p>
      <w:pPr>
        <w:numPr>
          <w:ilvl w:val="0"/>
          <w:numId w:val="1006"/>
        </w:numPr>
        <w:pStyle w:val="Compact"/>
      </w:pPr>
      <w:r>
        <w:rPr>
          <w:bCs/>
          <w:b/>
        </w:rPr>
        <w:t xml:space="preserve">Allocation Plan</w:t>
      </w:r>
      <w:r>
        <w:t xml:space="preserve"> </w:t>
      </w:r>
      <w:r>
        <w:t xml:space="preserve">— the plan that assigns quantities of inputs to centres and beneficiaries for a campaign, before vouchers are issued.</w:t>
      </w:r>
    </w:p>
    <w:p>
      <w:pPr>
        <w:numPr>
          <w:ilvl w:val="0"/>
          <w:numId w:val="1006"/>
        </w:numPr>
        <w:pStyle w:val="Compact"/>
      </w:pPr>
      <w:r>
        <w:rPr>
          <w:bCs/>
          <w:b/>
        </w:rPr>
        <w:t xml:space="preserve">Voucher</w:t>
      </w:r>
      <w:r>
        <w:t xml:space="preserve"> </w:t>
      </w:r>
      <w:r>
        <w:t xml:space="preserve">— an electronic entitlement to collect a specific quantity of an input at a specific resource centre. A voucher has a code (for example</w:t>
      </w:r>
      <w:r>
        <w:t xml:space="preserve"> </w:t>
      </w:r>
      <w:r>
        <w:rPr>
          <w:rStyle w:val="VerbatimChar"/>
        </w:rPr>
        <w:t xml:space="preserve">VCH-YYYYMMDD-NNNN</w:t>
      </w:r>
      <w:r>
        <w:t xml:space="preserve">) and moves through a lifecycle:</w:t>
      </w:r>
      <w:r>
        <w:t xml:space="preserve"> </w:t>
      </w:r>
      <w:r>
        <w:rPr>
          <w:bCs/>
          <w:b/>
        </w:rPr>
        <w:t xml:space="preserve">issued → redeemed</w:t>
      </w:r>
      <w:r>
        <w:t xml:space="preserve"> </w:t>
      </w:r>
      <w:r>
        <w:t xml:space="preserve">(or</w:t>
      </w:r>
      <w:r>
        <w:t xml:space="preserve"> </w:t>
      </w:r>
      <w:r>
        <w:rPr>
          <w:bCs/>
          <w:b/>
        </w:rPr>
        <w:t xml:space="preserve">cancelled</w:t>
      </w:r>
      <w:r>
        <w:t xml:space="preserve"> </w:t>
      </w:r>
      <w:r>
        <w:t xml:space="preserve">/</w:t>
      </w:r>
      <w:r>
        <w:t xml:space="preserve"> </w:t>
      </w:r>
      <w:r>
        <w:rPr>
          <w:bCs/>
          <w:b/>
        </w:rPr>
        <w:t xml:space="preserve">expired</w:t>
      </w:r>
      <w:r>
        <w:t xml:space="preserve">). Vouchers link the entitlement (what the farmer was approved for) to the physical hand-over of goods.</w:t>
      </w:r>
    </w:p>
    <w:p>
      <w:pPr>
        <w:numPr>
          <w:ilvl w:val="0"/>
          <w:numId w:val="1006"/>
        </w:numPr>
        <w:pStyle w:val="Compact"/>
      </w:pPr>
      <w:r>
        <w:rPr>
          <w:bCs/>
          <w:b/>
        </w:rPr>
        <w:t xml:space="preserve">Redemption</w:t>
      </w:r>
      <w:r>
        <w:t xml:space="preserve"> </w:t>
      </w:r>
      <w:r>
        <w:t xml:space="preserve">— the act of a farmer collecting their inputs at a resource centre. A field officer records the redemption on the</w:t>
      </w:r>
      <w:r>
        <w:t xml:space="preserve"> </w:t>
      </w:r>
      <w:r>
        <w:rPr>
          <w:bCs/>
          <w:b/>
        </w:rPr>
        <w:t xml:space="preserve">Redeem Voucher</w:t>
      </w:r>
      <w:r>
        <w:t xml:space="preserve"> </w:t>
      </w:r>
      <w:r>
        <w:t xml:space="preserve">screen. Redeeming a voucher does three things atomically (all together, or none): it flips the voucher status from</w:t>
      </w:r>
      <w:r>
        <w:t xml:space="preserve"> </w:t>
      </w:r>
      <w:r>
        <w:rPr>
          <w:iCs/>
          <w:i/>
        </w:rPr>
        <w:t xml:space="preserve">issued</w:t>
      </w:r>
      <w:r>
        <w:t xml:space="preserve"> </w:t>
      </w:r>
      <w:r>
        <w:t xml:space="preserve">to</w:t>
      </w:r>
      <w:r>
        <w:t xml:space="preserve"> </w:t>
      </w:r>
      <w:r>
        <w:rPr>
          <w:iCs/>
          <w:i/>
        </w:rPr>
        <w:t xml:space="preserve">redeemed</w:t>
      </w:r>
      <w:r>
        <w:t xml:space="preserve">, it decreases the centre’s inventory, and it writes a</w:t>
      </w:r>
      <w:r>
        <w:t xml:space="preserve"> </w:t>
      </w:r>
      <w:r>
        <w:rPr>
          <w:bCs/>
          <w:b/>
        </w:rPr>
        <w:t xml:space="preserve">redemption audit</w:t>
      </w:r>
      <w:r>
        <w:t xml:space="preserve"> </w:t>
      </w:r>
      <w:r>
        <w:t xml:space="preserve">record and the corresponding budget event.</w:t>
      </w:r>
    </w:p>
    <w:p>
      <w:pPr>
        <w:numPr>
          <w:ilvl w:val="0"/>
          <w:numId w:val="1006"/>
        </w:numPr>
        <w:pStyle w:val="Compact"/>
      </w:pPr>
      <w:r>
        <w:rPr>
          <w:bCs/>
          <w:b/>
        </w:rPr>
        <w:t xml:space="preserve">Distribution Receipt</w:t>
      </w:r>
      <w:r>
        <w:t xml:space="preserve"> </w:t>
      </w:r>
      <w:r>
        <w:t xml:space="preserve">— the record confirming inputs were handed over, used for reconciliation at the end of a campaign.</w:t>
      </w:r>
    </w:p>
    <w:p>
      <w:pPr>
        <w:numPr>
          <w:ilvl w:val="0"/>
          <w:numId w:val="1006"/>
        </w:numPr>
        <w:pStyle w:val="Compact"/>
      </w:pPr>
      <w:r>
        <w:rPr>
          <w:bCs/>
          <w:b/>
        </w:rPr>
        <w:t xml:space="preserve">Campaign / Agricultural Season</w:t>
      </w:r>
      <w:r>
        <w:t xml:space="preserve"> </w:t>
      </w:r>
      <w:r>
        <w:t xml:space="preserve">— a time-bounded distribution cycle (for example a planting season) against which allocations, vouchers and reconciliation are organised.</w:t>
      </w:r>
    </w:p>
    <w:bookmarkEnd w:id="34"/>
    <w:bookmarkStart w:id="35" w:name="budget-and-money"/>
    <w:p>
      <w:pPr>
        <w:pStyle w:val="Heading2"/>
      </w:pPr>
      <w:r>
        <w:t xml:space="preserve">4.4 Budget and money</w:t>
      </w:r>
    </w:p>
    <w:p>
      <w:pPr>
        <w:pStyle w:val="FirstParagraph"/>
      </w:pPr>
      <w:r>
        <w:t xml:space="preserve">The</w:t>
      </w:r>
      <w:r>
        <w:t xml:space="preserve"> </w:t>
      </w:r>
      <w:r>
        <w:rPr>
          <w:bCs/>
          <w:b/>
        </w:rPr>
        <w:t xml:space="preserve">Budget Engine</w:t>
      </w:r>
      <w:r>
        <w:t xml:space="preserve"> </w:t>
      </w:r>
      <w:r>
        <w:t xml:space="preserve">enforces financial control so the Ministry never distributes more than it has funded. It works with a small number of concepts:</w:t>
      </w:r>
    </w:p>
    <w:p>
      <w:pPr>
        <w:numPr>
          <w:ilvl w:val="0"/>
          <w:numId w:val="1007"/>
        </w:numPr>
        <w:pStyle w:val="Compact"/>
      </w:pPr>
      <w:r>
        <w:rPr>
          <w:bCs/>
          <w:b/>
        </w:rPr>
        <w:t xml:space="preserve">Budget Envelope</w:t>
      </w:r>
      <w:r>
        <w:t xml:space="preserve"> </w:t>
      </w:r>
      <w:r>
        <w:t xml:space="preserve">— a pot of allocated money for a specific programme and funding source. It has an</w:t>
      </w:r>
      <w:r>
        <w:t xml:space="preserve"> </w:t>
      </w:r>
      <w:r>
        <w:rPr>
          <w:bCs/>
          <w:b/>
        </w:rPr>
        <w:t xml:space="preserve">allocated</w:t>
      </w:r>
      <w:r>
        <w:t xml:space="preserve"> </w:t>
      </w:r>
      <w:r>
        <w:t xml:space="preserve">amount (the ceiling) and tracks how much of that ceiling has been committed and spent.</w:t>
      </w:r>
    </w:p>
    <w:p>
      <w:pPr>
        <w:numPr>
          <w:ilvl w:val="0"/>
          <w:numId w:val="1007"/>
        </w:numPr>
        <w:pStyle w:val="Compact"/>
      </w:pPr>
      <w:r>
        <w:rPr>
          <w:bCs/>
          <w:b/>
        </w:rPr>
        <w:t xml:space="preserve">Funding Source / Donor</w:t>
      </w:r>
      <w:r>
        <w:t xml:space="preserve"> </w:t>
      </w:r>
      <w:r>
        <w:t xml:space="preserve">— where the money comes from. Donors include the</w:t>
      </w:r>
      <w:r>
        <w:t xml:space="preserve"> </w:t>
      </w:r>
      <w:r>
        <w:rPr>
          <w:bCs/>
          <w:b/>
        </w:rPr>
        <w:t xml:space="preserve">MAFSN Domestic Budget</w:t>
      </w:r>
      <w:r>
        <w:t xml:space="preserve">, the</w:t>
      </w:r>
      <w:r>
        <w:t xml:space="preserve"> </w:t>
      </w:r>
      <w:r>
        <w:rPr>
          <w:bCs/>
          <w:b/>
        </w:rPr>
        <w:t xml:space="preserve">European Union (DG INTPA)</w:t>
      </w:r>
      <w:r>
        <w:t xml:space="preserve">, the</w:t>
      </w:r>
      <w:r>
        <w:t xml:space="preserve"> </w:t>
      </w:r>
      <w:r>
        <w:rPr>
          <w:bCs/>
          <w:b/>
        </w:rPr>
        <w:t xml:space="preserve">World Bank (IDA)</w:t>
      </w:r>
      <w:r>
        <w:t xml:space="preserve"> </w:t>
      </w:r>
      <w:r>
        <w:t xml:space="preserve">and the</w:t>
      </w:r>
      <w:r>
        <w:t xml:space="preserve"> </w:t>
      </w:r>
      <w:r>
        <w:rPr>
          <w:bCs/>
          <w:b/>
        </w:rPr>
        <w:t xml:space="preserve">World Food Programme (WFP)</w:t>
      </w:r>
      <w:r>
        <w:t xml:space="preserve"> </w:t>
      </w:r>
      <w:r>
        <w:t xml:space="preserve">(see</w:t>
      </w:r>
      <w:r>
        <w:t xml:space="preserve"> </w:t>
      </w:r>
      <w:r>
        <w:rPr>
          <w:bCs/>
          <w:b/>
        </w:rPr>
        <w:t xml:space="preserve">MD.94</w:t>
      </w:r>
      <w:r>
        <w:t xml:space="preserve">). One programme can be funded by several donors, each with a defined share.</w:t>
      </w:r>
    </w:p>
    <w:p>
      <w:pPr>
        <w:numPr>
          <w:ilvl w:val="0"/>
          <w:numId w:val="1007"/>
        </w:numPr>
        <w:pStyle w:val="Compact"/>
      </w:pPr>
      <w:r>
        <w:rPr>
          <w:bCs/>
          <w:b/>
        </w:rPr>
        <w:t xml:space="preserve">Budget Event</w:t>
      </w:r>
      <w:r>
        <w:t xml:space="preserve"> </w:t>
      </w:r>
      <w:r>
        <w:t xml:space="preserve">— a single entry in the budget ledger. Events follow the money through its life. The system uses six event types:</w:t>
      </w:r>
    </w:p>
    <w:p>
      <w:pPr>
        <w:numPr>
          <w:ilvl w:val="1"/>
          <w:numId w:val="1008"/>
        </w:numPr>
        <w:pStyle w:val="Compact"/>
      </w:pPr>
      <w:r>
        <w:rPr>
          <w:bCs/>
          <w:b/>
        </w:rPr>
        <w:t xml:space="preserve">PRE_COMMITMENT</w:t>
      </w:r>
      <w:r>
        <w:t xml:space="preserve"> </w:t>
      </w:r>
      <w:r>
        <w:t xml:space="preserve">— money earmarked provisionally (e.g. when an application is being processed).</w:t>
      </w:r>
    </w:p>
    <w:p>
      <w:pPr>
        <w:numPr>
          <w:ilvl w:val="1"/>
          <w:numId w:val="1008"/>
        </w:numPr>
        <w:pStyle w:val="Compact"/>
      </w:pPr>
      <w:r>
        <w:rPr>
          <w:bCs/>
          <w:b/>
        </w:rPr>
        <w:t xml:space="preserve">RESERVATION</w:t>
      </w:r>
      <w:r>
        <w:t xml:space="preserve"> </w:t>
      </w:r>
      <w:r>
        <w:t xml:space="preserve">— money set aside for a specific approved entitlement.</w:t>
      </w:r>
    </w:p>
    <w:p>
      <w:pPr>
        <w:numPr>
          <w:ilvl w:val="1"/>
          <w:numId w:val="1008"/>
        </w:numPr>
        <w:pStyle w:val="Compact"/>
      </w:pPr>
      <w:r>
        <w:rPr>
          <w:bCs/>
          <w:b/>
        </w:rPr>
        <w:t xml:space="preserve">COMMITMENT</w:t>
      </w:r>
      <w:r>
        <w:t xml:space="preserve"> </w:t>
      </w:r>
      <w:r>
        <w:t xml:space="preserve">— money firmly committed when a voucher is issued (the Ministry has now promised these goods).</w:t>
      </w:r>
    </w:p>
    <w:p>
      <w:pPr>
        <w:numPr>
          <w:ilvl w:val="1"/>
          <w:numId w:val="1008"/>
        </w:numPr>
        <w:pStyle w:val="Compact"/>
      </w:pPr>
      <w:r>
        <w:rPr>
          <w:bCs/>
          <w:b/>
        </w:rPr>
        <w:t xml:space="preserve">EXPENSE</w:t>
      </w:r>
      <w:r>
        <w:t xml:space="preserve"> </w:t>
      </w:r>
      <w:r>
        <w:t xml:space="preserve">— money actually spent, posted when a voucher is redeemed and goods change hands.</w:t>
      </w:r>
    </w:p>
    <w:p>
      <w:pPr>
        <w:numPr>
          <w:ilvl w:val="1"/>
          <w:numId w:val="1008"/>
        </w:numPr>
        <w:pStyle w:val="Compact"/>
      </w:pPr>
      <w:r>
        <w:rPr>
          <w:bCs/>
          <w:b/>
        </w:rPr>
        <w:t xml:space="preserve">RELEASE_RESERVATION</w:t>
      </w:r>
      <w:r>
        <w:t xml:space="preserve"> </w:t>
      </w:r>
      <w:r>
        <w:t xml:space="preserve">/</w:t>
      </w:r>
      <w:r>
        <w:t xml:space="preserve"> </w:t>
      </w:r>
      <w:r>
        <w:rPr>
          <w:bCs/>
          <w:b/>
        </w:rPr>
        <w:t xml:space="preserve">RELEASE_COMMITMENT</w:t>
      </w:r>
      <w:r>
        <w:t xml:space="preserve"> </w:t>
      </w:r>
      <w:r>
        <w:t xml:space="preserve">— money freed back to the envelope when a reservation or commitment is cancelled (for example a cancelled or expired voucher).</w:t>
      </w:r>
    </w:p>
    <w:p>
      <w:pPr>
        <w:numPr>
          <w:ilvl w:val="0"/>
          <w:numId w:val="1007"/>
        </w:numPr>
        <w:pStyle w:val="Compact"/>
      </w:pPr>
      <w:r>
        <w:rPr>
          <w:bCs/>
          <w:b/>
        </w:rPr>
        <w:t xml:space="preserve">General Ledger (GL)</w:t>
      </w:r>
      <w:r>
        <w:t xml:space="preserve"> </w:t>
      </w:r>
      <w:r>
        <w:t xml:space="preserve">— the complete, permanent list of budget events, from which every financial report is derived.</w:t>
      </w:r>
    </w:p>
    <w:p>
      <w:pPr>
        <w:numPr>
          <w:ilvl w:val="0"/>
          <w:numId w:val="1007"/>
        </w:numPr>
        <w:pStyle w:val="Compact"/>
      </w:pPr>
      <w:r>
        <w:rPr>
          <w:bCs/>
          <w:b/>
        </w:rPr>
        <w:t xml:space="preserve">Beneficiary Subledger</w:t>
      </w:r>
      <w:r>
        <w:t xml:space="preserve"> </w:t>
      </w:r>
      <w:r>
        <w:t xml:space="preserve">— the per-farmer accounting view showing what has been committed and spent for each individual.</w:t>
      </w:r>
    </w:p>
    <w:p>
      <w:pPr>
        <w:numPr>
          <w:ilvl w:val="0"/>
          <w:numId w:val="1007"/>
        </w:numPr>
        <w:pStyle w:val="Compact"/>
      </w:pPr>
      <w:r>
        <w:rPr>
          <w:bCs/>
          <w:b/>
        </w:rPr>
        <w:t xml:space="preserve">Variance</w:t>
      </w:r>
      <w:r>
        <w:t xml:space="preserve"> </w:t>
      </w:r>
      <w:r>
        <w:t xml:space="preserve">— the difference between what was allocated and what has been committed/spent; used to spot over- or under-utilisation.</w:t>
      </w:r>
    </w:p>
    <w:p>
      <w:pPr>
        <w:numPr>
          <w:ilvl w:val="0"/>
          <w:numId w:val="1007"/>
        </w:numPr>
        <w:pStyle w:val="Compact"/>
      </w:pPr>
      <w:r>
        <w:rPr>
          <w:bCs/>
          <w:b/>
        </w:rPr>
        <w:t xml:space="preserve">Threshold Alert</w:t>
      </w:r>
      <w:r>
        <w:t xml:space="preserve"> </w:t>
      </w:r>
      <w:r>
        <w:t xml:space="preserve">— an automatic warning raised when an envelope’s utilisation crosses a configured level (for example nearly exhausted).</w:t>
      </w:r>
    </w:p>
    <w:p>
      <w:pPr>
        <w:numPr>
          <w:ilvl w:val="0"/>
          <w:numId w:val="1007"/>
        </w:numPr>
        <w:pStyle w:val="Compact"/>
      </w:pPr>
      <w:r>
        <w:rPr>
          <w:bCs/>
          <w:b/>
        </w:rPr>
        <w:t xml:space="preserve">Roll-forward</w:t>
      </w:r>
      <w:r>
        <w:t xml:space="preserve"> </w:t>
      </w:r>
      <w:r>
        <w:t xml:space="preserve">— carrying an envelope’s unspent balance from one period into the next.</w:t>
      </w:r>
    </w:p>
    <w:p>
      <w:pPr>
        <w:pStyle w:val="FirstParagraph"/>
      </w:pPr>
      <w:r>
        <w:t xml:space="preserve">The typical flow of a single benefit through the budget is:</w:t>
      </w:r>
      <w:r>
        <w:t xml:space="preserve"> </w:t>
      </w:r>
      <w:r>
        <w:rPr>
          <w:bCs/>
          <w:b/>
        </w:rPr>
        <w:t xml:space="preserve">RESERVATION</w:t>
      </w:r>
      <w:r>
        <w:t xml:space="preserve"> </w:t>
      </w:r>
      <w:r>
        <w:t xml:space="preserve">(on approval) →</w:t>
      </w:r>
      <w:r>
        <w:t xml:space="preserve"> </w:t>
      </w:r>
      <w:r>
        <w:rPr>
          <w:bCs/>
          <w:b/>
        </w:rPr>
        <w:t xml:space="preserve">COMMITMENT</w:t>
      </w:r>
      <w:r>
        <w:t xml:space="preserve"> </w:t>
      </w:r>
      <w:r>
        <w:t xml:space="preserve">(on voucher issue) →</w:t>
      </w:r>
      <w:r>
        <w:t xml:space="preserve"> </w:t>
      </w:r>
      <w:r>
        <w:rPr>
          <w:bCs/>
          <w:b/>
        </w:rPr>
        <w:t xml:space="preserve">EXPENSE</w:t>
      </w:r>
      <w:r>
        <w:t xml:space="preserve"> </w:t>
      </w:r>
      <w:r>
        <w:t xml:space="preserve">(on redemption). If the benefit is cancelled at any stage, a matching</w:t>
      </w:r>
      <w:r>
        <w:t xml:space="preserve"> </w:t>
      </w:r>
      <w:r>
        <w:rPr>
          <w:bCs/>
          <w:b/>
        </w:rPr>
        <w:t xml:space="preserve">RELEASE</w:t>
      </w:r>
      <w:r>
        <w:t xml:space="preserve"> </w:t>
      </w:r>
      <w:r>
        <w:t xml:space="preserve">event returns the money.</w:t>
      </w:r>
    </w:p>
    <w:bookmarkEnd w:id="35"/>
    <w:bookmarkStart w:id="36" w:name="configuration-and-system-concepts"/>
    <w:p>
      <w:pPr>
        <w:pStyle w:val="Heading2"/>
      </w:pPr>
      <w:r>
        <w:t xml:space="preserve">4.5 Configuration and system concepts</w:t>
      </w:r>
    </w:p>
    <w:p>
      <w:pPr>
        <w:numPr>
          <w:ilvl w:val="0"/>
          <w:numId w:val="1009"/>
        </w:numPr>
        <w:pStyle w:val="Compact"/>
      </w:pPr>
      <w:r>
        <w:rPr>
          <w:bCs/>
          <w:b/>
        </w:rPr>
        <w:t xml:space="preserve">Master Data (MD)</w:t>
      </w:r>
      <w:r>
        <w:t xml:space="preserve"> </w:t>
      </w:r>
      <w:r>
        <w:t xml:space="preserve">— the controlled lists of standard values used in drop-downs across the system, such as districts, crops, livestock types, document types and statuses. There are around 95 master-data catalogues, numbered</w:t>
      </w:r>
      <w:r>
        <w:t xml:space="preserve"> </w:t>
      </w:r>
      <w:r>
        <w:rPr>
          <w:bCs/>
          <w:b/>
        </w:rPr>
        <w:t xml:space="preserve">MD.01</w:t>
      </w:r>
      <w:r>
        <w:t xml:space="preserve"> </w:t>
      </w:r>
      <w:r>
        <w:t xml:space="preserve">to</w:t>
      </w:r>
      <w:r>
        <w:t xml:space="preserve"> </w:t>
      </w:r>
      <w:r>
        <w:rPr>
          <w:bCs/>
          <w:b/>
        </w:rPr>
        <w:t xml:space="preserve">MD.95</w:t>
      </w:r>
      <w:r>
        <w:t xml:space="preserve"> </w:t>
      </w:r>
      <w:r>
        <w:t xml:space="preserve">(see Section 8). Keeping master data correct is essential, because forms and rules reference these values.</w:t>
      </w:r>
    </w:p>
    <w:p>
      <w:pPr>
        <w:numPr>
          <w:ilvl w:val="0"/>
          <w:numId w:val="1009"/>
        </w:numPr>
        <w:pStyle w:val="Compact"/>
      </w:pPr>
      <w:r>
        <w:rPr>
          <w:bCs/>
          <w:b/>
        </w:rPr>
        <w:t xml:space="preserve">Metamodel / MM-Configuration</w:t>
      </w:r>
      <w:r>
        <w:t xml:space="preserve"> </w:t>
      </w:r>
      <w:r>
        <w:t xml:space="preserve">— the set of configuration tables that</w:t>
      </w:r>
      <w:r>
        <w:t xml:space="preserve"> </w:t>
      </w:r>
      <w:r>
        <w:rPr>
          <w:iCs/>
          <w:i/>
        </w:rPr>
        <w:t xml:space="preserve">define the shape of a service</w:t>
      </w:r>
      <w:r>
        <w:t xml:space="preserve"> </w:t>
      </w:r>
      <w:r>
        <w:t xml:space="preserve">without programming: which institution owns it, which screens and fields it has, which documents it requires, which fees and benefits apply, and which rules govern it. This is the engine that makes the platform configuration-driven (see Section 5.7).</w:t>
      </w:r>
    </w:p>
    <w:p>
      <w:pPr>
        <w:numPr>
          <w:ilvl w:val="0"/>
          <w:numId w:val="1009"/>
        </w:numPr>
        <w:pStyle w:val="Compact"/>
      </w:pPr>
      <w:r>
        <w:rPr>
          <w:bCs/>
          <w:b/>
        </w:rPr>
        <w:t xml:space="preserve">Registry</w:t>
      </w:r>
      <w:r>
        <w:t xml:space="preserve"> </w:t>
      </w:r>
      <w:r>
        <w:t xml:space="preserve">— the authoritative store of registered farmers and parcels.</w:t>
      </w:r>
    </w:p>
    <w:p>
      <w:pPr>
        <w:numPr>
          <w:ilvl w:val="0"/>
          <w:numId w:val="1009"/>
        </w:numPr>
        <w:pStyle w:val="Compact"/>
      </w:pPr>
      <w:r>
        <w:rPr>
          <w:bCs/>
          <w:b/>
        </w:rPr>
        <w:t xml:space="preserve">Identity Resolver</w:t>
      </w:r>
      <w:r>
        <w:t xml:space="preserve"> </w:t>
      </w:r>
      <w:r>
        <w:t xml:space="preserve">— a helper that looks up a person by their National ID and automatically fills their identity fields on a new form, so officers do not re-key data that is already held.</w:t>
      </w:r>
    </w:p>
    <w:p>
      <w:pPr>
        <w:numPr>
          <w:ilvl w:val="0"/>
          <w:numId w:val="1009"/>
        </w:numPr>
        <w:pStyle w:val="Compact"/>
      </w:pPr>
      <w:r>
        <w:rPr>
          <w:bCs/>
          <w:b/>
        </w:rPr>
        <w:t xml:space="preserve">Notification</w:t>
      </w:r>
      <w:r>
        <w:t xml:space="preserve"> </w:t>
      </w:r>
      <w:r>
        <w:t xml:space="preserve">— an automated message (email or other channel) sent to farmers or staff when something happens, for example when an application changes status. Notifications are driven by</w:t>
      </w:r>
      <w:r>
        <w:t xml:space="preserve"> </w:t>
      </w:r>
      <w:r>
        <w:rPr>
          <w:bCs/>
          <w:b/>
        </w:rPr>
        <w:t xml:space="preserve">templates</w:t>
      </w:r>
      <w:r>
        <w:t xml:space="preserve"> </w:t>
      </w:r>
      <w:r>
        <w:t xml:space="preserve">and processed through a</w:t>
      </w:r>
      <w:r>
        <w:t xml:space="preserve"> </w:t>
      </w:r>
      <w:r>
        <w:rPr>
          <w:bCs/>
          <w:b/>
        </w:rPr>
        <w:t xml:space="preserve">queue</w:t>
      </w:r>
      <w:r>
        <w:t xml:space="preserve">.</w:t>
      </w:r>
    </w:p>
    <w:p>
      <w:pPr>
        <w:numPr>
          <w:ilvl w:val="0"/>
          <w:numId w:val="1009"/>
        </w:numPr>
        <w:pStyle w:val="Compact"/>
      </w:pPr>
      <w:r>
        <w:rPr>
          <w:bCs/>
          <w:b/>
        </w:rPr>
        <w:t xml:space="preserve">Audit Trail</w:t>
      </w:r>
      <w:r>
        <w:t xml:space="preserve"> </w:t>
      </w:r>
      <w:r>
        <w:t xml:space="preserve">— the tamper-evident log of who did what and when. Every significant action (a status change, a decision, a redemption) is recorded, supporting accountability and investigation.</w:t>
      </w:r>
    </w:p>
    <w:p>
      <w:pPr>
        <w:numPr>
          <w:ilvl w:val="0"/>
          <w:numId w:val="1009"/>
        </w:numPr>
        <w:pStyle w:val="Compact"/>
      </w:pPr>
      <w:r>
        <w:rPr>
          <w:bCs/>
          <w:b/>
        </w:rPr>
        <w:t xml:space="preserve">API Key</w:t>
      </w:r>
      <w:r>
        <w:t xml:space="preserve"> </w:t>
      </w:r>
      <w:r>
        <w:t xml:space="preserve">— a credential used by other computer systems (not people) to exchange data with the FRS securely. Managed by the System Administrator.</w:t>
      </w:r>
    </w:p>
    <w:p>
      <w:pPr>
        <w:numPr>
          <w:ilvl w:val="0"/>
          <w:numId w:val="1009"/>
        </w:numPr>
        <w:pStyle w:val="Compact"/>
      </w:pPr>
      <w:r>
        <w:rPr>
          <w:bCs/>
          <w:b/>
        </w:rPr>
        <w:t xml:space="preserve">KPI (Key Performance Indicator)</w:t>
      </w:r>
      <w:r>
        <w:t xml:space="preserve"> </w:t>
      </w:r>
      <w:r>
        <w:t xml:space="preserve">— a headline number shown on the dashboard, such as</w:t>
      </w:r>
      <w:r>
        <w:t xml:space="preserve"> </w:t>
      </w:r>
      <w:r>
        <w:rPr>
          <w:iCs/>
          <w:i/>
        </w:rPr>
        <w:t xml:space="preserve">Farmers Registered</w:t>
      </w:r>
      <w:r>
        <w:t xml:space="preserve"> </w:t>
      </w:r>
      <w:r>
        <w:t xml:space="preserve">or</w:t>
      </w:r>
      <w:r>
        <w:t xml:space="preserve"> </w:t>
      </w:r>
      <w:r>
        <w:rPr>
          <w:iCs/>
          <w:i/>
        </w:rPr>
        <w:t xml:space="preserve">Budget Committed</w:t>
      </w:r>
      <w:r>
        <w:t xml:space="preserve">.</w:t>
      </w:r>
    </w:p>
    <w:bookmarkEnd w:id="36"/>
    <w:bookmarkEnd w:id="37"/>
    <w:bookmarkStart w:id="47" w:name="the-modules-screen-by-screen"/>
    <w:p>
      <w:pPr>
        <w:pStyle w:val="Heading1"/>
      </w:pPr>
      <w:r>
        <w:t xml:space="preserve">5. The Modules (screen by screen)</w:t>
      </w:r>
    </w:p>
    <w:p>
      <w:pPr>
        <w:pStyle w:val="FirstParagraph"/>
      </w:pPr>
      <w:r>
        <w:t xml:space="preserve">This section walks through every module in the left-hand menu and explains each screen inside it. Remember that you will only see the modules your role permits (Section 3).</w:t>
      </w:r>
    </w:p>
    <w:bookmarkStart w:id="38" w:name="dashboard"/>
    <w:p>
      <w:pPr>
        <w:pStyle w:val="Heading2"/>
      </w:pPr>
      <w:r>
        <w:t xml:space="preserve">5.1 Dashboard</w:t>
      </w:r>
    </w:p>
    <w:p>
      <w:pPr>
        <w:pStyle w:val="FirstParagraph"/>
      </w:pPr>
      <w:r>
        <w:t xml:space="preserve">The Dashboard gives a live, read-only overview of the whole programme. It refreshes each time you open it.</w:t>
      </w:r>
    </w:p>
    <w:p>
      <w:pPr>
        <w:numPr>
          <w:ilvl w:val="0"/>
          <w:numId w:val="1010"/>
        </w:numPr>
        <w:pStyle w:val="Compact"/>
      </w:pPr>
      <w:r>
        <w:rPr>
          <w:bCs/>
          <w:b/>
        </w:rPr>
        <w:t xml:space="preserve">Executive Overview</w:t>
      </w:r>
      <w:r>
        <w:t xml:space="preserve"> </w:t>
      </w:r>
      <w:r>
        <w:t xml:space="preserve">— the headline page. It shows eight</w:t>
      </w:r>
      <w:r>
        <w:t xml:space="preserve"> </w:t>
      </w:r>
      <w:r>
        <w:rPr>
          <w:bCs/>
          <w:b/>
        </w:rPr>
        <w:t xml:space="preserve">KPI tiles</w:t>
      </w:r>
      <w:r>
        <w:t xml:space="preserve">:</w:t>
      </w:r>
      <w:r>
        <w:t xml:space="preserve"> </w:t>
      </w:r>
      <w:r>
        <w:rPr>
          <w:iCs/>
          <w:i/>
        </w:rPr>
        <w:t xml:space="preserve">Farmers Registered</w:t>
      </w:r>
      <w:r>
        <w:t xml:space="preserve">,</w:t>
      </w:r>
      <w:r>
        <w:t xml:space="preserve"> </w:t>
      </w:r>
      <w:r>
        <w:rPr>
          <w:iCs/>
          <w:i/>
        </w:rPr>
        <w:t xml:space="preserve">Parcels Captured</w:t>
      </w:r>
      <w:r>
        <w:t xml:space="preserve">,</w:t>
      </w:r>
      <w:r>
        <w:t xml:space="preserve"> </w:t>
      </w:r>
      <w:r>
        <w:rPr>
          <w:iCs/>
          <w:i/>
        </w:rPr>
        <w:t xml:space="preserve">Active Programmes</w:t>
      </w:r>
      <w:r>
        <w:t xml:space="preserve">,</w:t>
      </w:r>
      <w:r>
        <w:t xml:space="preserve"> </w:t>
      </w:r>
      <w:r>
        <w:rPr>
          <w:iCs/>
          <w:i/>
        </w:rPr>
        <w:t xml:space="preserve">Applications Received</w:t>
      </w:r>
      <w:r>
        <w:t xml:space="preserve"> </w:t>
      </w:r>
      <w:r>
        <w:t xml:space="preserve">(with approval rate),</w:t>
      </w:r>
      <w:r>
        <w:t xml:space="preserve"> </w:t>
      </w:r>
      <w:r>
        <w:rPr>
          <w:iCs/>
          <w:i/>
        </w:rPr>
        <w:t xml:space="preserve">Vouchers Issued</w:t>
      </w:r>
      <w:r>
        <w:t xml:space="preserve"> </w:t>
      </w:r>
      <w:r>
        <w:t xml:space="preserve">(with % redeemed),</w:t>
      </w:r>
      <w:r>
        <w:t xml:space="preserve"> </w:t>
      </w:r>
      <w:r>
        <w:rPr>
          <w:iCs/>
          <w:i/>
        </w:rPr>
        <w:t xml:space="preserve">Vouchers Redeemed</w:t>
      </w:r>
      <w:r>
        <w:t xml:space="preserve">,</w:t>
      </w:r>
      <w:r>
        <w:t xml:space="preserve"> </w:t>
      </w:r>
      <w:r>
        <w:rPr>
          <w:iCs/>
          <w:i/>
        </w:rPr>
        <w:t xml:space="preserve">Budget Committed</w:t>
      </w:r>
      <w:r>
        <w:t xml:space="preserve">, and</w:t>
      </w:r>
      <w:r>
        <w:t xml:space="preserve"> </w:t>
      </w:r>
      <w:r>
        <w:rPr>
          <w:iCs/>
          <w:i/>
        </w:rPr>
        <w:t xml:space="preserve">Budget Expensed</w:t>
      </w:r>
      <w:r>
        <w:t xml:space="preserve">. Below the tiles are charts — parcel registrations by month, applications by district and status, voucher status mix, and budget event activity — followed by a per-programme envelope table and a recent budget-activity feed. Each tile and chart is clickable and takes you to the underlying list.</w:t>
      </w:r>
    </w:p>
    <w:p>
      <w:pPr>
        <w:numPr>
          <w:ilvl w:val="0"/>
          <w:numId w:val="1010"/>
        </w:numPr>
        <w:pStyle w:val="Compact"/>
      </w:pPr>
      <w:r>
        <w:rPr>
          <w:bCs/>
          <w:b/>
        </w:rPr>
        <w:t xml:space="preserve">District Map (compact)</w:t>
      </w:r>
      <w:r>
        <w:t xml:space="preserve"> </w:t>
      </w:r>
      <w:r>
        <w:t xml:space="preserve">— a summary map view of activity by district.</w:t>
      </w:r>
    </w:p>
    <w:p>
      <w:pPr>
        <w:numPr>
          <w:ilvl w:val="0"/>
          <w:numId w:val="1010"/>
        </w:numPr>
        <w:pStyle w:val="Compact"/>
      </w:pPr>
      <w:r>
        <w:rPr>
          <w:bCs/>
          <w:b/>
        </w:rPr>
        <w:t xml:space="preserve">District Map (geographic)</w:t>
      </w:r>
      <w:r>
        <w:t xml:space="preserve"> </w:t>
      </w:r>
      <w:r>
        <w:t xml:space="preserve">— a true geographic map of Lesotho showing district-level metrics, useful for seeing coverage and gaps at a glance.</w:t>
      </w:r>
    </w:p>
    <w:bookmarkEnd w:id="38"/>
    <w:bookmarkStart w:id="39" w:name="registration-forms"/>
    <w:p>
      <w:pPr>
        <w:pStyle w:val="Heading2"/>
      </w:pPr>
      <w:r>
        <w:t xml:space="preserve">5.2 Registration Forms</w:t>
      </w:r>
    </w:p>
    <w:p>
      <w:pPr>
        <w:pStyle w:val="FirstParagraph"/>
      </w:pPr>
      <w:r>
        <w:t xml:space="preserve">This is where farmers, their land, and their applications are captured. It is the day-to-day workspace of Field Officers and District Supervisors.</w:t>
      </w:r>
    </w:p>
    <w:p>
      <w:pPr>
        <w:numPr>
          <w:ilvl w:val="0"/>
          <w:numId w:val="1011"/>
        </w:numPr>
        <w:pStyle w:val="Compact"/>
      </w:pPr>
      <w:r>
        <w:rPr>
          <w:bCs/>
          <w:b/>
        </w:rPr>
        <w:t xml:space="preserve">01 – Farmer Registration Form</w:t>
      </w:r>
      <w:r>
        <w:t xml:space="preserve"> </w:t>
      </w:r>
      <w:r>
        <w:t xml:space="preserve">— creates and maintains the core farmer record. It captures, across grouped sections, the farmer’s</w:t>
      </w:r>
      <w:r>
        <w:t xml:space="preserve"> </w:t>
      </w:r>
      <w:r>
        <w:rPr>
          <w:bCs/>
          <w:b/>
        </w:rPr>
        <w:t xml:space="preserve">basic information</w:t>
      </w:r>
      <w:r>
        <w:t xml:space="preserve"> </w:t>
      </w:r>
      <w:r>
        <w:t xml:space="preserve">(names, National ID, date of birth, gender, mobile, email),</w:t>
      </w:r>
      <w:r>
        <w:t xml:space="preserve"> </w:t>
      </w:r>
      <w:r>
        <w:rPr>
          <w:bCs/>
          <w:b/>
        </w:rPr>
        <w:t xml:space="preserve">location and residency</w:t>
      </w:r>
      <w:r>
        <w:t xml:space="preserve"> </w:t>
      </w:r>
      <w:r>
        <w:t xml:space="preserve">(district, agro-ecological zone, village),</w:t>
      </w:r>
      <w:r>
        <w:t xml:space="preserve"> </w:t>
      </w:r>
      <w:r>
        <w:rPr>
          <w:bCs/>
          <w:b/>
        </w:rPr>
        <w:t xml:space="preserve">agricultural activity</w:t>
      </w:r>
      <w:r>
        <w:t xml:space="preserve">,</w:t>
      </w:r>
      <w:r>
        <w:t xml:space="preserve"> </w:t>
      </w:r>
      <w:r>
        <w:rPr>
          <w:bCs/>
          <w:b/>
        </w:rPr>
        <w:t xml:space="preserve">household members</w:t>
      </w:r>
      <w:r>
        <w:t xml:space="preserve"> </w:t>
      </w:r>
      <w:r>
        <w:t xml:space="preserve">and their relationships,</w:t>
      </w:r>
      <w:r>
        <w:t xml:space="preserve"> </w:t>
      </w:r>
      <w:r>
        <w:rPr>
          <w:bCs/>
          <w:b/>
        </w:rPr>
        <w:t xml:space="preserve">livestock</w:t>
      </w:r>
      <w:r>
        <w:t xml:space="preserve">, and</w:t>
      </w:r>
      <w:r>
        <w:t xml:space="preserve"> </w:t>
      </w:r>
      <w:r>
        <w:rPr>
          <w:bCs/>
          <w:b/>
        </w:rPr>
        <w:t xml:space="preserve">income and existing support programmes</w:t>
      </w:r>
      <w:r>
        <w:t xml:space="preserve">. Use</w:t>
      </w:r>
      <w:r>
        <w:t xml:space="preserve"> </w:t>
      </w:r>
      <w:r>
        <w:rPr>
          <w:bCs/>
          <w:b/>
        </w:rPr>
        <w:t xml:space="preserve">New</w:t>
      </w:r>
      <w:r>
        <w:t xml:space="preserve"> </w:t>
      </w:r>
      <w:r>
        <w:t xml:space="preserve">to register a farmer; use the list’s filters (District, National ID, Mobile) to find an existing one.</w:t>
      </w:r>
    </w:p>
    <w:p>
      <w:pPr>
        <w:numPr>
          <w:ilvl w:val="0"/>
          <w:numId w:val="1011"/>
        </w:numPr>
        <w:pStyle w:val="Compact"/>
      </w:pPr>
      <w:r>
        <w:rPr>
          <w:bCs/>
          <w:b/>
        </w:rPr>
        <w:t xml:space="preserve">02 – Parcel Registration</w:t>
      </w:r>
      <w:r>
        <w:t xml:space="preserve"> </w:t>
      </w:r>
      <w:r>
        <w:t xml:space="preserve">— records the land parcels belonging to a farmer: location, size (in the configured</w:t>
      </w:r>
      <w:r>
        <w:t xml:space="preserve"> </w:t>
      </w:r>
      <w:r>
        <w:rPr>
          <w:bCs/>
          <w:b/>
        </w:rPr>
        <w:t xml:space="preserve">area units</w:t>
      </w:r>
      <w:r>
        <w:t xml:space="preserve">), classification, crop production, and, where available, the</w:t>
      </w:r>
      <w:r>
        <w:t xml:space="preserve"> </w:t>
      </w:r>
      <w:r>
        <w:rPr>
          <w:bCs/>
          <w:b/>
        </w:rPr>
        <w:t xml:space="preserve">GPS boundary</w:t>
      </w:r>
      <w:r>
        <w:t xml:space="preserve"> </w:t>
      </w:r>
      <w:r>
        <w:t xml:space="preserve">captured on a map. A farmer may have several parcels.</w:t>
      </w:r>
    </w:p>
    <w:p>
      <w:pPr>
        <w:numPr>
          <w:ilvl w:val="0"/>
          <w:numId w:val="1011"/>
        </w:numPr>
        <w:pStyle w:val="Compact"/>
      </w:pPr>
      <w:r>
        <w:rPr>
          <w:bCs/>
          <w:b/>
        </w:rPr>
        <w:t xml:space="preserve">2025 Subsidy Application</w:t>
      </w:r>
      <w:r>
        <w:t xml:space="preserve"> </w:t>
      </w:r>
      <w:r>
        <w:t xml:space="preserve">— the application wizard a farmer (or an officer on their behalf) completes to apply for the 2025 input-subsidy programme. Entering the applicant’s</w:t>
      </w:r>
      <w:r>
        <w:t xml:space="preserve"> </w:t>
      </w:r>
      <w:r>
        <w:rPr>
          <w:bCs/>
          <w:b/>
        </w:rPr>
        <w:t xml:space="preserve">National ID</w:t>
      </w:r>
      <w:r>
        <w:t xml:space="preserve"> </w:t>
      </w:r>
      <w:r>
        <w:t xml:space="preserve">auto-fills their identity from the registry. The wizard then guides the user through the applicant/programme selection, the</w:t>
      </w:r>
      <w:r>
        <w:t xml:space="preserve"> </w:t>
      </w:r>
      <w:r>
        <w:rPr>
          <w:bCs/>
          <w:b/>
        </w:rPr>
        <w:t xml:space="preserve">eligibility</w:t>
      </w:r>
      <w:r>
        <w:t xml:space="preserve"> </w:t>
      </w:r>
      <w:r>
        <w:t xml:space="preserve">criteria, the</w:t>
      </w:r>
      <w:r>
        <w:t xml:space="preserve"> </w:t>
      </w:r>
      <w:r>
        <w:rPr>
          <w:bCs/>
          <w:b/>
        </w:rPr>
        <w:t xml:space="preserve">benefit request</w:t>
      </w:r>
      <w:r>
        <w:t xml:space="preserve"> </w:t>
      </w:r>
      <w:r>
        <w:t xml:space="preserve">(the input items and quantities sought), a</w:t>
      </w:r>
      <w:r>
        <w:t xml:space="preserve"> </w:t>
      </w:r>
      <w:r>
        <w:rPr>
          <w:bCs/>
          <w:b/>
        </w:rPr>
        <w:t xml:space="preserve">declaration/signature</w:t>
      </w:r>
      <w:r>
        <w:t xml:space="preserve">, and submission. On submission the application enters the review lifecycle (Section 6.3).</w:t>
      </w:r>
    </w:p>
    <w:p>
      <w:pPr>
        <w:numPr>
          <w:ilvl w:val="0"/>
          <w:numId w:val="1011"/>
        </w:numPr>
        <w:pStyle w:val="Compact"/>
      </w:pPr>
      <w:r>
        <w:rPr>
          <w:bCs/>
          <w:b/>
        </w:rPr>
        <w:t xml:space="preserve">My Applications</w:t>
      </w:r>
      <w:r>
        <w:t xml:space="preserve"> </w:t>
      </w:r>
      <w:r>
        <w:t xml:space="preserve">— a farmer- or officer-facing list of applications already started or submitted, so their progress can be tracked.</w:t>
      </w:r>
    </w:p>
    <w:bookmarkEnd w:id="39"/>
    <w:bookmarkStart w:id="40" w:name="moa-office"/>
    <w:p>
      <w:pPr>
        <w:pStyle w:val="Heading2"/>
      </w:pPr>
      <w:r>
        <w:t xml:space="preserve">5.3 MOA Office</w:t>
      </w:r>
    </w:p>
    <w:p>
      <w:pPr>
        <w:pStyle w:val="FirstParagraph"/>
      </w:pPr>
      <w:r>
        <w:t xml:space="preserve">“</w:t>
      </w:r>
      <w:r>
        <w:t xml:space="preserve">MOA</w:t>
      </w:r>
      <w:r>
        <w:t xml:space="preserve">”</w:t>
      </w:r>
      <w:r>
        <w:t xml:space="preserve"> </w:t>
      </w:r>
      <w:r>
        <w:t xml:space="preserve">stands for</w:t>
      </w:r>
      <w:r>
        <w:t xml:space="preserve"> </w:t>
      </w:r>
      <w:r>
        <w:rPr>
          <w:bCs/>
          <w:b/>
        </w:rPr>
        <w:t xml:space="preserve">Ministry of Agriculture</w:t>
      </w:r>
      <w:r>
        <w:t xml:space="preserve">. This module is the officer’s back-office for reviewing applications and managing programmes. It is used by District Supervisors and the System Administrator.</w:t>
      </w:r>
    </w:p>
    <w:p>
      <w:pPr>
        <w:numPr>
          <w:ilvl w:val="0"/>
          <w:numId w:val="1012"/>
        </w:numPr>
        <w:pStyle w:val="Compact"/>
      </w:pPr>
      <w:r>
        <w:rPr>
          <w:bCs/>
          <w:b/>
        </w:rPr>
        <w:t xml:space="preserve">Manage Support Program</w:t>
      </w:r>
      <w:r>
        <w:t xml:space="preserve"> </w:t>
      </w:r>
      <w:r>
        <w:t xml:space="preserve">— create and maintain the subsidy programmes themselves (their type, target group, benefit model, funding and eligibility). This is where a new programme is switched on.</w:t>
      </w:r>
    </w:p>
    <w:p>
      <w:pPr>
        <w:numPr>
          <w:ilvl w:val="0"/>
          <w:numId w:val="1012"/>
        </w:numPr>
        <w:pStyle w:val="Compact"/>
      </w:pPr>
      <w:r>
        <w:rPr>
          <w:bCs/>
          <w:b/>
        </w:rPr>
        <w:t xml:space="preserve">2025 Subsidy Application — Operator Review</w:t>
      </w:r>
      <w:r>
        <w:t xml:space="preserve"> </w:t>
      </w:r>
      <w:r>
        <w:t xml:space="preserve">— the review queue. The officer opens a submitted application, examines the applicant’s details and eligibility, may</w:t>
      </w:r>
      <w:r>
        <w:t xml:space="preserve"> </w:t>
      </w:r>
      <w:r>
        <w:rPr>
          <w:bCs/>
          <w:b/>
        </w:rPr>
        <w:t xml:space="preserve">adjust the approved quantity</w:t>
      </w:r>
      <w:r>
        <w:t xml:space="preserve"> </w:t>
      </w:r>
      <w:r>
        <w:t xml:space="preserve">per benefit line (the officer’s figure takes precedence over the farmer’s request), records a</w:t>
      </w:r>
      <w:r>
        <w:t xml:space="preserve"> </w:t>
      </w:r>
      <w:r>
        <w:rPr>
          <w:bCs/>
          <w:b/>
        </w:rPr>
        <w:t xml:space="preserve">decision</w:t>
      </w:r>
      <w:r>
        <w:t xml:space="preserve"> </w:t>
      </w:r>
      <w:r>
        <w:t xml:space="preserve">with a mandatory reason, and signs off. On approval the application flips to</w:t>
      </w:r>
      <w:r>
        <w:t xml:space="preserve"> </w:t>
      </w:r>
      <w:r>
        <w:rPr>
          <w:iCs/>
          <w:i/>
        </w:rPr>
        <w:t xml:space="preserve">Approved</w:t>
      </w:r>
      <w:r>
        <w:t xml:space="preserve">, an</w:t>
      </w:r>
      <w:r>
        <w:t xml:space="preserve"> </w:t>
      </w:r>
      <w:r>
        <w:rPr>
          <w:bCs/>
          <w:b/>
        </w:rPr>
        <w:t xml:space="preserve">entitlement</w:t>
      </w:r>
      <w:r>
        <w:t xml:space="preserve"> </w:t>
      </w:r>
      <w:r>
        <w:t xml:space="preserve">is generated, and the appropriate</w:t>
      </w:r>
      <w:r>
        <w:t xml:space="preserve"> </w:t>
      </w:r>
      <w:r>
        <w:rPr>
          <w:bCs/>
          <w:b/>
        </w:rPr>
        <w:t xml:space="preserve">budget event</w:t>
      </w:r>
      <w:r>
        <w:t xml:space="preserve"> </w:t>
      </w:r>
      <w:r>
        <w:t xml:space="preserve">is fired.</w:t>
      </w:r>
    </w:p>
    <w:p>
      <w:pPr>
        <w:numPr>
          <w:ilvl w:val="0"/>
          <w:numId w:val="1012"/>
        </w:numPr>
        <w:pStyle w:val="Compact"/>
      </w:pPr>
      <w:r>
        <w:rPr>
          <w:bCs/>
          <w:b/>
        </w:rPr>
        <w:t xml:space="preserve">RegBB Evaluation Audit</w:t>
      </w:r>
      <w:r>
        <w:t xml:space="preserve"> </w:t>
      </w:r>
      <w:r>
        <w:t xml:space="preserve">— a read log of every automated rule evaluation the system performed (eligibility, quality, routing), showing what was checked and the outcome. Use it to understand</w:t>
      </w:r>
      <w:r>
        <w:t xml:space="preserve"> </w:t>
      </w:r>
      <w:r>
        <w:rPr>
          <w:iCs/>
          <w:i/>
        </w:rPr>
        <w:t xml:space="preserve">why</w:t>
      </w:r>
      <w:r>
        <w:t xml:space="preserve"> </w:t>
      </w:r>
      <w:r>
        <w:t xml:space="preserve">the system reached a given result.</w:t>
      </w:r>
    </w:p>
    <w:p>
      <w:pPr>
        <w:numPr>
          <w:ilvl w:val="0"/>
          <w:numId w:val="1012"/>
        </w:numPr>
        <w:pStyle w:val="Compact"/>
      </w:pPr>
      <w:r>
        <w:rPr>
          <w:bCs/>
          <w:b/>
        </w:rPr>
        <w:t xml:space="preserve">Add Case Note</w:t>
      </w:r>
      <w:r>
        <w:t xml:space="preserve"> </w:t>
      </w:r>
      <w:r>
        <w:t xml:space="preserve">— attach a note to a farmer or application to record context or follow-up actions.</w:t>
      </w:r>
    </w:p>
    <w:bookmarkEnd w:id="40"/>
    <w:bookmarkStart w:id="41" w:name="budget"/>
    <w:p>
      <w:pPr>
        <w:pStyle w:val="Heading2"/>
      </w:pPr>
      <w:r>
        <w:t xml:space="preserve">5.4 Budget</w:t>
      </w:r>
    </w:p>
    <w:p>
      <w:pPr>
        <w:pStyle w:val="FirstParagraph"/>
      </w:pPr>
      <w:r>
        <w:t xml:space="preserve">The Budget module is the Finance Officer’s cockpit for financial control. Every screen is a specific view of the budget ledger described in Section 4.4.</w:t>
      </w:r>
    </w:p>
    <w:p>
      <w:pPr>
        <w:numPr>
          <w:ilvl w:val="0"/>
          <w:numId w:val="1013"/>
        </w:numPr>
        <w:pStyle w:val="Compact"/>
      </w:pPr>
      <w:r>
        <w:rPr>
          <w:bCs/>
          <w:b/>
        </w:rPr>
        <w:t xml:space="preserve">Budget — Envelope state</w:t>
      </w:r>
      <w:r>
        <w:t xml:space="preserve"> </w:t>
      </w:r>
      <w:r>
        <w:t xml:space="preserve">— the current state of each</w:t>
      </w:r>
      <w:r>
        <w:t xml:space="preserve"> </w:t>
      </w:r>
      <w:r>
        <w:rPr>
          <w:bCs/>
          <w:b/>
        </w:rPr>
        <w:t xml:space="preserve">envelope</w:t>
      </w:r>
      <w:r>
        <w:t xml:space="preserve">: allocated, committed, expensed, and remaining, per programme and source. This is the primary</w:t>
      </w:r>
      <w:r>
        <w:t xml:space="preserve"> </w:t>
      </w:r>
      <w:r>
        <w:t xml:space="preserve">“</w:t>
      </w:r>
      <w:r>
        <w:t xml:space="preserve">how much is left</w:t>
      </w:r>
      <w:r>
        <w:t xml:space="preserve">”</w:t>
      </w:r>
      <w:r>
        <w:t xml:space="preserve"> </w:t>
      </w:r>
      <w:r>
        <w:t xml:space="preserve">screen.</w:t>
      </w:r>
    </w:p>
    <w:p>
      <w:pPr>
        <w:numPr>
          <w:ilvl w:val="0"/>
          <w:numId w:val="1013"/>
        </w:numPr>
        <w:pStyle w:val="Compact"/>
      </w:pPr>
      <w:r>
        <w:rPr>
          <w:bCs/>
          <w:b/>
        </w:rPr>
        <w:t xml:space="preserve">Budget — Per-source breakdown</w:t>
      </w:r>
      <w:r>
        <w:t xml:space="preserve"> </w:t>
      </w:r>
      <w:r>
        <w:t xml:space="preserve">— the same figures split by</w:t>
      </w:r>
      <w:r>
        <w:t xml:space="preserve"> </w:t>
      </w:r>
      <w:r>
        <w:rPr>
          <w:bCs/>
          <w:b/>
        </w:rPr>
        <w:t xml:space="preserve">funding source / donor</w:t>
      </w:r>
      <w:r>
        <w:t xml:space="preserve">, so you can see each donor’s contribution and usage.</w:t>
      </w:r>
    </w:p>
    <w:p>
      <w:pPr>
        <w:numPr>
          <w:ilvl w:val="0"/>
          <w:numId w:val="1013"/>
        </w:numPr>
        <w:pStyle w:val="Compact"/>
      </w:pPr>
      <w:r>
        <w:rPr>
          <w:bCs/>
          <w:b/>
        </w:rPr>
        <w:t xml:space="preserve">Budget — Recent ledger entries</w:t>
      </w:r>
      <w:r>
        <w:t xml:space="preserve"> </w:t>
      </w:r>
      <w:r>
        <w:t xml:space="preserve">— the latest</w:t>
      </w:r>
      <w:r>
        <w:t xml:space="preserve"> </w:t>
      </w:r>
      <w:r>
        <w:rPr>
          <w:bCs/>
          <w:b/>
        </w:rPr>
        <w:t xml:space="preserve">budget events</w:t>
      </w:r>
      <w:r>
        <w:t xml:space="preserve"> </w:t>
      </w:r>
      <w:r>
        <w:t xml:space="preserve">in chronological order.</w:t>
      </w:r>
    </w:p>
    <w:p>
      <w:pPr>
        <w:numPr>
          <w:ilvl w:val="0"/>
          <w:numId w:val="1013"/>
        </w:numPr>
        <w:pStyle w:val="Compact"/>
      </w:pPr>
      <w:r>
        <w:rPr>
          <w:bCs/>
          <w:b/>
        </w:rPr>
        <w:t xml:space="preserve">Budget — Pending pipeline</w:t>
      </w:r>
      <w:r>
        <w:t xml:space="preserve"> </w:t>
      </w:r>
      <w:r>
        <w:t xml:space="preserve">— money that is provisionally earmarked (pre-commitments and reservations) but not yet committed or spent — i.e. what is</w:t>
      </w:r>
      <w:r>
        <w:t xml:space="preserve"> </w:t>
      </w:r>
      <w:r>
        <w:t xml:space="preserve">“</w:t>
      </w:r>
      <w:r>
        <w:t xml:space="preserve">in the pipeline</w:t>
      </w:r>
      <w:r>
        <w:t xml:space="preserve">”</w:t>
      </w:r>
      <w:r>
        <w:t xml:space="preserve">.</w:t>
      </w:r>
    </w:p>
    <w:p>
      <w:pPr>
        <w:numPr>
          <w:ilvl w:val="0"/>
          <w:numId w:val="1013"/>
        </w:numPr>
        <w:pStyle w:val="Compact"/>
      </w:pPr>
      <w:r>
        <w:rPr>
          <w:bCs/>
          <w:b/>
        </w:rPr>
        <w:t xml:space="preserve">Budget — Variance report</w:t>
      </w:r>
      <w:r>
        <w:t xml:space="preserve"> </w:t>
      </w:r>
      <w:r>
        <w:t xml:space="preserve">— allocated-versus-actual variance, to highlight over- or under-utilisation.</w:t>
      </w:r>
    </w:p>
    <w:p>
      <w:pPr>
        <w:numPr>
          <w:ilvl w:val="0"/>
          <w:numId w:val="1013"/>
        </w:numPr>
        <w:pStyle w:val="Compact"/>
      </w:pPr>
      <w:r>
        <w:rPr>
          <w:bCs/>
          <w:b/>
        </w:rPr>
        <w:t xml:space="preserve">Budget — Alerts</w:t>
      </w:r>
      <w:r>
        <w:t xml:space="preserve"> </w:t>
      </w:r>
      <w:r>
        <w:t xml:space="preserve">— active</w:t>
      </w:r>
      <w:r>
        <w:t xml:space="preserve"> </w:t>
      </w:r>
      <w:r>
        <w:rPr>
          <w:bCs/>
          <w:b/>
        </w:rPr>
        <w:t xml:space="preserve">threshold alerts</w:t>
      </w:r>
      <w:r>
        <w:t xml:space="preserve"> </w:t>
      </w:r>
      <w:r>
        <w:t xml:space="preserve">where an envelope has crossed a warning level.</w:t>
      </w:r>
    </w:p>
    <w:p>
      <w:pPr>
        <w:numPr>
          <w:ilvl w:val="0"/>
          <w:numId w:val="1013"/>
        </w:numPr>
        <w:pStyle w:val="Compact"/>
      </w:pPr>
      <w:r>
        <w:rPr>
          <w:bCs/>
          <w:b/>
        </w:rPr>
        <w:t xml:space="preserve">Budget — Roll-forward</w:t>
      </w:r>
      <w:r>
        <w:t xml:space="preserve"> </w:t>
      </w:r>
      <w:r>
        <w:t xml:space="preserve">— the tool to carry unspent balances forward into the next period.</w:t>
      </w:r>
    </w:p>
    <w:p>
      <w:pPr>
        <w:numPr>
          <w:ilvl w:val="0"/>
          <w:numId w:val="1013"/>
        </w:numPr>
        <w:pStyle w:val="Compact"/>
      </w:pPr>
      <w:r>
        <w:rPr>
          <w:bCs/>
          <w:b/>
        </w:rPr>
        <w:t xml:space="preserve">Budget — General Ledger</w:t>
      </w:r>
      <w:r>
        <w:t xml:space="preserve"> </w:t>
      </w:r>
      <w:r>
        <w:t xml:space="preserve">— the complete, permanent list of all budget events (the GL).</w:t>
      </w:r>
    </w:p>
    <w:p>
      <w:pPr>
        <w:numPr>
          <w:ilvl w:val="0"/>
          <w:numId w:val="1013"/>
        </w:numPr>
        <w:pStyle w:val="Compact"/>
      </w:pPr>
      <w:r>
        <w:rPr>
          <w:bCs/>
          <w:b/>
        </w:rPr>
        <w:t xml:space="preserve">Budget — Donor disbursement</w:t>
      </w:r>
      <w:r>
        <w:t xml:space="preserve"> </w:t>
      </w:r>
      <w:r>
        <w:t xml:space="preserve">— tracking of funds disbursed by each donor against their commitments.</w:t>
      </w:r>
    </w:p>
    <w:p>
      <w:pPr>
        <w:numPr>
          <w:ilvl w:val="0"/>
          <w:numId w:val="1013"/>
        </w:numPr>
        <w:pStyle w:val="Compact"/>
      </w:pPr>
      <w:r>
        <w:rPr>
          <w:bCs/>
          <w:b/>
        </w:rPr>
        <w:t xml:space="preserve">Budget — Manual adjustments</w:t>
      </w:r>
      <w:r>
        <w:t xml:space="preserve"> </w:t>
      </w:r>
      <w:r>
        <w:t xml:space="preserve">— a controlled, maker-checker screen for recording manual corrections to the budget. Because manual adjustments move money directly, they require a second person to approve (the person who records the adjustment cannot also approve it).</w:t>
      </w:r>
    </w:p>
    <w:bookmarkEnd w:id="41"/>
    <w:bookmarkStart w:id="42" w:name="inputs-management-im"/>
    <w:p>
      <w:pPr>
        <w:pStyle w:val="Heading2"/>
      </w:pPr>
      <w:r>
        <w:t xml:space="preserve">5.5 Inputs Management (IM)</w:t>
      </w:r>
    </w:p>
    <w:p>
      <w:pPr>
        <w:pStyle w:val="FirstParagraph"/>
      </w:pPr>
      <w:r>
        <w:t xml:space="preserve">Inputs Management is the supply-chain side of the programme: from suppliers and stock, through allocation and vouchers, to the physical hand-over of inputs and its reconciliation. It is used by Field Officers, District Supervisors and the System Administrator.</w:t>
      </w:r>
    </w:p>
    <w:p>
      <w:pPr>
        <w:numPr>
          <w:ilvl w:val="0"/>
          <w:numId w:val="1014"/>
        </w:numPr>
        <w:pStyle w:val="Compact"/>
      </w:pPr>
      <w:r>
        <w:rPr>
          <w:bCs/>
          <w:b/>
        </w:rPr>
        <w:t xml:space="preserve">IM – Supplier</w:t>
      </w:r>
      <w:r>
        <w:t xml:space="preserve"> </w:t>
      </w:r>
      <w:r>
        <w:t xml:space="preserve">— register and maintain the suppliers / agro-dealers that provide inputs.</w:t>
      </w:r>
    </w:p>
    <w:p>
      <w:pPr>
        <w:numPr>
          <w:ilvl w:val="0"/>
          <w:numId w:val="1014"/>
        </w:numPr>
        <w:pStyle w:val="Compact"/>
      </w:pPr>
      <w:r>
        <w:rPr>
          <w:bCs/>
          <w:b/>
        </w:rPr>
        <w:t xml:space="preserve">IM – Inventory</w:t>
      </w:r>
      <w:r>
        <w:t xml:space="preserve"> </w:t>
      </w:r>
      <w:r>
        <w:t xml:space="preserve">— the stock of each input at each resource centre (</w:t>
      </w:r>
      <w:r>
        <w:rPr>
          <w:bCs/>
          <w:b/>
        </w:rPr>
        <w:t xml:space="preserve">quantity on hand</w:t>
      </w:r>
      <w:r>
        <w:t xml:space="preserve">). This is what redemption draws down.</w:t>
      </w:r>
    </w:p>
    <w:p>
      <w:pPr>
        <w:numPr>
          <w:ilvl w:val="0"/>
          <w:numId w:val="1014"/>
        </w:numPr>
        <w:pStyle w:val="Compact"/>
      </w:pPr>
      <w:r>
        <w:rPr>
          <w:bCs/>
          <w:b/>
        </w:rPr>
        <w:t xml:space="preserve">IM – Stock Transactions</w:t>
      </w:r>
      <w:r>
        <w:t xml:space="preserve"> </w:t>
      </w:r>
      <w:r>
        <w:t xml:space="preserve">— the log of stock movements (receipts, issues, adjustments) that keep inventory accurate.</w:t>
      </w:r>
    </w:p>
    <w:p>
      <w:pPr>
        <w:numPr>
          <w:ilvl w:val="0"/>
          <w:numId w:val="1014"/>
        </w:numPr>
        <w:pStyle w:val="Compact"/>
      </w:pPr>
      <w:r>
        <w:rPr>
          <w:bCs/>
          <w:b/>
        </w:rPr>
        <w:t xml:space="preserve">IM – Allocation Plan</w:t>
      </w:r>
      <w:r>
        <w:t xml:space="preserve"> </w:t>
      </w:r>
      <w:r>
        <w:t xml:space="preserve">— assign quantities of inputs to centres and beneficiaries for a campaign, ahead of issuing vouchers.</w:t>
      </w:r>
    </w:p>
    <w:p>
      <w:pPr>
        <w:numPr>
          <w:ilvl w:val="0"/>
          <w:numId w:val="1014"/>
        </w:numPr>
        <w:pStyle w:val="Compact"/>
      </w:pPr>
      <w:r>
        <w:rPr>
          <w:bCs/>
          <w:b/>
        </w:rPr>
        <w:t xml:space="preserve">IM – Vouchers</w:t>
      </w:r>
      <w:r>
        <w:t xml:space="preserve"> </w:t>
      </w:r>
      <w:r>
        <w:t xml:space="preserve">— the list of issued vouchers with their codes, quantities, allocated centre, farmer, expiry date and current status.</w:t>
      </w:r>
    </w:p>
    <w:p>
      <w:pPr>
        <w:numPr>
          <w:ilvl w:val="0"/>
          <w:numId w:val="1014"/>
        </w:numPr>
        <w:pStyle w:val="Compact"/>
      </w:pPr>
      <w:r>
        <w:rPr>
          <w:bCs/>
          <w:b/>
        </w:rPr>
        <w:t xml:space="preserve">IM – Redeem Voucher</w:t>
      </w:r>
      <w:r>
        <w:t xml:space="preserve"> </w:t>
      </w:r>
      <w:r>
        <w:t xml:space="preserve">— the front-line screen used at a resource centre to record a farmer collecting their inputs. The officer enters the</w:t>
      </w:r>
      <w:r>
        <w:t xml:space="preserve"> </w:t>
      </w:r>
      <w:r>
        <w:rPr>
          <w:bCs/>
          <w:b/>
        </w:rPr>
        <w:t xml:space="preserve">voucher code</w:t>
      </w:r>
      <w:r>
        <w:t xml:space="preserve"> </w:t>
      </w:r>
      <w:r>
        <w:t xml:space="preserve">(typed or scanned from the farmer’s phone), selects the</w:t>
      </w:r>
      <w:r>
        <w:t xml:space="preserve"> </w:t>
      </w:r>
      <w:r>
        <w:rPr>
          <w:bCs/>
          <w:b/>
        </w:rPr>
        <w:t xml:space="preserve">district and resource centre</w:t>
      </w:r>
      <w:r>
        <w:t xml:space="preserve">, enters their own name as the</w:t>
      </w:r>
      <w:r>
        <w:t xml:space="preserve"> </w:t>
      </w:r>
      <w:r>
        <w:rPr>
          <w:bCs/>
          <w:b/>
        </w:rPr>
        <w:t xml:space="preserve">distribution agent</w:t>
      </w:r>
      <w:r>
        <w:t xml:space="preserve">, and optionally a</w:t>
      </w:r>
      <w:r>
        <w:t xml:space="preserve"> </w:t>
      </w:r>
      <w:r>
        <w:rPr>
          <w:bCs/>
          <w:b/>
        </w:rPr>
        <w:t xml:space="preserve">quantity</w:t>
      </w:r>
      <w:r>
        <w:t xml:space="preserve"> </w:t>
      </w:r>
      <w:r>
        <w:t xml:space="preserve">for partial collection. Selecting</w:t>
      </w:r>
      <w:r>
        <w:t xml:space="preserve"> </w:t>
      </w:r>
      <w:r>
        <w:rPr>
          <w:bCs/>
          <w:b/>
        </w:rPr>
        <w:t xml:space="preserve">Confirm Redemption</w:t>
      </w:r>
      <w:r>
        <w:t xml:space="preserve"> </w:t>
      </w:r>
      <w:r>
        <w:t xml:space="preserve">validates the voucher (correct status, not expired, matching centre, sufficient stock) and, if all checks pass, atomically records the redemption, decrements inventory and posts the budget expense. The screen then shows the outcome — success (with a redemption code and the before/after voucher status and inventory) or a clear reason it was blocked (for example</w:t>
      </w:r>
      <w:r>
        <w:t xml:space="preserve"> </w:t>
      </w:r>
      <w:r>
        <w:rPr>
          <w:iCs/>
          <w:i/>
        </w:rPr>
        <w:t xml:space="preserve">insufficient stock</w:t>
      </w:r>
      <w:r>
        <w:t xml:space="preserve">,</w:t>
      </w:r>
      <w:r>
        <w:t xml:space="preserve"> </w:t>
      </w:r>
      <w:r>
        <w:rPr>
          <w:iCs/>
          <w:i/>
        </w:rPr>
        <w:t xml:space="preserve">already redeemed</w:t>
      </w:r>
      <w:r>
        <w:t xml:space="preserve">,</w:t>
      </w:r>
      <w:r>
        <w:t xml:space="preserve"> </w:t>
      </w:r>
      <w:r>
        <w:rPr>
          <w:iCs/>
          <w:i/>
        </w:rPr>
        <w:t xml:space="preserve">wrong point</w:t>
      </w:r>
      <w:r>
        <w:t xml:space="preserve">,</w:t>
      </w:r>
      <w:r>
        <w:t xml:space="preserve"> </w:t>
      </w:r>
      <w:r>
        <w:rPr>
          <w:iCs/>
          <w:i/>
        </w:rPr>
        <w:t xml:space="preserve">expired</w:t>
      </w:r>
      <w:r>
        <w:t xml:space="preserve">).</w:t>
      </w:r>
    </w:p>
    <w:p>
      <w:pPr>
        <w:numPr>
          <w:ilvl w:val="0"/>
          <w:numId w:val="1014"/>
        </w:numPr>
        <w:pStyle w:val="Compact"/>
      </w:pPr>
      <w:r>
        <w:rPr>
          <w:bCs/>
          <w:b/>
        </w:rPr>
        <w:t xml:space="preserve">IM – Print Voucher Slip</w:t>
      </w:r>
      <w:r>
        <w:t xml:space="preserve"> </w:t>
      </w:r>
      <w:r>
        <w:t xml:space="preserve">— produces a printable slip for a voucher.</w:t>
      </w:r>
    </w:p>
    <w:p>
      <w:pPr>
        <w:numPr>
          <w:ilvl w:val="0"/>
          <w:numId w:val="1014"/>
        </w:numPr>
        <w:pStyle w:val="Compact"/>
      </w:pPr>
      <w:r>
        <w:rPr>
          <w:bCs/>
          <w:b/>
        </w:rPr>
        <w:t xml:space="preserve">IM – Redemption Audit Log (admin)</w:t>
      </w:r>
      <w:r>
        <w:t xml:space="preserve"> </w:t>
      </w:r>
      <w:r>
        <w:t xml:space="preserve">— the read-only history of all redemptions, for oversight and reconciliation.</w:t>
      </w:r>
    </w:p>
    <w:p>
      <w:pPr>
        <w:numPr>
          <w:ilvl w:val="0"/>
          <w:numId w:val="1014"/>
        </w:numPr>
        <w:pStyle w:val="Compact"/>
      </w:pPr>
      <w:r>
        <w:rPr>
          <w:bCs/>
          <w:b/>
        </w:rPr>
        <w:t xml:space="preserve">IM – Distribution Receipts</w:t>
      </w:r>
      <w:r>
        <w:t xml:space="preserve"> </w:t>
      </w:r>
      <w:r>
        <w:t xml:space="preserve">— the hand-over receipts used for end-of-campaign reconciliation.</w:t>
      </w:r>
    </w:p>
    <w:bookmarkEnd w:id="42"/>
    <w:bookmarkStart w:id="43" w:name="reports"/>
    <w:p>
      <w:pPr>
        <w:pStyle w:val="Heading2"/>
      </w:pPr>
      <w:r>
        <w:t xml:space="preserve">5.6 Reports</w:t>
      </w:r>
    </w:p>
    <w:p>
      <w:pPr>
        <w:pStyle w:val="FirstParagraph"/>
      </w:pPr>
      <w:r>
        <w:t xml:space="preserve">The Reports module provides operational and financial reporting for Supervisors, Finance Officers and the System Administrator.</w:t>
      </w:r>
    </w:p>
    <w:p>
      <w:pPr>
        <w:numPr>
          <w:ilvl w:val="0"/>
          <w:numId w:val="1015"/>
        </w:numPr>
        <w:pStyle w:val="Compact"/>
      </w:pPr>
      <w:r>
        <w:rPr>
          <w:bCs/>
          <w:b/>
        </w:rPr>
        <w:t xml:space="preserve">Overview</w:t>
      </w:r>
      <w:r>
        <w:t xml:space="preserve"> </w:t>
      </w:r>
      <w:r>
        <w:t xml:space="preserve">— a landing report summarising key figures.</w:t>
      </w:r>
    </w:p>
    <w:p>
      <w:pPr>
        <w:numPr>
          <w:ilvl w:val="0"/>
          <w:numId w:val="1015"/>
        </w:numPr>
        <w:pStyle w:val="Compact"/>
      </w:pPr>
      <w:r>
        <w:rPr>
          <w:bCs/>
          <w:b/>
        </w:rPr>
        <w:t xml:space="preserve">List of Farmers</w:t>
      </w:r>
      <w:r>
        <w:t xml:space="preserve"> </w:t>
      </w:r>
      <w:r>
        <w:t xml:space="preserve">— the full registry of farmers as a report, with the joined details (name, contact, district, zone, village) for export and review.</w:t>
      </w:r>
    </w:p>
    <w:p>
      <w:pPr>
        <w:numPr>
          <w:ilvl w:val="0"/>
          <w:numId w:val="1015"/>
        </w:numPr>
        <w:pStyle w:val="Compact"/>
      </w:pPr>
      <w:r>
        <w:rPr>
          <w:bCs/>
          <w:b/>
        </w:rPr>
        <w:t xml:space="preserve">IM — Dashboard KPIs</w:t>
      </w:r>
      <w:r>
        <w:t xml:space="preserve"> </w:t>
      </w:r>
      <w:r>
        <w:t xml:space="preserve">— the headline Inputs Management indicators in one place.</w:t>
      </w:r>
    </w:p>
    <w:p>
      <w:pPr>
        <w:numPr>
          <w:ilvl w:val="0"/>
          <w:numId w:val="1015"/>
        </w:numPr>
        <w:pStyle w:val="Compact"/>
      </w:pPr>
      <w:r>
        <w:rPr>
          <w:bCs/>
          <w:b/>
        </w:rPr>
        <w:t xml:space="preserve">IM — Voucher utilisation by programme</w:t>
      </w:r>
      <w:r>
        <w:t xml:space="preserve"> </w:t>
      </w:r>
      <w:r>
        <w:t xml:space="preserve">— how many issued vouchers have been redeemed, per programme.</w:t>
      </w:r>
    </w:p>
    <w:p>
      <w:pPr>
        <w:numPr>
          <w:ilvl w:val="0"/>
          <w:numId w:val="1015"/>
        </w:numPr>
        <w:pStyle w:val="Compact"/>
      </w:pPr>
      <w:r>
        <w:rPr>
          <w:bCs/>
          <w:b/>
        </w:rPr>
        <w:t xml:space="preserve">IM — Consumption by centre (30 days)</w:t>
      </w:r>
      <w:r>
        <w:t xml:space="preserve"> </w:t>
      </w:r>
      <w:r>
        <w:t xml:space="preserve">— recent input consumption at each resource centre.</w:t>
      </w:r>
    </w:p>
    <w:p>
      <w:pPr>
        <w:numPr>
          <w:ilvl w:val="0"/>
          <w:numId w:val="1015"/>
        </w:numPr>
        <w:pStyle w:val="Compact"/>
      </w:pPr>
      <w:r>
        <w:rPr>
          <w:bCs/>
          <w:b/>
        </w:rPr>
        <w:t xml:space="preserve">IM — Supplier performance</w:t>
      </w:r>
      <w:r>
        <w:t xml:space="preserve"> </w:t>
      </w:r>
      <w:r>
        <w:t xml:space="preserve">— a comparison of suppliers.</w:t>
      </w:r>
    </w:p>
    <w:p>
      <w:pPr>
        <w:numPr>
          <w:ilvl w:val="0"/>
          <w:numId w:val="1015"/>
        </w:numPr>
        <w:pStyle w:val="Compact"/>
      </w:pPr>
      <w:r>
        <w:rPr>
          <w:bCs/>
          <w:b/>
        </w:rPr>
        <w:t xml:space="preserve">IM — End-of-campaign reconciliation</w:t>
      </w:r>
      <w:r>
        <w:t xml:space="preserve"> </w:t>
      </w:r>
      <w:r>
        <w:t xml:space="preserve">— the reconciliation view that closes out a campaign (issued vs redeemed vs stock).</w:t>
      </w:r>
    </w:p>
    <w:p>
      <w:pPr>
        <w:numPr>
          <w:ilvl w:val="0"/>
          <w:numId w:val="1015"/>
        </w:numPr>
        <w:pStyle w:val="Compact"/>
      </w:pPr>
      <w:r>
        <w:rPr>
          <w:bCs/>
          <w:b/>
        </w:rPr>
        <w:t xml:space="preserve">IM — Funding by donor</w:t>
      </w:r>
      <w:r>
        <w:t xml:space="preserve"> </w:t>
      </w:r>
      <w:r>
        <w:t xml:space="preserve">and</w:t>
      </w:r>
      <w:r>
        <w:t xml:space="preserve"> </w:t>
      </w:r>
      <w:r>
        <w:rPr>
          <w:bCs/>
          <w:b/>
        </w:rPr>
        <w:t xml:space="preserve">IM — Programme funding breakdown (per donor)</w:t>
      </w:r>
      <w:r>
        <w:t xml:space="preserve"> </w:t>
      </w:r>
      <w:r>
        <w:t xml:space="preserve">— financial reports that attribute funding and spending to each donor.</w:t>
      </w:r>
    </w:p>
    <w:p>
      <w:pPr>
        <w:numPr>
          <w:ilvl w:val="0"/>
          <w:numId w:val="1015"/>
        </w:numPr>
        <w:pStyle w:val="Compact"/>
      </w:pPr>
      <w:r>
        <w:rPr>
          <w:bCs/>
          <w:b/>
        </w:rPr>
        <w:t xml:space="preserve">Report — Approval rates</w:t>
      </w:r>
      <w:r>
        <w:t xml:space="preserve">,</w:t>
      </w:r>
      <w:r>
        <w:t xml:space="preserve"> </w:t>
      </w:r>
      <w:r>
        <w:rPr>
          <w:bCs/>
          <w:b/>
        </w:rPr>
        <w:t xml:space="preserve">Report — Voucher velocity</w:t>
      </w:r>
      <w:r>
        <w:t xml:space="preserve">,</w:t>
      </w:r>
      <w:r>
        <w:t xml:space="preserve"> </w:t>
      </w:r>
      <w:r>
        <w:rPr>
          <w:bCs/>
          <w:b/>
        </w:rPr>
        <w:t xml:space="preserve">Report — Budget envelope</w:t>
      </w:r>
      <w:r>
        <w:t xml:space="preserve"> </w:t>
      </w:r>
      <w:r>
        <w:t xml:space="preserve">— analytical report pages with charts on, respectively, how applications are being decided, how quickly vouchers are being redeemed, and how each budget envelope is being consumed.</w:t>
      </w:r>
    </w:p>
    <w:bookmarkEnd w:id="43"/>
    <w:bookmarkStart w:id="44" w:name="mm-configuration-the-metamodel"/>
    <w:p>
      <w:pPr>
        <w:pStyle w:val="Heading2"/>
      </w:pPr>
      <w:r>
        <w:t xml:space="preserve">5.7 MM-Configuration (the metamodel)</w:t>
      </w:r>
    </w:p>
    <w:p>
      <w:pPr>
        <w:pStyle w:val="FirstParagraph"/>
      </w:pPr>
      <w:r>
        <w:t xml:space="preserve">This module is the heart of the platform’s flexibility, used by the Analyst and System Administrator.</w:t>
      </w:r>
      <w:r>
        <w:t xml:space="preserve"> </w:t>
      </w:r>
      <w:r>
        <w:t xml:space="preserve">“</w:t>
      </w:r>
      <w:r>
        <w:t xml:space="preserve">MM</w:t>
      </w:r>
      <w:r>
        <w:t xml:space="preserve">”</w:t>
      </w:r>
      <w:r>
        <w:t xml:space="preserve"> </w:t>
      </w:r>
      <w:r>
        <w:t xml:space="preserve">stands for</w:t>
      </w:r>
      <w:r>
        <w:t xml:space="preserve"> </w:t>
      </w:r>
      <w:r>
        <w:rPr>
          <w:bCs/>
          <w:b/>
        </w:rPr>
        <w:t xml:space="preserve">Metamodel</w:t>
      </w:r>
      <w:r>
        <w:t xml:space="preserve"> </w:t>
      </w:r>
      <w:r>
        <w:t xml:space="preserve">— a set of tables that</w:t>
      </w:r>
      <w:r>
        <w:t xml:space="preserve"> </w:t>
      </w:r>
      <w:r>
        <w:rPr>
          <w:iCs/>
          <w:i/>
        </w:rPr>
        <w:t xml:space="preserve">describe</w:t>
      </w:r>
      <w:r>
        <w:t xml:space="preserve"> </w:t>
      </w:r>
      <w:r>
        <w:t xml:space="preserve">a government service so the system can generate its behaviour without new programming. Configure these tables correctly and a new subsidy programme comes to life; misconfigure them and the service will not behave as intended.</w:t>
      </w:r>
    </w:p>
    <w:p>
      <w:pPr>
        <w:numPr>
          <w:ilvl w:val="0"/>
          <w:numId w:val="1016"/>
        </w:numPr>
        <w:pStyle w:val="Compact"/>
      </w:pPr>
      <w:r>
        <w:rPr>
          <w:bCs/>
          <w:b/>
        </w:rPr>
        <w:t xml:space="preserve">MM – Institution</w:t>
      </w:r>
      <w:r>
        <w:t xml:space="preserve"> </w:t>
      </w:r>
      <w:r>
        <w:t xml:space="preserve">— the government body that owns the service (e.g. MAFSN).</w:t>
      </w:r>
    </w:p>
    <w:p>
      <w:pPr>
        <w:numPr>
          <w:ilvl w:val="0"/>
          <w:numId w:val="1016"/>
        </w:numPr>
        <w:pStyle w:val="Compact"/>
      </w:pPr>
      <w:r>
        <w:rPr>
          <w:bCs/>
          <w:b/>
        </w:rPr>
        <w:t xml:space="preserve">MM – Service</w:t>
      </w:r>
      <w:r>
        <w:t xml:space="preserve"> </w:t>
      </w:r>
      <w:r>
        <w:t xml:space="preserve">— the service itself (e.g. an input-subsidy service).</w:t>
      </w:r>
    </w:p>
    <w:p>
      <w:pPr>
        <w:numPr>
          <w:ilvl w:val="0"/>
          <w:numId w:val="1016"/>
        </w:numPr>
        <w:pStyle w:val="Compact"/>
      </w:pPr>
      <w:r>
        <w:rPr>
          <w:bCs/>
          <w:b/>
        </w:rPr>
        <w:t xml:space="preserve">MM – Registration</w:t>
      </w:r>
      <w:r>
        <w:t xml:space="preserve"> </w:t>
      </w:r>
      <w:r>
        <w:t xml:space="preserve">— the registration process definition attached to a service.</w:t>
      </w:r>
    </w:p>
    <w:p>
      <w:pPr>
        <w:numPr>
          <w:ilvl w:val="0"/>
          <w:numId w:val="1016"/>
        </w:numPr>
        <w:pStyle w:val="Compact"/>
      </w:pPr>
      <w:r>
        <w:rPr>
          <w:bCs/>
          <w:b/>
        </w:rPr>
        <w:t xml:space="preserve">MM – Screen</w:t>
      </w:r>
      <w:r>
        <w:t xml:space="preserve"> </w:t>
      </w:r>
      <w:r>
        <w:t xml:space="preserve">— the screens (forms/pages) that make up the service.</w:t>
      </w:r>
    </w:p>
    <w:p>
      <w:pPr>
        <w:numPr>
          <w:ilvl w:val="0"/>
          <w:numId w:val="1016"/>
        </w:numPr>
        <w:pStyle w:val="Compact"/>
      </w:pPr>
      <w:r>
        <w:rPr>
          <w:bCs/>
          <w:b/>
        </w:rPr>
        <w:t xml:space="preserve">MM – Catalog</w:t>
      </w:r>
      <w:r>
        <w:t xml:space="preserve"> </w:t>
      </w:r>
      <w:r>
        <w:t xml:space="preserve">— reference catalogues used by the service.</w:t>
      </w:r>
    </w:p>
    <w:p>
      <w:pPr>
        <w:numPr>
          <w:ilvl w:val="0"/>
          <w:numId w:val="1016"/>
        </w:numPr>
        <w:pStyle w:val="Compact"/>
      </w:pPr>
      <w:r>
        <w:rPr>
          <w:bCs/>
          <w:b/>
        </w:rPr>
        <w:t xml:space="preserve">MM – Rules</w:t>
      </w:r>
      <w:r>
        <w:t xml:space="preserve"> </w:t>
      </w:r>
      <w:r>
        <w:t xml:space="preserve">— the</w:t>
      </w:r>
      <w:r>
        <w:t xml:space="preserve"> </w:t>
      </w:r>
      <w:r>
        <w:rPr>
          <w:bCs/>
          <w:b/>
        </w:rPr>
        <w:t xml:space="preserve">determinant rules</w:t>
      </w:r>
      <w:r>
        <w:t xml:space="preserve"> </w:t>
      </w:r>
      <w:r>
        <w:t xml:space="preserve">that govern eligibility, data quality and decision routing. This is where the logic of</w:t>
      </w:r>
      <w:r>
        <w:t xml:space="preserve"> </w:t>
      </w:r>
      <w:r>
        <w:t xml:space="preserve">“</w:t>
      </w:r>
      <w:r>
        <w:t xml:space="preserve">who qualifies</w:t>
      </w:r>
      <w:r>
        <w:t xml:space="preserve">”</w:t>
      </w:r>
      <w:r>
        <w:t xml:space="preserve"> </w:t>
      </w:r>
      <w:r>
        <w:t xml:space="preserve">is expressed.</w:t>
      </w:r>
    </w:p>
    <w:p>
      <w:pPr>
        <w:numPr>
          <w:ilvl w:val="0"/>
          <w:numId w:val="1016"/>
        </w:numPr>
        <w:pStyle w:val="Compact"/>
      </w:pPr>
      <w:r>
        <w:rPr>
          <w:bCs/>
          <w:b/>
        </w:rPr>
        <w:t xml:space="preserve">MM – Action</w:t>
      </w:r>
      <w:r>
        <w:t xml:space="preserve"> </w:t>
      </w:r>
      <w:r>
        <w:t xml:space="preserve">— the actions a service can perform.</w:t>
      </w:r>
    </w:p>
    <w:p>
      <w:pPr>
        <w:numPr>
          <w:ilvl w:val="0"/>
          <w:numId w:val="1016"/>
        </w:numPr>
        <w:pStyle w:val="Compact"/>
      </w:pPr>
      <w:r>
        <w:rPr>
          <w:bCs/>
          <w:b/>
        </w:rPr>
        <w:t xml:space="preserve">MM – Required Document</w:t>
      </w:r>
      <w:r>
        <w:t xml:space="preserve"> </w:t>
      </w:r>
      <w:r>
        <w:t xml:space="preserve">— the documents an applicant must provide.</w:t>
      </w:r>
    </w:p>
    <w:p>
      <w:pPr>
        <w:numPr>
          <w:ilvl w:val="0"/>
          <w:numId w:val="1016"/>
        </w:numPr>
        <w:pStyle w:val="Compact"/>
      </w:pPr>
      <w:r>
        <w:rPr>
          <w:bCs/>
          <w:b/>
        </w:rPr>
        <w:t xml:space="preserve">MM – Fee</w:t>
      </w:r>
      <w:r>
        <w:t xml:space="preserve"> </w:t>
      </w:r>
      <w:r>
        <w:t xml:space="preserve">— any fees associated with the service.</w:t>
      </w:r>
    </w:p>
    <w:p>
      <w:pPr>
        <w:numPr>
          <w:ilvl w:val="0"/>
          <w:numId w:val="1016"/>
        </w:numPr>
        <w:pStyle w:val="Compact"/>
      </w:pPr>
      <w:r>
        <w:rPr>
          <w:bCs/>
          <w:b/>
        </w:rPr>
        <w:t xml:space="preserve">MM – Benefit</w:t>
      </w:r>
      <w:r>
        <w:t xml:space="preserve"> </w:t>
      </w:r>
      <w:r>
        <w:t xml:space="preserve">— the benefit(s) a successful applicant receives (the basis of an entitlement).</w:t>
      </w:r>
    </w:p>
    <w:p>
      <w:pPr>
        <w:numPr>
          <w:ilvl w:val="0"/>
          <w:numId w:val="1016"/>
        </w:numPr>
        <w:pStyle w:val="Compact"/>
      </w:pPr>
      <w:r>
        <w:rPr>
          <w:bCs/>
          <w:b/>
        </w:rPr>
        <w:t xml:space="preserve">MM – Role</w:t>
      </w:r>
      <w:r>
        <w:t xml:space="preserve"> </w:t>
      </w:r>
      <w:r>
        <w:t xml:space="preserve">and</w:t>
      </w:r>
      <w:r>
        <w:t xml:space="preserve"> </w:t>
      </w:r>
      <w:r>
        <w:rPr>
          <w:bCs/>
          <w:b/>
        </w:rPr>
        <w:t xml:space="preserve">MM – Role Screen</w:t>
      </w:r>
      <w:r>
        <w:t xml:space="preserve"> </w:t>
      </w:r>
      <w:r>
        <w:t xml:space="preserve">— the roles in the service and which screens each role may use.</w:t>
      </w:r>
    </w:p>
    <w:p>
      <w:pPr>
        <w:numPr>
          <w:ilvl w:val="0"/>
          <w:numId w:val="1016"/>
        </w:numPr>
        <w:pStyle w:val="Compact"/>
      </w:pPr>
      <w:r>
        <w:rPr>
          <w:bCs/>
          <w:b/>
        </w:rPr>
        <w:t xml:space="preserve">MM – Field</w:t>
      </w:r>
      <w:r>
        <w:t xml:space="preserve"> </w:t>
      </w:r>
      <w:r>
        <w:t xml:space="preserve">— the individual data fields on the service’s screens.</w:t>
      </w:r>
    </w:p>
    <w:p>
      <w:pPr>
        <w:numPr>
          <w:ilvl w:val="0"/>
          <w:numId w:val="1016"/>
        </w:numPr>
        <w:pStyle w:val="Compact"/>
      </w:pPr>
      <w:r>
        <w:rPr>
          <w:bCs/>
          <w:b/>
        </w:rPr>
        <w:t xml:space="preserve">Programme Funding (donor share)</w:t>
      </w:r>
      <w:r>
        <w:t xml:space="preserve"> </w:t>
      </w:r>
      <w:r>
        <w:t xml:space="preserve">— defines how each programme is funded across donors (their percentage shares).</w:t>
      </w:r>
    </w:p>
    <w:p>
      <w:pPr>
        <w:numPr>
          <w:ilvl w:val="0"/>
          <w:numId w:val="1016"/>
        </w:numPr>
        <w:pStyle w:val="Compact"/>
      </w:pPr>
      <w:r>
        <w:rPr>
          <w:bCs/>
          <w:b/>
        </w:rPr>
        <w:t xml:space="preserve">Notification Templates</w:t>
      </w:r>
      <w:r>
        <w:t xml:space="preserve"> </w:t>
      </w:r>
      <w:r>
        <w:t xml:space="preserve">— the message templates used to notify applicants and staff on events.</w:t>
      </w:r>
    </w:p>
    <w:bookmarkEnd w:id="44"/>
    <w:bookmarkStart w:id="45" w:name="admin"/>
    <w:p>
      <w:pPr>
        <w:pStyle w:val="Heading2"/>
      </w:pPr>
      <w:r>
        <w:t xml:space="preserve">5.8 Admin</w:t>
      </w:r>
    </w:p>
    <w:p>
      <w:pPr>
        <w:pStyle w:val="FirstParagraph"/>
      </w:pPr>
      <w:r>
        <w:t xml:space="preserve">The Admin module is restricted to the System Administrator and covers technical administration.</w:t>
      </w:r>
    </w:p>
    <w:p>
      <w:pPr>
        <w:numPr>
          <w:ilvl w:val="0"/>
          <w:numId w:val="1017"/>
        </w:numPr>
        <w:pStyle w:val="Compact"/>
      </w:pPr>
      <w:r>
        <w:rPr>
          <w:bCs/>
          <w:b/>
        </w:rPr>
        <w:t xml:space="preserve">Manage API Key</w:t>
      </w:r>
      <w:r>
        <w:t xml:space="preserve"> </w:t>
      </w:r>
      <w:r>
        <w:t xml:space="preserve">— create and manage the</w:t>
      </w:r>
      <w:r>
        <w:t xml:space="preserve"> </w:t>
      </w:r>
      <w:r>
        <w:rPr>
          <w:bCs/>
          <w:b/>
        </w:rPr>
        <w:t xml:space="preserve">API keys</w:t>
      </w:r>
      <w:r>
        <w:t xml:space="preserve"> </w:t>
      </w:r>
      <w:r>
        <w:t xml:space="preserve">that let other systems exchange data with the FRS securely.</w:t>
      </w:r>
    </w:p>
    <w:p>
      <w:pPr>
        <w:numPr>
          <w:ilvl w:val="0"/>
          <w:numId w:val="1017"/>
        </w:numPr>
        <w:pStyle w:val="Compact"/>
      </w:pPr>
      <w:r>
        <w:rPr>
          <w:bCs/>
          <w:b/>
        </w:rPr>
        <w:t xml:space="preserve">Form Creator</w:t>
      </w:r>
      <w:r>
        <w:t xml:space="preserve"> </w:t>
      </w:r>
      <w:r>
        <w:t xml:space="preserve">— an administrative utility for provisioning the application’s forms.</w:t>
      </w:r>
    </w:p>
    <w:p>
      <w:pPr>
        <w:numPr>
          <w:ilvl w:val="0"/>
          <w:numId w:val="1017"/>
        </w:numPr>
        <w:pStyle w:val="Compact"/>
      </w:pPr>
      <w:r>
        <w:rPr>
          <w:bCs/>
          <w:b/>
        </w:rPr>
        <w:t xml:space="preserve">Identity Resolvers</w:t>
      </w:r>
      <w:r>
        <w:t xml:space="preserve"> </w:t>
      </w:r>
      <w:r>
        <w:t xml:space="preserve">and</w:t>
      </w:r>
      <w:r>
        <w:t xml:space="preserve"> </w:t>
      </w:r>
      <w:r>
        <w:rPr>
          <w:bCs/>
          <w:b/>
        </w:rPr>
        <w:t xml:space="preserve">Resolver Field Maps</w:t>
      </w:r>
      <w:r>
        <w:t xml:space="preserve"> </w:t>
      </w:r>
      <w:r>
        <w:t xml:space="preserve">— configure the</w:t>
      </w:r>
      <w:r>
        <w:t xml:space="preserve"> </w:t>
      </w:r>
      <w:r>
        <w:rPr>
          <w:bCs/>
          <w:b/>
        </w:rPr>
        <w:t xml:space="preserve">Identity Resolver</w:t>
      </w:r>
      <w:r>
        <w:t xml:space="preserve"> </w:t>
      </w:r>
      <w:r>
        <w:t xml:space="preserve">(Section 4.5): which source record a National ID is looked up against, and which source fields map to which target fields on the form.</w:t>
      </w:r>
    </w:p>
    <w:p>
      <w:pPr>
        <w:numPr>
          <w:ilvl w:val="0"/>
          <w:numId w:val="1017"/>
        </w:numPr>
        <w:pStyle w:val="Compact"/>
      </w:pPr>
      <w:r>
        <w:rPr>
          <w:bCs/>
          <w:b/>
        </w:rPr>
        <w:t xml:space="preserve">Audit Trail</w:t>
      </w:r>
      <w:r>
        <w:t xml:space="preserve"> </w:t>
      </w:r>
      <w:r>
        <w:t xml:space="preserve">— the system-wide log of who did what and when.</w:t>
      </w:r>
    </w:p>
    <w:p>
      <w:pPr>
        <w:numPr>
          <w:ilvl w:val="0"/>
          <w:numId w:val="1017"/>
        </w:numPr>
        <w:pStyle w:val="Compact"/>
      </w:pPr>
      <w:r>
        <w:rPr>
          <w:bCs/>
          <w:b/>
        </w:rPr>
        <w:t xml:space="preserve">Notification Queue</w:t>
      </w:r>
      <w:r>
        <w:t xml:space="preserve"> </w:t>
      </w:r>
      <w:r>
        <w:t xml:space="preserve">— the queue of messages waiting to be sent, with their status.</w:t>
      </w:r>
    </w:p>
    <w:p>
      <w:pPr>
        <w:numPr>
          <w:ilvl w:val="0"/>
          <w:numId w:val="1017"/>
        </w:numPr>
        <w:pStyle w:val="Compact"/>
      </w:pPr>
      <w:r>
        <w:rPr>
          <w:bCs/>
          <w:b/>
        </w:rPr>
        <w:t xml:space="preserve">Notification Dashboard</w:t>
      </w:r>
      <w:r>
        <w:t xml:space="preserve"> </w:t>
      </w:r>
      <w:r>
        <w:t xml:space="preserve">— an overview of notification activity and delivery.</w:t>
      </w:r>
    </w:p>
    <w:bookmarkEnd w:id="45"/>
    <w:bookmarkStart w:id="46" w:name="master-data"/>
    <w:p>
      <w:pPr>
        <w:pStyle w:val="Heading2"/>
      </w:pPr>
      <w:r>
        <w:t xml:space="preserve">5.9 Master Data</w:t>
      </w:r>
    </w:p>
    <w:p>
      <w:pPr>
        <w:pStyle w:val="FirstParagraph"/>
      </w:pPr>
      <w:r>
        <w:t xml:space="preserve">The Master Data module holds the controlled lists that populate drop-downs across the system, maintained by the Analyst and System Administrator. Each screen (</w:t>
      </w:r>
      <w:r>
        <w:rPr>
          <w:bCs/>
          <w:b/>
        </w:rPr>
        <w:t xml:space="preserve">MD.01</w:t>
      </w:r>
      <w:r>
        <w:t xml:space="preserve"> </w:t>
      </w:r>
      <w:r>
        <w:t xml:space="preserve">to</w:t>
      </w:r>
      <w:r>
        <w:t xml:space="preserve"> </w:t>
      </w:r>
      <w:r>
        <w:rPr>
          <w:bCs/>
          <w:b/>
        </w:rPr>
        <w:t xml:space="preserve">MD.96</w:t>
      </w:r>
      <w:r>
        <w:t xml:space="preserve">) is a simple list where you can add, edit or retire the standard values for one category — for example the list of</w:t>
      </w:r>
      <w:r>
        <w:t xml:space="preserve"> </w:t>
      </w:r>
      <w:r>
        <w:rPr>
          <w:bCs/>
          <w:b/>
        </w:rPr>
        <w:t xml:space="preserve">districts</w:t>
      </w:r>
      <w:r>
        <w:t xml:space="preserve">,</w:t>
      </w:r>
      <w:r>
        <w:t xml:space="preserve"> </w:t>
      </w:r>
      <w:r>
        <w:rPr>
          <w:bCs/>
          <w:b/>
        </w:rPr>
        <w:t xml:space="preserve">crops</w:t>
      </w:r>
      <w:r>
        <w:t xml:space="preserve">,</w:t>
      </w:r>
      <w:r>
        <w:t xml:space="preserve"> </w:t>
      </w:r>
      <w:r>
        <w:rPr>
          <w:bCs/>
          <w:b/>
        </w:rPr>
        <w:t xml:space="preserve">document types</w:t>
      </w:r>
      <w:r>
        <w:t xml:space="preserve"> </w:t>
      </w:r>
      <w:r>
        <w:t xml:space="preserve">or</w:t>
      </w:r>
      <w:r>
        <w:t xml:space="preserve"> </w:t>
      </w:r>
      <w:r>
        <w:rPr>
          <w:bCs/>
          <w:b/>
        </w:rPr>
        <w:t xml:space="preserve">application statuses</w:t>
      </w:r>
      <w:r>
        <w:t xml:space="preserve">.</w:t>
      </w:r>
    </w:p>
    <w:p>
      <w:pPr>
        <w:pStyle w:val="BodyText"/>
      </w:pPr>
      <w:r>
        <w:rPr>
          <w:bCs/>
          <w:b/>
        </w:rPr>
        <w:t xml:space="preserve">Why it matters:</w:t>
      </w:r>
      <w:r>
        <w:t xml:space="preserve"> </w:t>
      </w:r>
      <w:r>
        <w:t xml:space="preserve">almost every form and rule references master data. If, say, a new resource centre opens, it must be added under</w:t>
      </w:r>
      <w:r>
        <w:t xml:space="preserve"> </w:t>
      </w:r>
      <w:r>
        <w:rPr>
          <w:bCs/>
          <w:b/>
        </w:rPr>
        <w:t xml:space="preserve">MD.37</w:t>
      </w:r>
      <w:r>
        <w:t xml:space="preserve"> </w:t>
      </w:r>
      <w:r>
        <w:t xml:space="preserve">before vouchers can be redeemed there; if a crop is missing from</w:t>
      </w:r>
      <w:r>
        <w:t xml:space="preserve"> </w:t>
      </w:r>
      <w:r>
        <w:rPr>
          <w:bCs/>
          <w:b/>
        </w:rPr>
        <w:t xml:space="preserve">MD.19</w:t>
      </w:r>
      <w:r>
        <w:t xml:space="preserve">, it cannot be selected on a parcel. Change master data carefully and consistently — a value that is in use should be</w:t>
      </w:r>
      <w:r>
        <w:t xml:space="preserve"> </w:t>
      </w:r>
      <w:r>
        <w:rPr>
          <w:iCs/>
          <w:i/>
        </w:rPr>
        <w:t xml:space="preserve">retired</w:t>
      </w:r>
      <w:r>
        <w:t xml:space="preserve">, not deleted, so historical records keep their meaning.</w:t>
      </w:r>
    </w:p>
    <w:p>
      <w:pPr>
        <w:pStyle w:val="BodyText"/>
      </w:pPr>
      <w:r>
        <w:t xml:space="preserve">A complete, categorised reference of all 96 master-data catalogues is provided in</w:t>
      </w:r>
      <w:r>
        <w:t xml:space="preserve"> </w:t>
      </w:r>
      <w:r>
        <w:rPr>
          <w:bCs/>
          <w:b/>
        </w:rPr>
        <w:t xml:space="preserve">Section 8</w:t>
      </w:r>
      <w:r>
        <w:t xml:space="preserve">.</w:t>
      </w:r>
    </w:p>
    <w:bookmarkEnd w:id="46"/>
    <w:bookmarkEnd w:id="47"/>
    <w:bookmarkStart w:id="53" w:name="key-workflows-end-to-end"/>
    <w:p>
      <w:pPr>
        <w:pStyle w:val="Heading1"/>
      </w:pPr>
      <w:r>
        <w:t xml:space="preserve">6. Key Workflows (end to end)</w:t>
      </w:r>
    </w:p>
    <w:p>
      <w:pPr>
        <w:pStyle w:val="FirstParagraph"/>
      </w:pPr>
      <w:r>
        <w:t xml:space="preserve">This section ties the modules together into the everyday processes.</w:t>
      </w:r>
    </w:p>
    <w:bookmarkStart w:id="48" w:name="registering-a-farmer"/>
    <w:p>
      <w:pPr>
        <w:pStyle w:val="Heading2"/>
      </w:pPr>
      <w:r>
        <w:t xml:space="preserve">6.1 Registering a farmer</w:t>
      </w:r>
    </w:p>
    <w:p>
      <w:pPr>
        <w:numPr>
          <w:ilvl w:val="0"/>
          <w:numId w:val="1018"/>
        </w:numPr>
        <w:pStyle w:val="Compact"/>
      </w:pPr>
      <w:r>
        <w:t xml:space="preserve">Open</w:t>
      </w:r>
      <w:r>
        <w:t xml:space="preserve"> </w:t>
      </w:r>
      <w:r>
        <w:rPr>
          <w:bCs/>
          <w:b/>
        </w:rPr>
        <w:t xml:space="preserve">Registration Forms → 01 – Farmer Registration Form</w:t>
      </w:r>
      <w:r>
        <w:t xml:space="preserve"> </w:t>
      </w:r>
      <w:r>
        <w:t xml:space="preserve">and select</w:t>
      </w:r>
      <w:r>
        <w:t xml:space="preserve"> </w:t>
      </w:r>
      <w:r>
        <w:rPr>
          <w:bCs/>
          <w:b/>
        </w:rPr>
        <w:t xml:space="preserve">New</w:t>
      </w:r>
      <w:r>
        <w:t xml:space="preserve">.</w:t>
      </w:r>
    </w:p>
    <w:p>
      <w:pPr>
        <w:numPr>
          <w:ilvl w:val="0"/>
          <w:numId w:val="1018"/>
        </w:numPr>
        <w:pStyle w:val="Compact"/>
      </w:pPr>
      <w:r>
        <w:t xml:space="preserve">Complete the farmer’s basic information (National ID, names, date of birth, gender, contact), then their residency (see the note below), agricultural activity, household members, livestock, and income/existing support.</w:t>
      </w:r>
    </w:p>
    <w:p>
      <w:pPr>
        <w:numPr>
          <w:ilvl w:val="0"/>
          <w:numId w:val="1018"/>
        </w:numPr>
        <w:pStyle w:val="Compact"/>
      </w:pPr>
      <w:r>
        <w:rPr>
          <w:bCs/>
          <w:b/>
        </w:rPr>
        <w:t xml:space="preserve">Save</w:t>
      </w:r>
      <w:r>
        <w:t xml:space="preserve">. The farmer now exists in the registry and can have parcels and applications attached to their National ID.</w:t>
      </w:r>
    </w:p>
    <w:p>
      <w:pPr>
        <w:pStyle w:val="FirstParagraph"/>
      </w:pPr>
      <w:r>
        <w:rPr>
          <w:bCs/>
          <w:b/>
        </w:rPr>
        <w:t xml:space="preserve">The residency page (page 2) — what changed in August 2026.</w:t>
      </w:r>
      <w:r>
        <w:t xml:space="preserve"> </w:t>
      </w:r>
      <w:r>
        <w:t xml:space="preserve">Officers trained on the earlier screen should note four changes:</w:t>
      </w:r>
    </w:p>
    <w:p>
      <w:pPr>
        <w:numPr>
          <w:ilvl w:val="0"/>
          <w:numId w:val="1019"/>
        </w:numPr>
        <w:pStyle w:val="Compact"/>
      </w:pPr>
      <w:r>
        <w:rPr>
          <w:bCs/>
          <w:b/>
        </w:rPr>
        <w:t xml:space="preserve">National ID</w:t>
      </w:r>
      <w:r>
        <w:t xml:space="preserve"> </w:t>
      </w:r>
      <w:r>
        <w:t xml:space="preserve">now accepts</w:t>
      </w:r>
      <w:r>
        <w:t xml:space="preserve"> </w:t>
      </w:r>
      <w:r>
        <w:rPr>
          <w:bCs/>
          <w:b/>
        </w:rPr>
        <w:t xml:space="preserve">exactly 12 digits, numbers only.</w:t>
      </w:r>
      <w:r>
        <w:t xml:space="preserve"> </w:t>
      </w:r>
      <w:r>
        <w:t xml:space="preserve">A value that is not 12 digits (or contains letters) is rejected on save.</w:t>
      </w:r>
      <w:r>
        <w:t xml:space="preserve"> </w:t>
      </w:r>
      <w:r>
        <w:rPr>
          <w:bCs/>
          <w:b/>
        </w:rPr>
        <w:t xml:space="preserve">Date of birth</w:t>
      </w:r>
      <w:r>
        <w:t xml:space="preserve"> </w:t>
      </w:r>
      <w:r>
        <w:t xml:space="preserve">— the farmer’s and each household member’s — can no longer be a future date, and the year list stops at the current year.</w:t>
      </w:r>
    </w:p>
    <w:p>
      <w:pPr>
        <w:numPr>
          <w:ilvl w:val="0"/>
          <w:numId w:val="1019"/>
        </w:numPr>
        <w:pStyle w:val="Compact"/>
      </w:pPr>
      <w:r>
        <w:rPr>
          <w:bCs/>
          <w:b/>
        </w:rPr>
        <w:t>Resource Centre is now required</w:t>
      </w:r>
      <w:r>
        <w:t xml:space="preserve"> on the residency page, and the </w:t>
      </w:r>
      <w:r>
        <w:rPr>
          <w:bCs/>
          <w:b/>
        </w:rPr>
        <w:t>Quthing</w:t>
      </w:r>
      <w:r>
        <w:t xml:space="preserve"> list is now the Ministry’s official list of centres: </w:t>
      </w:r>
      <w:r>
        <w:rPr>
          <w:bCs/>
          <w:b/>
        </w:rPr>
        <w:t>Quthing Distribution Centre</w:t>
      </w:r>
      <w:r>
        <w:t xml:space="preserve"> (the district office at Moyeni, shown at launch as </w:t>
      </w:r>
      <w:r>
        <w:rPr>
          <w:i/>
        </w:rPr>
        <w:t>Quthing Service Office</w:t>
      </w:r>
      <w:r>
        <w:t xml:space="preserve">), </w:t>
      </w:r>
      <w:r>
        <w:rPr>
          <w:bCs/>
          <w:b/>
        </w:rPr>
        <w:t>Tlatlametsi</w:t>
      </w:r>
      <w:r>
        <w:t xml:space="preserve">, </w:t>
      </w:r>
      <w:r>
        <w:rPr>
          <w:bCs/>
          <w:b/>
        </w:rPr>
        <w:t>Mphaki</w:t>
      </w:r>
      <w:r>
        <w:t xml:space="preserve">, </w:t>
      </w:r>
      <w:r>
        <w:rPr>
          <w:bCs/>
          <w:b/>
        </w:rPr>
        <w:t>Makoae</w:t>
      </w:r>
      <w:r>
        <w:t xml:space="preserve">, </w:t>
      </w:r>
      <w:r>
        <w:rPr>
          <w:bCs/>
          <w:b/>
        </w:rPr>
        <w:t>Koali</w:t>
      </w:r>
      <w:r>
        <w:t xml:space="preserve">, </w:t>
      </w:r>
      <w:r>
        <w:rPr>
          <w:bCs/>
          <w:b/>
        </w:rPr>
        <w:t>Qomoqomong</w:t>
      </w:r>
      <w:r>
        <w:t xml:space="preserve"> and </w:t>
      </w:r>
      <w:r>
        <w:rPr>
          <w:bCs/>
          <w:b/>
        </w:rPr>
        <w:t>Tele</w:t>
      </w:r>
      <w:r>
        <w:t xml:space="preserve"> — the Ministry’s six surveyed centres plus the district distribution centre. </w:t>
      </w:r>
      <w:r>
        <w:rPr>
          <w:bCs/>
          <w:b/>
        </w:rPr>
        <w:t>Likhohlong</w:t>
      </w:r>
      <w:r>
        <w:t xml:space="preserve"> also remains selectable for the time being, because a parcel captured on launch day is still recorded against it; it will be withdrawn once that parcel is recorded at the centre it belongs to. </w:t>
      </w:r>
      <w:r>
        <w:rPr>
          <w:bCs/>
          <w:b/>
        </w:rPr>
        <w:t>Eight in all.</w:t>
      </w:r>
      <w:r>
        <w:t xml:space="preserve"> The remaining community-council entries offered at launch (Matsatseng, Liphakoe, Ha Nkoebe, Tsatsane, Mkh’ono, Mokotjomela and Seforong) were withdrawn at the Ministry’s request on 26 August 2026 and no longer appear in the list; records already captured against them are unaffected.</w:t>
      </w:r>
    </w:p>
    <w:p>
      <w:pPr>
        <w:numPr>
          <w:ilvl w:val="0"/>
          <w:numId w:val="1019"/>
        </w:numPr>
        <w:pStyle w:val="Compact"/>
      </w:pPr>
      <w:r>
        <w:rPr>
          <w:bCs/>
          <w:b/>
        </w:rPr>
        <w:t xml:space="preserve">Owned and rented land are now two separate boxes</w:t>
      </w:r>
      <w:r>
        <w:t xml:space="preserve"> </w:t>
      </w:r>
      <w:r>
        <w:t xml:space="preserve">—</w:t>
      </w:r>
      <w:r>
        <w:t xml:space="preserve"> </w:t>
      </w:r>
      <w:r>
        <w:rPr>
          <w:iCs/>
          <w:i/>
        </w:rPr>
        <w:t xml:space="preserve">Owned Land (Hectares)</w:t>
      </w:r>
      <w:r>
        <w:t xml:space="preserve"> </w:t>
      </w:r>
      <w:r>
        <w:t xml:space="preserve">and</w:t>
      </w:r>
      <w:r>
        <w:t xml:space="preserve"> </w:t>
      </w:r>
      <w:r>
        <w:rPr>
          <w:iCs/>
          <w:i/>
        </w:rPr>
        <w:t xml:space="preserve">Rented Land (Hectares)</w:t>
      </w:r>
      <w:r>
        <w:t xml:space="preserve"> </w:t>
      </w:r>
      <w:r>
        <w:t xml:space="preserve">— and the system shows their sum automatically in</w:t>
      </w:r>
      <w:r>
        <w:t xml:space="preserve"> </w:t>
      </w:r>
      <w:r>
        <w:rPr>
          <w:iCs/>
          <w:i/>
        </w:rPr>
        <w:t xml:space="preserve">Owned + Rented (Total, Hectares)</w:t>
      </w:r>
      <w:r>
        <w:t xml:space="preserve">.</w:t>
      </w:r>
      <w:r>
        <w:t xml:space="preserve"> </w:t>
      </w:r>
      <w:r>
        <w:rPr>
          <w:iCs/>
          <w:i/>
        </w:rPr>
        <w:t xml:space="preserve">Total Available Land</w:t>
      </w:r>
      <w:r>
        <w:t xml:space="preserve"> </w:t>
      </w:r>
      <w:r>
        <w:t xml:space="preserve">is still entered on its own, because a farmer’s total can include communal or borrowed land that is neither owned nor rented.</w:t>
      </w:r>
    </w:p>
    <w:p>
      <w:pPr>
        <w:numPr>
          <w:ilvl w:val="0"/>
          <w:numId w:val="1019"/>
        </w:numPr>
        <w:pStyle w:val="Compact"/>
      </w:pPr>
      <w:r>
        <w:rPr>
          <w:bCs/>
          <w:b/>
        </w:rPr>
        <w:t xml:space="preserve">Access to Services</w:t>
      </w:r>
      <w:r>
        <w:t xml:space="preserve"> </w:t>
      </w:r>
      <w:r>
        <w:t xml:space="preserve">now asks the</w:t>
      </w:r>
      <w:r>
        <w:t xml:space="preserve"> </w:t>
      </w:r>
      <w:r>
        <w:rPr>
          <w:bCs/>
          <w:b/>
        </w:rPr>
        <w:t xml:space="preserve">mode of transport for each service separately</w:t>
      </w:r>
      <w:r>
        <w:t xml:space="preserve"> </w:t>
      </w:r>
      <w:r>
        <w:t xml:space="preserve">(water source, primary school, livestock market, crops market, public transport, hospital, and the nearest service point), each paired with its</w:t>
      </w:r>
      <w:r>
        <w:t xml:space="preserve"> </w:t>
      </w:r>
      <w:r>
        <w:rPr>
          <w:bCs/>
          <w:b/>
        </w:rPr>
        <w:t xml:space="preserve">travel time in minutes</w:t>
      </w:r>
      <w:r>
        <w:t xml:space="preserve">. The single</w:t>
      </w:r>
      <w:r>
        <w:t xml:space="preserve"> </w:t>
      </w:r>
      <w:r>
        <w:t xml:space="preserve">“</w:t>
      </w:r>
      <w:r>
        <w:t xml:space="preserve">Mode of Transportation</w:t>
      </w:r>
      <w:r>
        <w:t xml:space="preserve">”</w:t>
      </w:r>
      <w:r>
        <w:t xml:space="preserve"> </w:t>
      </w:r>
      <w:r>
        <w:t xml:space="preserve">question has been removed.</w:t>
      </w:r>
    </w:p>
    <w:p>
      <w:pPr>
        <w:numPr>
          <w:ilvl w:val="0"/>
          <w:numId w:val="1019"/>
        </w:numPr>
        <w:pStyle w:val="Compact"/>
      </w:pPr>
      <w:r>
        <w:t xml:space="preserve">A</w:t>
      </w:r>
      <w:r>
        <w:t xml:space="preserve"> </w:t>
      </w:r>
      <w:r>
        <w:rPr>
          <w:bCs/>
          <w:b/>
        </w:rPr>
        <w:t xml:space="preserve">“</w:t>
      </w:r>
      <w:r>
        <w:rPr>
          <w:bCs/>
          <w:b/>
        </w:rPr>
        <w:t xml:space="preserve">Capture location</w:t>
      </w:r>
      <w:r>
        <w:rPr>
          <w:bCs/>
          <w:b/>
        </w:rPr>
        <w:t xml:space="preserve">”</w:t>
      </w:r>
      <w:r>
        <w:rPr>
          <w:bCs/>
          <w:b/>
        </w:rPr>
        <w:t xml:space="preserve"> </w:t>
      </w:r>
      <w:r>
        <w:rPr>
          <w:bCs/>
          <w:b/>
        </w:rPr>
        <w:t xml:space="preserve">button</w:t>
      </w:r>
      <w:r>
        <w:t xml:space="preserve"> </w:t>
      </w:r>
      <w:r>
        <w:t xml:space="preserve">on the residency page fills the latitude and longitude from the officer’s device and shows the accuracy. It records</w:t>
      </w:r>
      <w:r>
        <w:t xml:space="preserve"> </w:t>
      </w:r>
      <w:r>
        <w:rPr>
          <w:bCs/>
          <w:b/>
        </w:rPr>
        <w:t xml:space="preserve">the position of the device at that moment</w:t>
      </w:r>
      <w:r>
        <w:t xml:space="preserve"> </w:t>
      </w:r>
      <w:r>
        <w:t xml:space="preserve">— use it at the farmer’s homestead, not back at the office. Coordinates can always be typed or corrected by hand, and the button never blocks saving if the device has no signal or permission.</w:t>
      </w:r>
    </w:p>
    <w:p>
      <w:pPr>
        <w:pStyle w:val="FirstParagraph"/>
      </w:pPr>
      <w:r>
        <w:rPr>
          <w:bCs/>
          <w:b/>
        </w:rPr>
        <w:t xml:space="preserve">Declaration date</w:t>
      </w:r>
      <w:r>
        <w:t xml:space="preserve"> </w:t>
      </w:r>
      <w:r>
        <w:t xml:space="preserve">(final page) is pre-filled with today’s date and may be back-dated by up to seven days (to allow a paper form signed a few days earlier to be captured); a future date is rejected.</w:t>
      </w:r>
    </w:p>
    <w:bookmarkEnd w:id="48"/>
    <w:bookmarkStart w:id="49" w:name="registering-a-parcel"/>
    <w:p>
      <w:pPr>
        <w:pStyle w:val="Heading2"/>
      </w:pPr>
      <w:r>
        <w:t xml:space="preserve">6.2 Registering a parcel</w:t>
      </w:r>
    </w:p>
    <w:p>
      <w:pPr>
        <w:numPr>
          <w:ilvl w:val="0"/>
          <w:numId w:val="1020"/>
        </w:numPr>
        <w:pStyle w:val="Compact"/>
      </w:pPr>
      <w:r>
        <w:t xml:space="preserve">Open</w:t>
      </w:r>
      <w:r>
        <w:t xml:space="preserve"> </w:t>
      </w:r>
      <w:r>
        <w:rPr>
          <w:bCs/>
          <w:b/>
        </w:rPr>
        <w:t xml:space="preserve">Registration Forms → 02 – Parcel Registration</w:t>
      </w:r>
      <w:r>
        <w:t xml:space="preserve"> </w:t>
      </w:r>
      <w:r>
        <w:t xml:space="preserve">and select</w:t>
      </w:r>
      <w:r>
        <w:t xml:space="preserve"> </w:t>
      </w:r>
      <w:r>
        <w:rPr>
          <w:bCs/>
          <w:b/>
        </w:rPr>
        <w:t xml:space="preserve">New</w:t>
      </w:r>
      <w:r>
        <w:t xml:space="preserve">.</w:t>
      </w:r>
    </w:p>
    <w:p>
      <w:pPr>
        <w:numPr>
          <w:ilvl w:val="0"/>
          <w:numId w:val="1020"/>
        </w:numPr>
        <w:pStyle w:val="Compact"/>
      </w:pPr>
      <w:r>
        <w:t xml:space="preserve">Identify the owning farmer (by National ID), then capture the parcel’s location, size, classification and crop production. Where a map is available, draw the parcel’s</w:t>
      </w:r>
      <w:r>
        <w:t xml:space="preserve"> </w:t>
      </w:r>
      <w:r>
        <w:rPr>
          <w:bCs/>
          <w:b/>
        </w:rPr>
        <w:t xml:space="preserve">GPS boundary</w:t>
      </w:r>
      <w:r>
        <w:t xml:space="preserve">.</w:t>
      </w:r>
    </w:p>
    <w:p>
      <w:pPr>
        <w:numPr>
          <w:ilvl w:val="0"/>
          <w:numId w:val="1020"/>
        </w:numPr>
        <w:pStyle w:val="Compact"/>
      </w:pPr>
      <w:r>
        <w:rPr>
          <w:bCs/>
          <w:b/>
        </w:rPr>
        <w:t xml:space="preserve">Save</w:t>
      </w:r>
      <w:r>
        <w:t xml:space="preserve">. The parcel is linked to the farmer.</w:t>
      </w:r>
    </w:p>
    <w:bookmarkEnd w:id="49"/>
    <w:bookmarkStart w:id="50" w:name="Xd50af90af50dfbe8ef07d17e592c6eb703328d0"/>
    <w:p>
      <w:pPr>
        <w:pStyle w:val="Heading2"/>
      </w:pPr>
      <w:r>
        <w:t xml:space="preserve">6.3 Applying for a subsidy and its review lifecycle</w:t>
      </w:r>
    </w:p>
    <w:p>
      <w:pPr>
        <w:numPr>
          <w:ilvl w:val="0"/>
          <w:numId w:val="1021"/>
        </w:numPr>
        <w:pStyle w:val="Compact"/>
      </w:pPr>
      <w:r>
        <w:rPr>
          <w:bCs/>
          <w:b/>
        </w:rPr>
        <w:t xml:space="preserve">Apply</w:t>
      </w:r>
      <w:r>
        <w:t xml:space="preserve"> </w:t>
      </w:r>
      <w:r>
        <w:t xml:space="preserve">— In</w:t>
      </w:r>
      <w:r>
        <w:t xml:space="preserve"> </w:t>
      </w:r>
      <w:r>
        <w:rPr>
          <w:bCs/>
          <w:b/>
        </w:rPr>
        <w:t xml:space="preserve">Registration Forms → 2025 Subsidy Application</w:t>
      </w:r>
      <w:r>
        <w:t xml:space="preserve">, enter the applicant’s National ID (identity auto-fills), choose the programme, complete the eligibility criteria and the requested benefit items/quantities, sign the declaration, and</w:t>
      </w:r>
      <w:r>
        <w:t xml:space="preserve"> </w:t>
      </w:r>
      <w:r>
        <w:rPr>
          <w:bCs/>
          <w:b/>
        </w:rPr>
        <w:t xml:space="preserve">Submit</w:t>
      </w:r>
      <w:r>
        <w:t xml:space="preserve">. The application status becomes</w:t>
      </w:r>
      <w:r>
        <w:t xml:space="preserve"> </w:t>
      </w:r>
      <w:r>
        <w:rPr>
          <w:bCs/>
          <w:b/>
        </w:rPr>
        <w:t xml:space="preserve">Submitted</w:t>
      </w:r>
      <w:r>
        <w:t xml:space="preserve">.</w:t>
      </w:r>
    </w:p>
    <w:p>
      <w:pPr>
        <w:numPr>
          <w:ilvl w:val="0"/>
          <w:numId w:val="1021"/>
        </w:numPr>
        <w:pStyle w:val="Compact"/>
      </w:pPr>
      <w:r>
        <w:rPr>
          <w:bCs/>
          <w:b/>
        </w:rPr>
        <w:t xml:space="preserve">Automated checks</w:t>
      </w:r>
      <w:r>
        <w:t xml:space="preserve"> </w:t>
      </w:r>
      <w:r>
        <w:t xml:space="preserve">— The system evaluates the eligibility and quality</w:t>
      </w:r>
      <w:r>
        <w:t xml:space="preserve"> </w:t>
      </w:r>
      <w:r>
        <w:rPr>
          <w:bCs/>
          <w:b/>
        </w:rPr>
        <w:t xml:space="preserve">rules</w:t>
      </w:r>
      <w:r>
        <w:t xml:space="preserve">, recording the outcomes to the</w:t>
      </w:r>
      <w:r>
        <w:t xml:space="preserve"> </w:t>
      </w:r>
      <w:r>
        <w:rPr>
          <w:bCs/>
          <w:b/>
        </w:rPr>
        <w:t xml:space="preserve">RegBB Evaluation Audit</w:t>
      </w:r>
      <w:r>
        <w:t xml:space="preserve">. The application may move through</w:t>
      </w:r>
      <w:r>
        <w:t xml:space="preserve"> </w:t>
      </w:r>
      <w:r>
        <w:rPr>
          <w:bCs/>
          <w:b/>
        </w:rPr>
        <w:t xml:space="preserve">Under Review</w:t>
      </w:r>
      <w:r>
        <w:t xml:space="preserve">,</w:t>
      </w:r>
      <w:r>
        <w:t xml:space="preserve"> </w:t>
      </w:r>
      <w:r>
        <w:rPr>
          <w:bCs/>
          <w:b/>
        </w:rPr>
        <w:t xml:space="preserve">Eligibility Verification</w:t>
      </w:r>
      <w:r>
        <w:t xml:space="preserve">,</w:t>
      </w:r>
      <w:r>
        <w:t xml:space="preserve"> </w:t>
      </w:r>
      <w:r>
        <w:rPr>
          <w:bCs/>
          <w:b/>
        </w:rPr>
        <w:t xml:space="preserve">Document Review</w:t>
      </w:r>
      <w:r>
        <w:t xml:space="preserve"> </w:t>
      </w:r>
      <w:r>
        <w:t xml:space="preserve">and</w:t>
      </w:r>
      <w:r>
        <w:t xml:space="preserve"> </w:t>
      </w:r>
      <w:r>
        <w:rPr>
          <w:bCs/>
          <w:b/>
        </w:rPr>
        <w:t xml:space="preserve">Field Verification</w:t>
      </w:r>
      <w:r>
        <w:t xml:space="preserve"> </w:t>
      </w:r>
      <w:r>
        <w:t xml:space="preserve">as appropriate.</w:t>
      </w:r>
    </w:p>
    <w:p>
      <w:pPr>
        <w:numPr>
          <w:ilvl w:val="0"/>
          <w:numId w:val="1021"/>
        </w:numPr>
        <w:pStyle w:val="Compact"/>
      </w:pPr>
      <w:r>
        <w:rPr>
          <w:bCs/>
          <w:b/>
        </w:rPr>
        <w:t xml:space="preserve">Operator review</w:t>
      </w:r>
      <w:r>
        <w:t xml:space="preserve"> </w:t>
      </w:r>
      <w:r>
        <w:t xml:space="preserve">— In</w:t>
      </w:r>
      <w:r>
        <w:t xml:space="preserve"> </w:t>
      </w:r>
      <w:r>
        <w:rPr>
          <w:bCs/>
          <w:b/>
        </w:rPr>
        <w:t xml:space="preserve">MOA Office → Operator Review</w:t>
      </w:r>
      <w:r>
        <w:t xml:space="preserve">, an officer opens the application, optionally adjusts approved quantities, and records a</w:t>
      </w:r>
      <w:r>
        <w:t xml:space="preserve"> </w:t>
      </w:r>
      <w:r>
        <w:rPr>
          <w:bCs/>
          <w:b/>
        </w:rPr>
        <w:t xml:space="preserve">decision</w:t>
      </w:r>
      <w:r>
        <w:t xml:space="preserve"> </w:t>
      </w:r>
      <w:r>
        <w:t xml:space="preserve">with a reason. If information is missing, the status becomes</w:t>
      </w:r>
      <w:r>
        <w:t xml:space="preserve"> </w:t>
      </w:r>
      <w:r>
        <w:rPr>
          <w:bCs/>
          <w:b/>
        </w:rPr>
        <w:t xml:space="preserve">Pending Information</w:t>
      </w:r>
      <w:r>
        <w:t xml:space="preserve"> </w:t>
      </w:r>
      <w:r>
        <w:t xml:space="preserve">and the applicant is notified.</w:t>
      </w:r>
    </w:p>
    <w:p>
      <w:pPr>
        <w:numPr>
          <w:ilvl w:val="0"/>
          <w:numId w:val="1021"/>
        </w:numPr>
        <w:pStyle w:val="Compact"/>
      </w:pPr>
      <w:r>
        <w:rPr>
          <w:bCs/>
          <w:b/>
        </w:rPr>
        <w:t xml:space="preserve">Outcome</w:t>
      </w:r>
      <w:r>
        <w:t xml:space="preserve"> </w:t>
      </w:r>
      <w:r>
        <w:t xml:space="preserve">— On approval the status becomes</w:t>
      </w:r>
      <w:r>
        <w:t xml:space="preserve"> </w:t>
      </w:r>
      <w:r>
        <w:rPr>
          <w:bCs/>
          <w:b/>
        </w:rPr>
        <w:t xml:space="preserve">Approved</w:t>
      </w:r>
      <w:r>
        <w:t xml:space="preserve"> </w:t>
      </w:r>
      <w:r>
        <w:t xml:space="preserve">and an</w:t>
      </w:r>
      <w:r>
        <w:t xml:space="preserve"> </w:t>
      </w:r>
      <w:r>
        <w:rPr>
          <w:bCs/>
          <w:b/>
        </w:rPr>
        <w:t xml:space="preserve">entitlement</w:t>
      </w:r>
      <w:r>
        <w:t xml:space="preserve"> </w:t>
      </w:r>
      <w:r>
        <w:t xml:space="preserve">(</w:t>
      </w:r>
      <w:r>
        <w:rPr>
          <w:rStyle w:val="VerbatimChar"/>
        </w:rPr>
        <w:t xml:space="preserve">EN-…</w:t>
      </w:r>
      <w:r>
        <w:t xml:space="preserve">) is generated with the approved items, quantities, subsidy percentages and values; a</w:t>
      </w:r>
      <w:r>
        <w:t xml:space="preserve"> </w:t>
      </w:r>
      <w:r>
        <w:rPr>
          <w:bCs/>
          <w:b/>
        </w:rPr>
        <w:t xml:space="preserve">budget reservation</w:t>
      </w:r>
      <w:r>
        <w:t xml:space="preserve"> </w:t>
      </w:r>
      <w:r>
        <w:t xml:space="preserve">is made. On rejection the status becomes</w:t>
      </w:r>
      <w:r>
        <w:t xml:space="preserve"> </w:t>
      </w:r>
      <w:r>
        <w:rPr>
          <w:bCs/>
          <w:b/>
        </w:rPr>
        <w:t xml:space="preserve">Rejected</w:t>
      </w:r>
      <w:r>
        <w:t xml:space="preserve"> </w:t>
      </w:r>
      <w:r>
        <w:t xml:space="preserve">with a standard rejection reason. The applicant may lodge an</w:t>
      </w:r>
      <w:r>
        <w:t xml:space="preserve"> </w:t>
      </w:r>
      <w:r>
        <w:rPr>
          <w:bCs/>
          <w:b/>
        </w:rPr>
        <w:t xml:space="preserve">Appeal</w:t>
      </w:r>
      <w:r>
        <w:t xml:space="preserve">.</w:t>
      </w:r>
    </w:p>
    <w:bookmarkEnd w:id="50"/>
    <w:bookmarkStart w:id="51" w:name="issuing-and-redeeming-vouchers"/>
    <w:p>
      <w:pPr>
        <w:pStyle w:val="Heading2"/>
      </w:pPr>
      <w:r>
        <w:t xml:space="preserve">6.4 Issuing and redeeming vouchers</w:t>
      </w:r>
    </w:p>
    <w:p>
      <w:pPr>
        <w:numPr>
          <w:ilvl w:val="0"/>
          <w:numId w:val="1022"/>
        </w:numPr>
        <w:pStyle w:val="Compact"/>
      </w:pPr>
      <w:r>
        <w:rPr>
          <w:bCs/>
          <w:b/>
        </w:rPr>
        <w:t xml:space="preserve">Allocate &amp; issue</w:t>
      </w:r>
      <w:r>
        <w:t xml:space="preserve"> </w:t>
      </w:r>
      <w:r>
        <w:t xml:space="preserve">— Based on the approved entitlements and the</w:t>
      </w:r>
      <w:r>
        <w:t xml:space="preserve"> </w:t>
      </w:r>
      <w:r>
        <w:rPr>
          <w:bCs/>
          <w:b/>
        </w:rPr>
        <w:t xml:space="preserve">Allocation Plan</w:t>
      </w:r>
      <w:r>
        <w:t xml:space="preserve">,</w:t>
      </w:r>
      <w:r>
        <w:t xml:space="preserve"> </w:t>
      </w:r>
      <w:r>
        <w:rPr>
          <w:bCs/>
          <w:b/>
        </w:rPr>
        <w:t xml:space="preserve">vouchers</w:t>
      </w:r>
      <w:r>
        <w:t xml:space="preserve"> </w:t>
      </w:r>
      <w:r>
        <w:t xml:space="preserve">are issued (each</w:t>
      </w:r>
      <w:r>
        <w:t xml:space="preserve"> </w:t>
      </w:r>
      <w:r>
        <w:rPr>
          <w:rStyle w:val="VerbatimChar"/>
        </w:rPr>
        <w:t xml:space="preserve">VCH-…</w:t>
      </w:r>
      <w:r>
        <w:t xml:space="preserve">), assigned to a resource centre with a quantity and expiry. Issuing a voucher fires a budget</w:t>
      </w:r>
      <w:r>
        <w:t xml:space="preserve"> </w:t>
      </w:r>
      <w:r>
        <w:rPr>
          <w:bCs/>
          <w:b/>
        </w:rPr>
        <w:t xml:space="preserve">COMMITMENT</w:t>
      </w:r>
      <w:r>
        <w:t xml:space="preserve">.</w:t>
      </w:r>
    </w:p>
    <w:p>
      <w:pPr>
        <w:numPr>
          <w:ilvl w:val="0"/>
          <w:numId w:val="1022"/>
        </w:numPr>
        <w:pStyle w:val="Compact"/>
      </w:pPr>
      <w:r>
        <w:rPr>
          <w:bCs/>
          <w:b/>
        </w:rPr>
        <w:t xml:space="preserve">Collect</w:t>
      </w:r>
      <w:r>
        <w:t xml:space="preserve"> </w:t>
      </w:r>
      <w:r>
        <w:t xml:space="preserve">— The farmer goes to their resource centre. A Field Officer opens</w:t>
      </w:r>
      <w:r>
        <w:t xml:space="preserve"> </w:t>
      </w:r>
      <w:r>
        <w:rPr>
          <w:bCs/>
          <w:b/>
        </w:rPr>
        <w:t xml:space="preserve">Inputs Management → IM – Redeem Voucher</w:t>
      </w:r>
      <w:r>
        <w:t xml:space="preserve">, enters the voucher code, selects the district and centre, and confirms.</w:t>
      </w:r>
    </w:p>
    <w:p>
      <w:pPr>
        <w:numPr>
          <w:ilvl w:val="0"/>
          <w:numId w:val="1022"/>
        </w:numPr>
        <w:pStyle w:val="Compact"/>
      </w:pPr>
      <w:r>
        <w:rPr>
          <w:bCs/>
          <w:b/>
        </w:rPr>
        <w:t xml:space="preserve">Redeem</w:t>
      </w:r>
      <w:r>
        <w:t xml:space="preserve"> </w:t>
      </w:r>
      <w:r>
        <w:t xml:space="preserve">— If the voucher is valid (right status, not expired, right centre, enough stock), the system atomically: sets the voucher to</w:t>
      </w:r>
      <w:r>
        <w:t xml:space="preserve"> </w:t>
      </w:r>
      <w:r>
        <w:rPr>
          <w:bCs/>
          <w:b/>
        </w:rPr>
        <w:t xml:space="preserve">Redeemed</w:t>
      </w:r>
      <w:r>
        <w:t xml:space="preserve">, decrements the centre’s</w:t>
      </w:r>
      <w:r>
        <w:t xml:space="preserve"> </w:t>
      </w:r>
      <w:r>
        <w:rPr>
          <w:bCs/>
          <w:b/>
        </w:rPr>
        <w:t xml:space="preserve">inventory</w:t>
      </w:r>
      <w:r>
        <w:t xml:space="preserve">, writes a</w:t>
      </w:r>
      <w:r>
        <w:t xml:space="preserve"> </w:t>
      </w:r>
      <w:r>
        <w:rPr>
          <w:bCs/>
          <w:b/>
        </w:rPr>
        <w:t xml:space="preserve">redemption audit</w:t>
      </w:r>
      <w:r>
        <w:t xml:space="preserve"> </w:t>
      </w:r>
      <w:r>
        <w:t xml:space="preserve">record, and posts a budget</w:t>
      </w:r>
      <w:r>
        <w:t xml:space="preserve"> </w:t>
      </w:r>
      <w:r>
        <w:rPr>
          <w:bCs/>
          <w:b/>
        </w:rPr>
        <w:t xml:space="preserve">EXPENSE</w:t>
      </w:r>
      <w:r>
        <w:t xml:space="preserve">. A redemption code is returned. If a check fails (e.g. </w:t>
      </w:r>
      <w:r>
        <w:rPr>
          <w:iCs/>
          <w:i/>
        </w:rPr>
        <w:t xml:space="preserve">insufficient stock</w:t>
      </w:r>
      <w:r>
        <w:t xml:space="preserve">), nothing changes and the reason is shown.</w:t>
      </w:r>
    </w:p>
    <w:p>
      <w:pPr>
        <w:numPr>
          <w:ilvl w:val="0"/>
          <w:numId w:val="1022"/>
        </w:numPr>
        <w:pStyle w:val="Compact"/>
      </w:pPr>
      <w:r>
        <w:rPr>
          <w:bCs/>
          <w:b/>
        </w:rPr>
        <w:t xml:space="preserve">Reconcile</w:t>
      </w:r>
      <w:r>
        <w:t xml:space="preserve"> </w:t>
      </w:r>
      <w:r>
        <w:t xml:space="preserve">— At the end of the campaign,</w:t>
      </w:r>
      <w:r>
        <w:t xml:space="preserve"> </w:t>
      </w:r>
      <w:r>
        <w:rPr>
          <w:bCs/>
          <w:b/>
        </w:rPr>
        <w:t xml:space="preserve">Distribution Receipts</w:t>
      </w:r>
      <w:r>
        <w:t xml:space="preserve"> </w:t>
      </w:r>
      <w:r>
        <w:t xml:space="preserve">and the</w:t>
      </w:r>
      <w:r>
        <w:t xml:space="preserve"> </w:t>
      </w:r>
      <w:r>
        <w:rPr>
          <w:bCs/>
          <w:b/>
        </w:rPr>
        <w:t xml:space="preserve">End-of-campaign reconciliation</w:t>
      </w:r>
      <w:r>
        <w:t xml:space="preserve"> </w:t>
      </w:r>
      <w:r>
        <w:t xml:space="preserve">report confirm that issued, redeemed and stock figures agree.</w:t>
      </w:r>
    </w:p>
    <w:bookmarkEnd w:id="51"/>
    <w:bookmarkStart w:id="52" w:name="how-money-moves-through-the-budget"/>
    <w:p>
      <w:pPr>
        <w:pStyle w:val="Heading2"/>
      </w:pPr>
      <w:r>
        <w:t xml:space="preserve">6.5 How money moves through the budget</w:t>
      </w:r>
    </w:p>
    <w:p>
      <w:pPr>
        <w:pStyle w:val="FirstParagraph"/>
      </w:pPr>
      <w:r>
        <w:t xml:space="preserve">For a single approved benefit, the budget events fire in this order: a</w:t>
      </w:r>
      <w:r>
        <w:t xml:space="preserve"> </w:t>
      </w:r>
      <w:r>
        <w:rPr>
          <w:bCs/>
          <w:b/>
        </w:rPr>
        <w:t xml:space="preserve">RESERVATION</w:t>
      </w:r>
      <w:r>
        <w:t xml:space="preserve"> </w:t>
      </w:r>
      <w:r>
        <w:t xml:space="preserve">when the entitlement is approved, a</w:t>
      </w:r>
      <w:r>
        <w:t xml:space="preserve"> </w:t>
      </w:r>
      <w:r>
        <w:rPr>
          <w:bCs/>
          <w:b/>
        </w:rPr>
        <w:t xml:space="preserve">COMMITMENT</w:t>
      </w:r>
      <w:r>
        <w:t xml:space="preserve"> </w:t>
      </w:r>
      <w:r>
        <w:t xml:space="preserve">when the voucher is issued, and an</w:t>
      </w:r>
      <w:r>
        <w:t xml:space="preserve"> </w:t>
      </w:r>
      <w:r>
        <w:rPr>
          <w:bCs/>
          <w:b/>
        </w:rPr>
        <w:t xml:space="preserve">EXPENSE</w:t>
      </w:r>
      <w:r>
        <w:t xml:space="preserve"> </w:t>
      </w:r>
      <w:r>
        <w:t xml:space="preserve">when the voucher is redeemed. If the voucher is later cancelled or expires before redemption, a</w:t>
      </w:r>
      <w:r>
        <w:t xml:space="preserve"> </w:t>
      </w:r>
      <w:r>
        <w:rPr>
          <w:bCs/>
          <w:b/>
        </w:rPr>
        <w:t xml:space="preserve">RELEASE_COMMITMENT</w:t>
      </w:r>
      <w:r>
        <w:t xml:space="preserve"> </w:t>
      </w:r>
      <w:r>
        <w:t xml:space="preserve">(or</w:t>
      </w:r>
      <w:r>
        <w:t xml:space="preserve"> </w:t>
      </w:r>
      <w:r>
        <w:rPr>
          <w:bCs/>
          <w:b/>
        </w:rPr>
        <w:t xml:space="preserve">RELEASE_RESERVATION</w:t>
      </w:r>
      <w:r>
        <w:t xml:space="preserve">) returns the money to the envelope. Finance Officers watch these in the</w:t>
      </w:r>
      <w:r>
        <w:t xml:space="preserve"> </w:t>
      </w:r>
      <w:r>
        <w:rPr>
          <w:bCs/>
          <w:b/>
        </w:rPr>
        <w:t xml:space="preserve">Budget</w:t>
      </w:r>
      <w:r>
        <w:t xml:space="preserve"> </w:t>
      </w:r>
      <w:r>
        <w:t xml:space="preserve">module; every event lands permanently in the</w:t>
      </w:r>
      <w:r>
        <w:t xml:space="preserve"> </w:t>
      </w:r>
      <w:r>
        <w:rPr>
          <w:bCs/>
          <w:b/>
        </w:rPr>
        <w:t xml:space="preserve">General Ledger</w:t>
      </w:r>
      <w:r>
        <w:t xml:space="preserve">.</w:t>
      </w:r>
    </w:p>
    <w:bookmarkEnd w:id="52"/>
    <w:bookmarkEnd w:id="53"/>
    <w:bookmarkStart w:id="60" w:name="X72992c2720371fccd8c8ca0669b13b1b97c0933"/>
    <w:p>
      <w:pPr>
        <w:pStyle w:val="Heading1"/>
      </w:pPr>
      <w:r>
        <w:t xml:space="preserve">7. Statuses and Enumerations (quick reference)</w:t>
      </w:r>
    </w:p>
    <w:bookmarkStart w:id="54" w:name="application-statuses-md.22"/>
    <w:p>
      <w:pPr>
        <w:pStyle w:val="Heading2"/>
      </w:pPr>
      <w:r>
        <w:t xml:space="preserve">7.1 Application statuses (MD.22)</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3348"/>
        <w:gridCol w:w="5952"/>
      </w:tblGrid>
      <w:tr>
        <w:trPr>
          <w:tblHeader w:val="true"/>
          <w:cantSplit w:val="true"/>
        </w:trPr>
        <w:tc>
          <w:tcPr>
            <w:shd w:val="clear" w:color="auto" w:fill="DCE6F1"/>
            <w:tcW w:w="1800" w:type="pct"/>
          </w:tcPr>
          <w:p>
            <w:pPr>
              <w:pStyle w:val="Compact"/>
              <w:jc w:val="left"/>
              <w:wordWrap w:val="true"/>
            </w:pPr>
            <w:r>
              <w:rPr>
                <w:b/>
              </w:rPr>
              <w:t xml:space="preserve">Status</w:t>
            </w:r>
          </w:p>
        </w:tc>
        <w:tc>
          <w:tcPr>
            <w:shd w:val="clear" w:color="auto" w:fill="DCE6F1"/>
            <w:tcW w:w="3200" w:type="pct"/>
          </w:tcPr>
          <w:p>
            <w:pPr>
              <w:pStyle w:val="Compact"/>
              <w:jc w:val="left"/>
              <w:wordWrap w:val="true"/>
            </w:pPr>
            <w:r>
              <w:rPr>
                <w:b/>
              </w:rPr>
              <w:t xml:space="preserve">Meaning</w:t>
            </w:r>
          </w:p>
        </w:tc>
      </w:tr>
      <w:tr>
        <w:trPr>
          <w:cantSplit w:val="true"/>
        </w:trPr>
        <w:tc>
          <w:tcPr>
            <w:tcW w:w="1800" w:type="pct"/>
          </w:tcPr>
          <w:p>
            <w:pPr>
              <w:pStyle w:val="Compact"/>
              <w:jc w:val="left"/>
              <w:wordWrap w:val="true"/>
            </w:pPr>
            <w:r>
              <w:t xml:space="preserve">Draft</w:t>
            </w:r>
          </w:p>
        </w:tc>
        <w:tc>
          <w:tcPr>
            <w:tcW w:w="3200" w:type="pct"/>
          </w:tcPr>
          <w:p>
            <w:pPr>
              <w:pStyle w:val="Compact"/>
              <w:jc w:val="left"/>
              <w:wordWrap w:val="true"/>
            </w:pPr>
            <w:r>
              <w:t xml:space="preserve">Started but not yet submitted.</w:t>
            </w:r>
          </w:p>
        </w:tc>
      </w:tr>
      <w:tr>
        <w:trPr>
          <w:cantSplit w:val="true"/>
        </w:trPr>
        <w:tc>
          <w:tcPr>
            <w:tcW w:w="1800" w:type="pct"/>
          </w:tcPr>
          <w:p>
            <w:pPr>
              <w:pStyle w:val="Compact"/>
              <w:jc w:val="left"/>
              <w:wordWrap w:val="true"/>
            </w:pPr>
            <w:r>
              <w:t xml:space="preserve">Submitted</w:t>
            </w:r>
          </w:p>
        </w:tc>
        <w:tc>
          <w:tcPr>
            <w:tcW w:w="3200" w:type="pct"/>
          </w:tcPr>
          <w:p>
            <w:pPr>
              <w:pStyle w:val="Compact"/>
              <w:jc w:val="left"/>
              <w:wordWrap w:val="true"/>
            </w:pPr>
            <w:r>
              <w:t xml:space="preserve">Sent for processing; awaiting checks.</w:t>
            </w:r>
          </w:p>
        </w:tc>
      </w:tr>
      <w:tr>
        <w:trPr>
          <w:cantSplit w:val="true"/>
        </w:trPr>
        <w:tc>
          <w:tcPr>
            <w:tcW w:w="1800" w:type="pct"/>
          </w:tcPr>
          <w:p>
            <w:pPr>
              <w:pStyle w:val="Compact"/>
              <w:jc w:val="left"/>
              <w:wordWrap w:val="true"/>
            </w:pPr>
            <w:r>
              <w:t xml:space="preserve">Under Review</w:t>
            </w:r>
          </w:p>
        </w:tc>
        <w:tc>
          <w:tcPr>
            <w:tcW w:w="3200" w:type="pct"/>
          </w:tcPr>
          <w:p>
            <w:pPr>
              <w:pStyle w:val="Compact"/>
              <w:jc w:val="left"/>
              <w:wordWrap w:val="true"/>
            </w:pPr>
            <w:r>
              <w:t xml:space="preserve">Being examined by the system/officer.</w:t>
            </w:r>
          </w:p>
        </w:tc>
      </w:tr>
      <w:tr>
        <w:trPr>
          <w:cantSplit w:val="true"/>
        </w:trPr>
        <w:tc>
          <w:tcPr>
            <w:tcW w:w="1800" w:type="pct"/>
          </w:tcPr>
          <w:p>
            <w:pPr>
              <w:pStyle w:val="Compact"/>
              <w:jc w:val="left"/>
              <w:wordWrap w:val="true"/>
            </w:pPr>
            <w:r>
              <w:t xml:space="preserve">Eligibility Verification</w:t>
            </w:r>
          </w:p>
        </w:tc>
        <w:tc>
          <w:tcPr>
            <w:tcW w:w="3200" w:type="pct"/>
          </w:tcPr>
          <w:p>
            <w:pPr>
              <w:pStyle w:val="Compact"/>
              <w:jc w:val="left"/>
              <w:wordWrap w:val="true"/>
            </w:pPr>
            <w:r>
              <w:t xml:space="preserve">Eligibility rules being confirmed.</w:t>
            </w:r>
          </w:p>
        </w:tc>
      </w:tr>
      <w:tr>
        <w:trPr>
          <w:cantSplit w:val="true"/>
        </w:trPr>
        <w:tc>
          <w:tcPr>
            <w:tcW w:w="1800" w:type="pct"/>
          </w:tcPr>
          <w:p>
            <w:pPr>
              <w:pStyle w:val="Compact"/>
              <w:jc w:val="left"/>
              <w:wordWrap w:val="true"/>
            </w:pPr>
            <w:r>
              <w:t xml:space="preserve">Document Review</w:t>
            </w:r>
          </w:p>
        </w:tc>
        <w:tc>
          <w:tcPr>
            <w:tcW w:w="3200" w:type="pct"/>
          </w:tcPr>
          <w:p>
            <w:pPr>
              <w:pStyle w:val="Compact"/>
              <w:jc w:val="left"/>
              <w:wordWrap w:val="true"/>
            </w:pPr>
            <w:r>
              <w:t xml:space="preserve">Supporting documents being checked.</w:t>
            </w:r>
          </w:p>
        </w:tc>
      </w:tr>
      <w:tr>
        <w:trPr>
          <w:cantSplit w:val="true"/>
        </w:trPr>
        <w:tc>
          <w:tcPr>
            <w:tcW w:w="1800" w:type="pct"/>
          </w:tcPr>
          <w:p>
            <w:pPr>
              <w:pStyle w:val="Compact"/>
              <w:jc w:val="left"/>
              <w:wordWrap w:val="true"/>
            </w:pPr>
            <w:r>
              <w:t xml:space="preserve">Field Verification</w:t>
            </w:r>
          </w:p>
        </w:tc>
        <w:tc>
          <w:tcPr>
            <w:tcW w:w="3200" w:type="pct"/>
          </w:tcPr>
          <w:p>
            <w:pPr>
              <w:pStyle w:val="Compact"/>
              <w:jc w:val="left"/>
              <w:wordWrap w:val="true"/>
            </w:pPr>
            <w:r>
              <w:t xml:space="preserve">Being verified in the field.</w:t>
            </w:r>
          </w:p>
        </w:tc>
      </w:tr>
      <w:tr>
        <w:trPr>
          <w:cantSplit w:val="true"/>
        </w:trPr>
        <w:tc>
          <w:tcPr>
            <w:tcW w:w="1800" w:type="pct"/>
          </w:tcPr>
          <w:p>
            <w:pPr>
              <w:pStyle w:val="Compact"/>
              <w:jc w:val="left"/>
              <w:wordWrap w:val="true"/>
            </w:pPr>
            <w:r>
              <w:t xml:space="preserve">Pending Information</w:t>
            </w:r>
          </w:p>
        </w:tc>
        <w:tc>
          <w:tcPr>
            <w:tcW w:w="3200" w:type="pct"/>
          </w:tcPr>
          <w:p>
            <w:pPr>
              <w:pStyle w:val="Compact"/>
              <w:jc w:val="left"/>
              <w:wordWrap w:val="true"/>
            </w:pPr>
            <w:r>
              <w:t xml:space="preserve">Held awaiting more information from the applicant.</w:t>
            </w:r>
          </w:p>
        </w:tc>
      </w:tr>
      <w:tr>
        <w:trPr>
          <w:cantSplit w:val="true"/>
        </w:trPr>
        <w:tc>
          <w:tcPr>
            <w:tcW w:w="1800" w:type="pct"/>
          </w:tcPr>
          <w:p>
            <w:pPr>
              <w:pStyle w:val="Compact"/>
              <w:jc w:val="left"/>
              <w:wordWrap w:val="true"/>
            </w:pPr>
            <w:r>
              <w:t xml:space="preserve">Approved</w:t>
            </w:r>
          </w:p>
        </w:tc>
        <w:tc>
          <w:tcPr>
            <w:tcW w:w="3200" w:type="pct"/>
          </w:tcPr>
          <w:p>
            <w:pPr>
              <w:pStyle w:val="Compact"/>
              <w:jc w:val="left"/>
              <w:wordWrap w:val="true"/>
            </w:pPr>
            <w:r>
              <w:t xml:space="preserve">Accepted; entitlement generated.</w:t>
            </w:r>
          </w:p>
        </w:tc>
      </w:tr>
      <w:tr>
        <w:trPr>
          <w:cantSplit w:val="true"/>
        </w:trPr>
        <w:tc>
          <w:tcPr>
            <w:tcW w:w="1800" w:type="pct"/>
          </w:tcPr>
          <w:p>
            <w:pPr>
              <w:pStyle w:val="Compact"/>
              <w:jc w:val="left"/>
              <w:wordWrap w:val="true"/>
            </w:pPr>
            <w:r>
              <w:t xml:space="preserve">Rejected</w:t>
            </w:r>
          </w:p>
        </w:tc>
        <w:tc>
          <w:tcPr>
            <w:tcW w:w="3200" w:type="pct"/>
          </w:tcPr>
          <w:p>
            <w:pPr>
              <w:pStyle w:val="Compact"/>
              <w:jc w:val="left"/>
              <w:wordWrap w:val="true"/>
            </w:pPr>
            <w:r>
              <w:t xml:space="preserve">Declined (with a rejection reason).</w:t>
            </w:r>
          </w:p>
        </w:tc>
      </w:tr>
      <w:tr>
        <w:trPr>
          <w:cantSplit w:val="true"/>
        </w:trPr>
        <w:tc>
          <w:tcPr>
            <w:tcW w:w="1800" w:type="pct"/>
          </w:tcPr>
          <w:p>
            <w:pPr>
              <w:pStyle w:val="Compact"/>
              <w:jc w:val="left"/>
              <w:wordWrap w:val="true"/>
            </w:pPr>
            <w:r>
              <w:t xml:space="preserve">Benefit Issued</w:t>
            </w:r>
          </w:p>
        </w:tc>
        <w:tc>
          <w:tcPr>
            <w:tcW w:w="3200" w:type="pct"/>
          </w:tcPr>
          <w:p>
            <w:pPr>
              <w:pStyle w:val="Compact"/>
              <w:jc w:val="left"/>
              <w:wordWrap w:val="true"/>
            </w:pPr>
            <w:r>
              <w:t xml:space="preserve">Benefit/voucher has been issued.</w:t>
            </w:r>
          </w:p>
        </w:tc>
      </w:tr>
      <w:tr>
        <w:trPr>
          <w:cantSplit w:val="true"/>
        </w:trPr>
        <w:tc>
          <w:tcPr>
            <w:tcW w:w="1800" w:type="pct"/>
          </w:tcPr>
          <w:p>
            <w:pPr>
              <w:pStyle w:val="Compact"/>
              <w:jc w:val="left"/>
              <w:wordWrap w:val="true"/>
            </w:pPr>
            <w:r>
              <w:t xml:space="preserve">Completed</w:t>
            </w:r>
          </w:p>
        </w:tc>
        <w:tc>
          <w:tcPr>
            <w:tcW w:w="3200" w:type="pct"/>
          </w:tcPr>
          <w:p>
            <w:pPr>
              <w:pStyle w:val="Compact"/>
              <w:jc w:val="left"/>
              <w:wordWrap w:val="true"/>
            </w:pPr>
            <w:r>
              <w:t xml:space="preserve">Fully processed and closed.</w:t>
            </w:r>
          </w:p>
        </w:tc>
      </w:tr>
      <w:tr>
        <w:trPr>
          <w:cantSplit w:val="true"/>
        </w:trPr>
        <w:tc>
          <w:tcPr>
            <w:tcW w:w="1800" w:type="pct"/>
          </w:tcPr>
          <w:p>
            <w:pPr>
              <w:pStyle w:val="Compact"/>
              <w:jc w:val="left"/>
              <w:wordWrap w:val="true"/>
            </w:pPr>
            <w:r>
              <w:t xml:space="preserve">Withdrawn</w:t>
            </w:r>
          </w:p>
        </w:tc>
        <w:tc>
          <w:tcPr>
            <w:tcW w:w="3200" w:type="pct"/>
          </w:tcPr>
          <w:p>
            <w:pPr>
              <w:pStyle w:val="Compact"/>
              <w:jc w:val="left"/>
              <w:wordWrap w:val="true"/>
            </w:pPr>
            <w:r>
              <w:t xml:space="preserve">Cancelled by the applicant.</w:t>
            </w:r>
          </w:p>
        </w:tc>
      </w:tr>
    </w:tbl>
    <w:bookmarkEnd w:id="54"/>
    <w:bookmarkStart w:id="55" w:name="decision-types-md.31"/>
    <w:p>
      <w:pPr>
        <w:pStyle w:val="Heading2"/>
      </w:pPr>
      <w:r>
        <w:t xml:space="preserve">7.2 Decision types (MD.31)</w:t>
      </w:r>
    </w:p>
    <w:p>
      <w:pPr>
        <w:pStyle w:val="FirstParagraph"/>
      </w:pPr>
      <w:r>
        <w:t xml:space="preserve">Approved · Partially Approved · Conditionally Approved · Pending Additional Information · Rejected · Escalated for Review · Under Investigation.</w:t>
      </w:r>
    </w:p>
    <w:bookmarkEnd w:id="55"/>
    <w:bookmarkStart w:id="56" w:name="common-rejection-reasons-md.32"/>
    <w:p>
      <w:pPr>
        <w:pStyle w:val="Heading2"/>
      </w:pPr>
      <w:r>
        <w:t xml:space="preserve">7.3 Common rejection reasons (MD.32)</w:t>
      </w:r>
    </w:p>
    <w:p>
      <w:pPr>
        <w:pStyle w:val="FirstParagraph"/>
      </w:pPr>
      <w:r>
        <w:t xml:space="preserve">Does Not Meet Eligibility Criteria · Incomplete Documentation · Invalid/Unreadable Documents · Not in Target District · Land Size Outside Range · Duplicate Application · Already Benefited from Similar Program · Data Conflicts with Records · Farm Could Not Be Verified · False Information Provided · Submitted After Deadline · No Response to Info Request · Program Budget Exhausted · Other.</w:t>
      </w:r>
    </w:p>
    <w:bookmarkEnd w:id="56"/>
    <w:bookmarkStart w:id="57" w:name="voucher-statuses"/>
    <w:p>
      <w:pPr>
        <w:pStyle w:val="Heading2"/>
      </w:pPr>
      <w:r>
        <w:t xml:space="preserve">7.4 Voucher statuses</w:t>
      </w:r>
    </w:p>
    <w:p>
      <w:pPr>
        <w:pStyle w:val="FirstParagraph"/>
      </w:pPr>
      <w:r>
        <w:t xml:space="preserve">Issued (created, awaiting collection) · Redeemed (collected) · Cancelled (voided before collection) · Expired (not collected before the expiry date).</w:t>
      </w:r>
    </w:p>
    <w:bookmarkEnd w:id="57"/>
    <w:bookmarkStart w:id="58" w:name="budget-event-types"/>
    <w:p>
      <w:pPr>
        <w:pStyle w:val="Heading2"/>
      </w:pPr>
      <w:r>
        <w:t xml:space="preserve">7.5 Budget event types</w:t>
      </w:r>
    </w:p>
    <w:p>
      <w:pPr>
        <w:pStyle w:val="FirstParagraph"/>
      </w:pPr>
      <w:r>
        <w:t xml:space="preserve">PRE_COMMITMENT · RESERVATION · COMMITMENT · EXPENSE · RELEASE_RESERVATION · RELEASE_COMMITMENT (defined in Section 4.4).</w:t>
      </w:r>
    </w:p>
    <w:bookmarkEnd w:id="58"/>
    <w:bookmarkStart w:id="59" w:name="appeal-statuses-md.72"/>
    <w:p>
      <w:pPr>
        <w:pStyle w:val="Heading2"/>
      </w:pPr>
      <w:r>
        <w:t xml:space="preserve">7.6 Appeal statuses (MD.72)</w:t>
      </w:r>
    </w:p>
    <w:p>
      <w:pPr>
        <w:pStyle w:val="FirstParagraph"/>
      </w:pPr>
      <w:r>
        <w:t xml:space="preserve">Draft · Submitted · Acknowledged · Information Requested · Under Review · Escalated · Overdue · Resolved · Closed · Withdrawn.</w:t>
      </w:r>
    </w:p>
    <w:bookmarkEnd w:id="59"/>
    <w:bookmarkEnd w:id="60"/>
    <w:bookmarkStart w:id="69" w:name="X83e3a5e116afe95016d7bd4f104c6e8ec02ecec"/>
    <w:p>
      <w:pPr>
        <w:pStyle w:val="Heading1"/>
      </w:pPr>
      <w:r>
        <w:t xml:space="preserve">8. Master Data Catalogue Reference (MD.01 – MD.95)</w:t>
      </w:r>
    </w:p>
    <w:p>
      <w:pPr>
        <w:pStyle w:val="FirstParagraph"/>
      </w:pPr>
      <w:r>
        <w:t xml:space="preserve">Every catalogue below is a controlled list of standard values, maintained under</w:t>
      </w:r>
      <w:r>
        <w:t xml:space="preserve"> </w:t>
      </w:r>
      <w:r>
        <w:rPr>
          <w:bCs/>
          <w:b/>
        </w:rPr>
        <w:t xml:space="preserve">Master Data</w:t>
      </w:r>
      <w:r>
        <w:t xml:space="preserve"> </w:t>
      </w:r>
      <w:r>
        <w:t xml:space="preserve">(Section 5.9). They are grouped here by theme for readability; the MD number is the identifier you will see on the menu.</w:t>
      </w:r>
    </w:p>
    <w:bookmarkStart w:id="61" w:name="people-and-demographics"/>
    <w:p>
      <w:pPr>
        <w:pStyle w:val="Heading2"/>
      </w:pPr>
      <w:r>
        <w:t xml:space="preserve">8.1 People and demographics</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1395"/>
        <w:gridCol w:w="2790"/>
        <w:gridCol w:w="5115"/>
      </w:tblGrid>
      <w:tr>
        <w:trPr>
          <w:tblHeader w:val="true"/>
          <w:cantSplit w:val="true"/>
        </w:trPr>
        <w:tc>
          <w:tcPr>
            <w:shd w:val="clear" w:color="auto" w:fill="DCE6F1"/>
            <w:tcW w:w="750" w:type="pct"/>
          </w:tcPr>
          <w:p>
            <w:pPr>
              <w:pStyle w:val="Compact"/>
              <w:jc w:val="left"/>
              <w:wordWrap w:val="true"/>
            </w:pPr>
            <w:r>
              <w:rPr>
                <w:b/>
              </w:rPr>
              <w:t xml:space="preserve">MD</w:t>
            </w:r>
          </w:p>
        </w:tc>
        <w:tc>
          <w:tcPr>
            <w:shd w:val="clear" w:color="auto" w:fill="DCE6F1"/>
            <w:tcW w:w="1500" w:type="pct"/>
          </w:tcPr>
          <w:p>
            <w:pPr>
              <w:pStyle w:val="Compact"/>
              <w:jc w:val="left"/>
              <w:wordWrap w:val="true"/>
            </w:pPr>
            <w:r>
              <w:rPr>
                <w:b/>
              </w:rPr>
              <w:t xml:space="preserve">Catalogue</w:t>
            </w:r>
          </w:p>
        </w:tc>
        <w:tc>
          <w:tcPr>
            <w:shd w:val="clear" w:color="auto" w:fill="DCE6F1"/>
            <w:tcW w:w="2750" w:type="pct"/>
          </w:tcPr>
          <w:p>
            <w:pPr>
              <w:pStyle w:val="Compact"/>
              <w:jc w:val="left"/>
              <w:wordWrap w:val="true"/>
            </w:pPr>
            <w:r>
              <w:rPr>
                <w:b/>
              </w:rPr>
              <w:t xml:space="preserve">Purpose</w:t>
            </w:r>
          </w:p>
        </w:tc>
      </w:tr>
      <w:tr>
        <w:trPr>
          <w:cantSplit w:val="true"/>
        </w:trPr>
        <w:tc>
          <w:tcPr>
            <w:tcW w:w="750" w:type="pct"/>
          </w:tcPr>
          <w:p>
            <w:pPr>
              <w:pStyle w:val="Compact"/>
              <w:jc w:val="left"/>
              <w:wordWrap w:val="true"/>
            </w:pPr>
            <w:r>
              <w:t xml:space="preserve">MD.01</w:t>
            </w:r>
          </w:p>
        </w:tc>
        <w:tc>
          <w:tcPr>
            <w:tcW w:w="1500" w:type="pct"/>
          </w:tcPr>
          <w:p>
            <w:pPr>
              <w:pStyle w:val="Compact"/>
              <w:jc w:val="left"/>
              <w:wordWrap w:val="true"/>
            </w:pPr>
            <w:r>
              <w:t xml:space="preserve">Marital Status</w:t>
            </w:r>
          </w:p>
        </w:tc>
        <w:tc>
          <w:tcPr>
            <w:tcW w:w="2750" w:type="pct"/>
          </w:tcPr>
          <w:p>
            <w:pPr>
              <w:pStyle w:val="Compact"/>
              <w:jc w:val="left"/>
              <w:wordWrap w:val="true"/>
            </w:pPr>
            <w:r>
              <w:t xml:space="preserve">Farmer’s marital status.</w:t>
            </w:r>
          </w:p>
        </w:tc>
      </w:tr>
      <w:tr>
        <w:trPr>
          <w:cantSplit w:val="true"/>
        </w:trPr>
        <w:tc>
          <w:tcPr>
            <w:tcW w:w="750" w:type="pct"/>
          </w:tcPr>
          <w:p>
            <w:pPr>
              <w:pStyle w:val="Compact"/>
              <w:jc w:val="left"/>
              <w:wordWrap w:val="true"/>
            </w:pPr>
            <w:r>
              <w:t xml:space="preserve">MD.02</w:t>
            </w:r>
          </w:p>
        </w:tc>
        <w:tc>
          <w:tcPr>
            <w:tcW w:w="1500" w:type="pct"/>
          </w:tcPr>
          <w:p>
            <w:pPr>
              <w:pStyle w:val="Compact"/>
              <w:jc w:val="left"/>
              <w:wordWrap w:val="true"/>
            </w:pPr>
            <w:r>
              <w:t xml:space="preserve">Language</w:t>
            </w:r>
          </w:p>
        </w:tc>
        <w:tc>
          <w:tcPr>
            <w:tcW w:w="2750" w:type="pct"/>
          </w:tcPr>
          <w:p>
            <w:pPr>
              <w:pStyle w:val="Compact"/>
              <w:jc w:val="left"/>
              <w:wordWrap w:val="true"/>
            </w:pPr>
            <w:r>
              <w:t xml:space="preserve">Preferred language.</w:t>
            </w:r>
          </w:p>
        </w:tc>
      </w:tr>
      <w:tr>
        <w:trPr>
          <w:cantSplit w:val="true"/>
        </w:trPr>
        <w:tc>
          <w:tcPr>
            <w:tcW w:w="750" w:type="pct"/>
          </w:tcPr>
          <w:p>
            <w:pPr>
              <w:pStyle w:val="Compact"/>
              <w:jc w:val="left"/>
              <w:wordWrap w:val="true"/>
            </w:pPr>
            <w:r>
              <w:t xml:space="preserve">MD.05</w:t>
            </w:r>
          </w:p>
        </w:tc>
        <w:tc>
          <w:tcPr>
            <w:tcW w:w="1500" w:type="pct"/>
          </w:tcPr>
          <w:p>
            <w:pPr>
              <w:pStyle w:val="Compact"/>
              <w:jc w:val="left"/>
              <w:wordWrap w:val="true"/>
            </w:pPr>
            <w:r>
              <w:t xml:space="preserve">Residency Type</w:t>
            </w:r>
          </w:p>
        </w:tc>
        <w:tc>
          <w:tcPr>
            <w:tcW w:w="2750" w:type="pct"/>
          </w:tcPr>
          <w:p>
            <w:pPr>
              <w:pStyle w:val="Compact"/>
              <w:jc w:val="left"/>
              <w:wordWrap w:val="true"/>
            </w:pPr>
            <w:r>
              <w:t xml:space="preserve">How/where the farmer resides.</w:t>
            </w:r>
          </w:p>
        </w:tc>
      </w:tr>
      <w:tr>
        <w:trPr>
          <w:cantSplit w:val="true"/>
        </w:trPr>
        <w:tc>
          <w:tcPr>
            <w:tcW w:w="750" w:type="pct"/>
          </w:tcPr>
          <w:p>
            <w:pPr>
              <w:pStyle w:val="Compact"/>
              <w:jc w:val="left"/>
              <w:wordWrap w:val="true"/>
            </w:pPr>
            <w:r>
              <w:t xml:space="preserve">MD.08</w:t>
            </w:r>
          </w:p>
        </w:tc>
        <w:tc>
          <w:tcPr>
            <w:tcW w:w="1500" w:type="pct"/>
          </w:tcPr>
          <w:p>
            <w:pPr>
              <w:pStyle w:val="Compact"/>
              <w:jc w:val="left"/>
              <w:wordWrap w:val="true"/>
            </w:pPr>
            <w:r>
              <w:t xml:space="preserve">Education Level</w:t>
            </w:r>
          </w:p>
        </w:tc>
        <w:tc>
          <w:tcPr>
            <w:tcW w:w="2750" w:type="pct"/>
          </w:tcPr>
          <w:p>
            <w:pPr>
              <w:pStyle w:val="Compact"/>
              <w:jc w:val="left"/>
              <w:wordWrap w:val="true"/>
            </w:pPr>
            <w:r>
              <w:t xml:space="preserve">Highest education attained.</w:t>
            </w:r>
          </w:p>
        </w:tc>
      </w:tr>
      <w:tr>
        <w:trPr>
          <w:cantSplit w:val="true"/>
        </w:trPr>
        <w:tc>
          <w:tcPr>
            <w:tcW w:w="750" w:type="pct"/>
          </w:tcPr>
          <w:p>
            <w:pPr>
              <w:pStyle w:val="Compact"/>
              <w:jc w:val="left"/>
              <w:wordWrap w:val="true"/>
            </w:pPr>
            <w:r>
              <w:t xml:space="preserve">MD.12</w:t>
            </w:r>
          </w:p>
        </w:tc>
        <w:tc>
          <w:tcPr>
            <w:tcW w:w="1500" w:type="pct"/>
          </w:tcPr>
          <w:p>
            <w:pPr>
              <w:pStyle w:val="Compact"/>
              <w:jc w:val="left"/>
              <w:wordWrap w:val="true"/>
            </w:pPr>
            <w:r>
              <w:t xml:space="preserve">Relationship</w:t>
            </w:r>
          </w:p>
        </w:tc>
        <w:tc>
          <w:tcPr>
            <w:tcW w:w="2750" w:type="pct"/>
          </w:tcPr>
          <w:p>
            <w:pPr>
              <w:pStyle w:val="Compact"/>
              <w:jc w:val="left"/>
              <w:wordWrap w:val="true"/>
            </w:pPr>
            <w:r>
              <w:t xml:space="preserve">Household member relationship to the farmer.</w:t>
            </w:r>
          </w:p>
        </w:tc>
      </w:tr>
      <w:tr>
        <w:trPr>
          <w:cantSplit w:val="true"/>
        </w:trPr>
        <w:tc>
          <w:tcPr>
            <w:tcW w:w="750" w:type="pct"/>
          </w:tcPr>
          <w:p>
            <w:pPr>
              <w:pStyle w:val="Compact"/>
              <w:jc w:val="left"/>
              <w:wordWrap w:val="true"/>
            </w:pPr>
            <w:r>
              <w:t xml:space="preserve">MD.13</w:t>
            </w:r>
          </w:p>
        </w:tc>
        <w:tc>
          <w:tcPr>
            <w:tcW w:w="1500" w:type="pct"/>
          </w:tcPr>
          <w:p>
            <w:pPr>
              <w:pStyle w:val="Compact"/>
              <w:jc w:val="left"/>
              <w:wordWrap w:val="true"/>
            </w:pPr>
            <w:r>
              <w:t xml:space="preserve">Orphanhood Status</w:t>
            </w:r>
          </w:p>
        </w:tc>
        <w:tc>
          <w:tcPr>
            <w:tcW w:w="2750" w:type="pct"/>
          </w:tcPr>
          <w:p>
            <w:pPr>
              <w:pStyle w:val="Compact"/>
              <w:jc w:val="left"/>
              <w:wordWrap w:val="true"/>
            </w:pPr>
            <w:r>
              <w:t xml:space="preserve">Orphan status (used in vulnerability targeting).</w:t>
            </w:r>
          </w:p>
        </w:tc>
      </w:tr>
      <w:tr>
        <w:trPr>
          <w:cantSplit w:val="true"/>
        </w:trPr>
        <w:tc>
          <w:tcPr>
            <w:tcW w:w="750" w:type="pct"/>
          </w:tcPr>
          <w:p>
            <w:pPr>
              <w:pStyle w:val="Compact"/>
              <w:jc w:val="left"/>
              <w:wordWrap w:val="true"/>
            </w:pPr>
            <w:r>
              <w:t xml:space="preserve">MD.14</w:t>
            </w:r>
          </w:p>
        </w:tc>
        <w:tc>
          <w:tcPr>
            <w:tcW w:w="1500" w:type="pct"/>
          </w:tcPr>
          <w:p>
            <w:pPr>
              <w:pStyle w:val="Compact"/>
              <w:jc w:val="left"/>
              <w:wordWrap w:val="true"/>
            </w:pPr>
            <w:r>
              <w:t xml:space="preserve">Disability Status</w:t>
            </w:r>
          </w:p>
        </w:tc>
        <w:tc>
          <w:tcPr>
            <w:tcW w:w="2750" w:type="pct"/>
          </w:tcPr>
          <w:p>
            <w:pPr>
              <w:pStyle w:val="Compact"/>
              <w:jc w:val="left"/>
              <w:wordWrap w:val="true"/>
            </w:pPr>
            <w:r>
              <w:t xml:space="preserve">Disability classification.</w:t>
            </w:r>
          </w:p>
        </w:tc>
      </w:tr>
      <w:tr>
        <w:trPr>
          <w:cantSplit w:val="true"/>
        </w:trPr>
        <w:tc>
          <w:tcPr>
            <w:tcW w:w="750" w:type="pct"/>
          </w:tcPr>
          <w:p>
            <w:pPr>
              <w:pStyle w:val="Compact"/>
              <w:jc w:val="left"/>
              <w:wordWrap w:val="true"/>
            </w:pPr>
            <w:r>
              <w:t xml:space="preserve">MD.35</w:t>
            </w:r>
          </w:p>
        </w:tc>
        <w:tc>
          <w:tcPr>
            <w:tcW w:w="1500" w:type="pct"/>
          </w:tcPr>
          <w:p>
            <w:pPr>
              <w:pStyle w:val="Compact"/>
              <w:jc w:val="left"/>
              <w:wordWrap w:val="true"/>
            </w:pPr>
            <w:r>
              <w:t xml:space="preserve">Food Security Status</w:t>
            </w:r>
          </w:p>
        </w:tc>
        <w:tc>
          <w:tcPr>
            <w:tcW w:w="2750" w:type="pct"/>
          </w:tcPr>
          <w:p>
            <w:pPr>
              <w:pStyle w:val="Compact"/>
              <w:jc w:val="left"/>
              <w:wordWrap w:val="true"/>
            </w:pPr>
            <w:r>
              <w:t xml:space="preserve">Household food-security classification.</w:t>
            </w:r>
          </w:p>
        </w:tc>
      </w:tr>
    </w:tbl>
    <w:bookmarkEnd w:id="61"/>
    <w:bookmarkStart w:id="62" w:name="geography"/>
    <w:p>
      <w:pPr>
        <w:pStyle w:val="Heading2"/>
      </w:pPr>
      <w:r>
        <w:t xml:space="preserve">8.2 Geography</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1395"/>
        <w:gridCol w:w="2883"/>
        <w:gridCol w:w="5022"/>
      </w:tblGrid>
      <w:tr>
        <w:trPr>
          <w:tblHeader w:val="true"/>
          <w:cantSplit w:val="true"/>
        </w:trPr>
        <w:tc>
          <w:tcPr>
            <w:shd w:val="clear" w:color="auto" w:fill="DCE6F1"/>
            <w:tcW w:w="750" w:type="pct"/>
          </w:tcPr>
          <w:p>
            <w:pPr>
              <w:pStyle w:val="Compact"/>
              <w:jc w:val="left"/>
              <w:wordWrap w:val="true"/>
            </w:pPr>
            <w:r>
              <w:rPr>
                <w:b/>
              </w:rPr>
              <w:t xml:space="preserve">MD</w:t>
            </w:r>
          </w:p>
        </w:tc>
        <w:tc>
          <w:tcPr>
            <w:shd w:val="clear" w:color="auto" w:fill="DCE6F1"/>
            <w:tcW w:w="1550" w:type="pct"/>
          </w:tcPr>
          <w:p>
            <w:pPr>
              <w:pStyle w:val="Compact"/>
              <w:jc w:val="left"/>
              <w:wordWrap w:val="true"/>
            </w:pPr>
            <w:r>
              <w:rPr>
                <w:b/>
              </w:rPr>
              <w:t xml:space="preserve">Catalogue</w:t>
            </w:r>
          </w:p>
        </w:tc>
        <w:tc>
          <w:tcPr>
            <w:shd w:val="clear" w:color="auto" w:fill="DCE6F1"/>
            <w:tcW w:w="2700" w:type="pct"/>
          </w:tcPr>
          <w:p>
            <w:pPr>
              <w:pStyle w:val="Compact"/>
              <w:jc w:val="left"/>
              <w:wordWrap w:val="true"/>
            </w:pPr>
            <w:r>
              <w:rPr>
                <w:b/>
              </w:rPr>
              <w:t xml:space="preserve">Purpose</w:t>
            </w:r>
          </w:p>
        </w:tc>
      </w:tr>
      <w:tr>
        <w:trPr>
          <w:cantSplit w:val="true"/>
        </w:trPr>
        <w:tc>
          <w:tcPr>
            <w:tcW w:w="750" w:type="pct"/>
          </w:tcPr>
          <w:p>
            <w:pPr>
              <w:pStyle w:val="Compact"/>
              <w:jc w:val="left"/>
              <w:wordWrap w:val="true"/>
            </w:pPr>
            <w:r>
              <w:t xml:space="preserve">MD.03</w:t>
            </w:r>
          </w:p>
        </w:tc>
        <w:tc>
          <w:tcPr>
            <w:tcW w:w="1550" w:type="pct"/>
          </w:tcPr>
          <w:p>
            <w:pPr>
              <w:pStyle w:val="Compact"/>
              <w:jc w:val="left"/>
              <w:wordWrap w:val="true"/>
            </w:pPr>
            <w:r>
              <w:t xml:space="preserve">District</w:t>
            </w:r>
          </w:p>
        </w:tc>
        <w:tc>
          <w:tcPr>
            <w:tcW w:w="2700" w:type="pct"/>
          </w:tcPr>
          <w:p>
            <w:pPr>
              <w:pStyle w:val="Compact"/>
              <w:jc w:val="left"/>
              <w:wordWrap w:val="true"/>
            </w:pPr>
            <w:r>
              <w:t xml:space="preserve">Lesotho’s ten districts.</w:t>
            </w:r>
          </w:p>
        </w:tc>
      </w:tr>
      <w:tr>
        <w:trPr>
          <w:cantSplit w:val="true"/>
        </w:trPr>
        <w:tc>
          <w:tcPr>
            <w:tcW w:w="750" w:type="pct"/>
          </w:tcPr>
          <w:p>
            <w:pPr>
              <w:pStyle w:val="Compact"/>
              <w:jc w:val="left"/>
              <w:wordWrap w:val="true"/>
            </w:pPr>
            <w:r>
              <w:t xml:space="preserve">MD.04</w:t>
            </w:r>
          </w:p>
        </w:tc>
        <w:tc>
          <w:tcPr>
            <w:tcW w:w="1550" w:type="pct"/>
          </w:tcPr>
          <w:p>
            <w:pPr>
              <w:pStyle w:val="Compact"/>
              <w:jc w:val="left"/>
              <w:wordWrap w:val="true"/>
            </w:pPr>
            <w:r>
              <w:t xml:space="preserve">Agro Ecological Zone</w:t>
            </w:r>
          </w:p>
        </w:tc>
        <w:tc>
          <w:tcPr>
            <w:tcW w:w="2700" w:type="pct"/>
          </w:tcPr>
          <w:p>
            <w:pPr>
              <w:pStyle w:val="Compact"/>
              <w:jc w:val="left"/>
              <w:wordWrap w:val="true"/>
            </w:pPr>
            <w:r>
              <w:t xml:space="preserve">Farming zone classification.</w:t>
            </w:r>
          </w:p>
        </w:tc>
      </w:tr>
      <w:tr>
        <w:trPr>
          <w:cantSplit w:val="true"/>
        </w:trPr>
        <w:tc>
          <w:tcPr>
            <w:tcW w:w="750" w:type="pct"/>
          </w:tcPr>
          <w:p>
            <w:pPr>
              <w:pStyle w:val="Compact"/>
              <w:jc w:val="left"/>
              <w:wordWrap w:val="true"/>
            </w:pPr>
            <w:r>
              <w:t xml:space="preserve">MD.37</w:t>
            </w:r>
          </w:p>
        </w:tc>
        <w:tc>
          <w:tcPr>
            <w:tcW w:w="1550" w:type="pct"/>
          </w:tcPr>
          <w:p>
            <w:pPr>
              <w:pStyle w:val="Compact"/>
              <w:jc w:val="left"/>
              <w:wordWrap w:val="true"/>
            </w:pPr>
            <w:r>
              <w:t xml:space="preserve">Resource Centre</w:t>
            </w:r>
          </w:p>
        </w:tc>
        <w:tc>
          <w:tcPr>
            <w:tcW w:w="2700" w:type="pct"/>
          </w:tcPr>
          <w:p>
            <w:pPr>
              <w:pStyle w:val="Compact"/>
              <w:jc w:val="left"/>
              <w:wordWrap w:val="true"/>
            </w:pPr>
            <w:r>
              <w:t>Collection/distribution points (84 defined, 77 currently active).</w:t>
            </w:r>
          </w:p>
        </w:tc>
      </w:tr>
      <w:tr>
        <w:trPr>
          <w:cantSplit w:val="true"/>
        </w:trPr>
        <w:tc>
          <w:tcPr>
            <w:tcW w:w="750" w:type="pct"/>
          </w:tcPr>
          <w:p>
            <w:pPr>
              <w:pStyle w:val="Compact"/>
              <w:jc w:val="left"/>
              <w:wordWrap w:val="true"/>
            </w:pPr>
            <w:r>
              <w:t xml:space="preserve">MD.55</w:t>
            </w:r>
          </w:p>
        </w:tc>
        <w:tc>
          <w:tcPr>
            <w:tcW w:w="1550" w:type="pct"/>
          </w:tcPr>
          <w:p>
            <w:pPr>
              <w:pStyle w:val="Compact"/>
              <w:jc w:val="left"/>
              <w:wordWrap w:val="true"/>
            </w:pPr>
            <w:r>
              <w:t xml:space="preserve">Geographic Scope</w:t>
            </w:r>
          </w:p>
        </w:tc>
        <w:tc>
          <w:tcPr>
            <w:tcW w:w="2700" w:type="pct"/>
          </w:tcPr>
          <w:p>
            <w:pPr>
              <w:pStyle w:val="Compact"/>
              <w:jc w:val="left"/>
              <w:wordWrap w:val="true"/>
            </w:pPr>
            <w:r>
              <w:t xml:space="preserve">Scope of a programme (national, district, etc.).</w:t>
            </w:r>
          </w:p>
        </w:tc>
      </w:tr>
      <w:tr>
        <w:trPr>
          <w:cantSplit w:val="true"/>
        </w:trPr>
        <w:tc>
          <w:tcPr>
            <w:tcW w:w="750" w:type="pct"/>
          </w:tcPr>
          <w:p>
            <w:pPr>
              <w:pStyle w:val="Compact"/>
              <w:jc w:val="left"/>
              <w:wordWrap w:val="true"/>
            </w:pPr>
            <w:r>
              <w:t xml:space="preserve">MD.95</w:t>
            </w:r>
          </w:p>
        </w:tc>
        <w:tc>
          <w:tcPr>
            <w:tcW w:w="1550" w:type="pct"/>
          </w:tcPr>
          <w:p>
            <w:pPr>
              <w:pStyle w:val="Compact"/>
              <w:jc w:val="left"/>
              <w:wordWrap w:val="true"/>
            </w:pPr>
            <w:r>
              <w:t xml:space="preserve">District × Ecological Zone</w:t>
            </w:r>
          </w:p>
        </w:tc>
        <w:tc>
          <w:tcPr>
            <w:tcW w:w="2700" w:type="pct"/>
          </w:tcPr>
          <w:p>
            <w:pPr>
              <w:pStyle w:val="Compact"/>
              <w:jc w:val="left"/>
              <w:wordWrap w:val="true"/>
            </w:pPr>
            <w:r>
              <w:t xml:space="preserve">Valid district/zone combinations and map centroids.</w:t>
            </w:r>
          </w:p>
        </w:tc>
      </w:tr>
    </w:tbl>
    <w:bookmarkEnd w:id="62"/>
    <w:bookmarkStart w:id="63" w:name="farming-crops-and-agronomy"/>
    <w:p>
      <w:pPr>
        <w:pStyle w:val="Heading2"/>
      </w:pPr>
      <w:r>
        <w:t xml:space="preserve">8.3 Farming, crops and agronomy</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1488"/>
        <w:gridCol w:w="3069"/>
        <w:gridCol w:w="4743"/>
      </w:tblGrid>
      <w:tr>
        <w:trPr>
          <w:tblHeader w:val="true"/>
          <w:cantSplit w:val="true"/>
        </w:trPr>
        <w:tc>
          <w:tcPr>
            <w:shd w:val="clear" w:color="auto" w:fill="DCE6F1"/>
            <w:tcW w:w="800" w:type="pct"/>
          </w:tcPr>
          <w:p>
            <w:pPr>
              <w:pStyle w:val="Compact"/>
              <w:jc w:val="left"/>
              <w:wordWrap w:val="true"/>
            </w:pPr>
            <w:r>
              <w:rPr>
                <w:b/>
              </w:rPr>
              <w:t xml:space="preserve">MD</w:t>
            </w:r>
          </w:p>
        </w:tc>
        <w:tc>
          <w:tcPr>
            <w:shd w:val="clear" w:color="auto" w:fill="DCE6F1"/>
            <w:tcW w:w="1650" w:type="pct"/>
          </w:tcPr>
          <w:p>
            <w:pPr>
              <w:pStyle w:val="Compact"/>
              <w:jc w:val="left"/>
              <w:wordWrap w:val="true"/>
            </w:pPr>
            <w:r>
              <w:rPr>
                <w:b/>
              </w:rPr>
              <w:t xml:space="preserve">Catalogue</w:t>
            </w:r>
          </w:p>
        </w:tc>
        <w:tc>
          <w:tcPr>
            <w:shd w:val="clear" w:color="auto" w:fill="DCE6F1"/>
            <w:tcW w:w="2550" w:type="pct"/>
          </w:tcPr>
          <w:p>
            <w:pPr>
              <w:pStyle w:val="Compact"/>
              <w:jc w:val="left"/>
              <w:wordWrap w:val="true"/>
            </w:pPr>
            <w:r>
              <w:rPr>
                <w:b/>
              </w:rPr>
              <w:t xml:space="preserve">Purpose</w:t>
            </w:r>
          </w:p>
        </w:tc>
      </w:tr>
      <w:tr>
        <w:trPr>
          <w:cantSplit w:val="true"/>
        </w:trPr>
        <w:tc>
          <w:tcPr>
            <w:tcW w:w="800" w:type="pct"/>
          </w:tcPr>
          <w:p>
            <w:pPr>
              <w:pStyle w:val="Compact"/>
              <w:jc w:val="left"/>
              <w:wordWrap w:val="true"/>
            </w:pPr>
            <w:r>
              <w:t xml:space="preserve">MD.06</w:t>
            </w:r>
          </w:p>
        </w:tc>
        <w:tc>
          <w:tcPr>
            <w:tcW w:w="1650" w:type="pct"/>
          </w:tcPr>
          <w:p>
            <w:pPr>
              <w:pStyle w:val="Compact"/>
              <w:jc w:val="left"/>
              <w:wordWrap w:val="true"/>
            </w:pPr>
            <w:r>
              <w:t xml:space="preserve">Farm Labour Source</w:t>
            </w:r>
          </w:p>
        </w:tc>
        <w:tc>
          <w:tcPr>
            <w:tcW w:w="2550" w:type="pct"/>
          </w:tcPr>
          <w:p>
            <w:pPr>
              <w:pStyle w:val="Compact"/>
              <w:jc w:val="left"/>
              <w:wordWrap w:val="true"/>
            </w:pPr>
            <w:r>
              <w:t xml:space="preserve">Source of farm labour.</w:t>
            </w:r>
          </w:p>
        </w:tc>
      </w:tr>
      <w:tr>
        <w:trPr>
          <w:cantSplit w:val="true"/>
        </w:trPr>
        <w:tc>
          <w:tcPr>
            <w:tcW w:w="800" w:type="pct"/>
          </w:tcPr>
          <w:p>
            <w:pPr>
              <w:pStyle w:val="Compact"/>
              <w:jc w:val="left"/>
              <w:wordWrap w:val="true"/>
            </w:pPr>
            <w:r>
              <w:t xml:space="preserve">MD.07</w:t>
            </w:r>
          </w:p>
        </w:tc>
        <w:tc>
          <w:tcPr>
            <w:tcW w:w="1650" w:type="pct"/>
          </w:tcPr>
          <w:p>
            <w:pPr>
              <w:pStyle w:val="Compact"/>
              <w:jc w:val="left"/>
              <w:wordWrap w:val="true"/>
            </w:pPr>
            <w:r>
              <w:t xml:space="preserve">Livelihood Source</w:t>
            </w:r>
          </w:p>
        </w:tc>
        <w:tc>
          <w:tcPr>
            <w:tcW w:w="2550" w:type="pct"/>
          </w:tcPr>
          <w:p>
            <w:pPr>
              <w:pStyle w:val="Compact"/>
              <w:jc w:val="left"/>
              <w:wordWrap w:val="true"/>
            </w:pPr>
            <w:r>
              <w:t xml:space="preserve">Household livelihood source.</w:t>
            </w:r>
          </w:p>
        </w:tc>
      </w:tr>
      <w:tr>
        <w:trPr>
          <w:cantSplit w:val="true"/>
        </w:trPr>
        <w:tc>
          <w:tcPr>
            <w:tcW w:w="800" w:type="pct"/>
          </w:tcPr>
          <w:p>
            <w:pPr>
              <w:pStyle w:val="Compact"/>
              <w:jc w:val="left"/>
              <w:wordWrap w:val="true"/>
            </w:pPr>
            <w:r>
              <w:t xml:space="preserve">MD.09</w:t>
            </w:r>
          </w:p>
        </w:tc>
        <w:tc>
          <w:tcPr>
            <w:tcW w:w="1650" w:type="pct"/>
          </w:tcPr>
          <w:p>
            <w:pPr>
              <w:pStyle w:val="Compact"/>
              <w:jc w:val="left"/>
              <w:wordWrap w:val="true"/>
            </w:pPr>
            <w:r>
              <w:t xml:space="preserve">Info Source</w:t>
            </w:r>
          </w:p>
        </w:tc>
        <w:tc>
          <w:tcPr>
            <w:tcW w:w="2550" w:type="pct"/>
          </w:tcPr>
          <w:p>
            <w:pPr>
              <w:pStyle w:val="Compact"/>
              <w:jc w:val="left"/>
              <w:wordWrap w:val="true"/>
            </w:pPr>
            <w:r>
              <w:t xml:space="preserve">How the farmer receives agricultural information.</w:t>
            </w:r>
          </w:p>
        </w:tc>
      </w:tr>
      <w:tr>
        <w:trPr>
          <w:cantSplit w:val="true"/>
        </w:trPr>
        <w:tc>
          <w:tcPr>
            <w:tcW w:w="800" w:type="pct"/>
          </w:tcPr>
          <w:p>
            <w:pPr>
              <w:pStyle w:val="Compact"/>
              <w:jc w:val="left"/>
              <w:wordWrap w:val="true"/>
            </w:pPr>
            <w:r>
              <w:t xml:space="preserve">MD.10</w:t>
            </w:r>
          </w:p>
        </w:tc>
        <w:tc>
          <w:tcPr>
            <w:tcW w:w="1650" w:type="pct"/>
          </w:tcPr>
          <w:p>
            <w:pPr>
              <w:pStyle w:val="Compact"/>
              <w:jc w:val="left"/>
              <w:wordWrap w:val="true"/>
            </w:pPr>
            <w:r>
              <w:t xml:space="preserve">Conservation Practice</w:t>
            </w:r>
          </w:p>
        </w:tc>
        <w:tc>
          <w:tcPr>
            <w:tcW w:w="2550" w:type="pct"/>
          </w:tcPr>
          <w:p>
            <w:pPr>
              <w:pStyle w:val="Compact"/>
              <w:jc w:val="left"/>
              <w:wordWrap w:val="true"/>
            </w:pPr>
            <w:r>
              <w:t xml:space="preserve">Soil/water conservation practices used.</w:t>
            </w:r>
          </w:p>
        </w:tc>
      </w:tr>
      <w:tr>
        <w:trPr>
          <w:cantSplit w:val="true"/>
        </w:trPr>
        <w:tc>
          <w:tcPr>
            <w:tcW w:w="800" w:type="pct"/>
          </w:tcPr>
          <w:p>
            <w:pPr>
              <w:pStyle w:val="Compact"/>
              <w:jc w:val="left"/>
              <w:wordWrap w:val="true"/>
            </w:pPr>
            <w:r>
              <w:t xml:space="preserve">MD.11</w:t>
            </w:r>
          </w:p>
        </w:tc>
        <w:tc>
          <w:tcPr>
            <w:tcW w:w="1650" w:type="pct"/>
          </w:tcPr>
          <w:p>
            <w:pPr>
              <w:pStyle w:val="Compact"/>
              <w:jc w:val="left"/>
              <w:wordWrap w:val="true"/>
            </w:pPr>
            <w:r>
              <w:t xml:space="preserve">Hazard</w:t>
            </w:r>
          </w:p>
        </w:tc>
        <w:tc>
          <w:tcPr>
            <w:tcW w:w="2550" w:type="pct"/>
          </w:tcPr>
          <w:p>
            <w:pPr>
              <w:pStyle w:val="Compact"/>
              <w:jc w:val="left"/>
              <w:wordWrap w:val="true"/>
            </w:pPr>
            <w:r>
              <w:t xml:space="preserve">Environmental/agricultural hazards.</w:t>
            </w:r>
          </w:p>
        </w:tc>
      </w:tr>
      <w:tr>
        <w:trPr>
          <w:cantSplit w:val="true"/>
        </w:trPr>
        <w:tc>
          <w:tcPr>
            <w:tcW w:w="800" w:type="pct"/>
          </w:tcPr>
          <w:p>
            <w:pPr>
              <w:pStyle w:val="Compact"/>
              <w:jc w:val="left"/>
              <w:wordWrap w:val="true"/>
            </w:pPr>
            <w:r>
              <w:t xml:space="preserve">MD.15</w:t>
            </w:r>
          </w:p>
        </w:tc>
        <w:tc>
          <w:tcPr>
            <w:tcW w:w="1650" w:type="pct"/>
          </w:tcPr>
          <w:p>
            <w:pPr>
              <w:pStyle w:val="Compact"/>
              <w:jc w:val="left"/>
              <w:wordWrap w:val="true"/>
            </w:pPr>
            <w:r>
              <w:t xml:space="preserve">Area Units</w:t>
            </w:r>
          </w:p>
        </w:tc>
        <w:tc>
          <w:tcPr>
            <w:tcW w:w="2550" w:type="pct"/>
          </w:tcPr>
          <w:p>
            <w:pPr>
              <w:pStyle w:val="Compact"/>
              <w:jc w:val="left"/>
              <w:wordWrap w:val="true"/>
            </w:pPr>
            <w:r>
              <w:t xml:space="preserve">Units for parcel area (e.g. hectares).</w:t>
            </w:r>
          </w:p>
        </w:tc>
      </w:tr>
      <w:tr>
        <w:trPr>
          <w:cantSplit w:val="true"/>
        </w:trPr>
        <w:tc>
          <w:tcPr>
            <w:tcW w:w="800" w:type="pct"/>
          </w:tcPr>
          <w:p>
            <w:pPr>
              <w:pStyle w:val="Compact"/>
              <w:jc w:val="left"/>
              <w:wordWrap w:val="true"/>
            </w:pPr>
            <w:r>
              <w:t xml:space="preserve">MD.16</w:t>
            </w:r>
          </w:p>
        </w:tc>
        <w:tc>
          <w:tcPr>
            <w:tcW w:w="1650" w:type="pct"/>
          </w:tcPr>
          <w:p>
            <w:pPr>
              <w:pStyle w:val="Compact"/>
              <w:jc w:val="left"/>
              <w:wordWrap w:val="true"/>
            </w:pPr>
            <w:r>
              <w:t xml:space="preserve">Livestock Type</w:t>
            </w:r>
          </w:p>
        </w:tc>
        <w:tc>
          <w:tcPr>
            <w:tcW w:w="2550" w:type="pct"/>
          </w:tcPr>
          <w:p>
            <w:pPr>
              <w:pStyle w:val="Compact"/>
              <w:jc w:val="left"/>
              <w:wordWrap w:val="true"/>
            </w:pPr>
            <w:r>
              <w:t xml:space="preserve">Types of livestock.</w:t>
            </w:r>
          </w:p>
        </w:tc>
      </w:tr>
      <w:tr>
        <w:trPr>
          <w:cantSplit w:val="true"/>
        </w:trPr>
        <w:tc>
          <w:tcPr>
            <w:tcW w:w="800" w:type="pct"/>
          </w:tcPr>
          <w:p>
            <w:pPr>
              <w:pStyle w:val="Compact"/>
              <w:jc w:val="left"/>
              <w:wordWrap w:val="true"/>
            </w:pPr>
            <w:r>
              <w:t xml:space="preserve">MD.16.1</w:t>
            </w:r>
          </w:p>
        </w:tc>
        <w:tc>
          <w:tcPr>
            <w:tcW w:w="1650" w:type="pct"/>
          </w:tcPr>
          <w:p>
            <w:pPr>
              <w:pStyle w:val="Compact"/>
              <w:jc w:val="left"/>
              <w:wordWrap w:val="true"/>
            </w:pPr>
            <w:r>
              <w:t xml:space="preserve">Livestock Category</w:t>
            </w:r>
          </w:p>
        </w:tc>
        <w:tc>
          <w:tcPr>
            <w:tcW w:w="2550" w:type="pct"/>
          </w:tcPr>
          <w:p>
            <w:pPr>
              <w:pStyle w:val="Compact"/>
              <w:jc w:val="left"/>
              <w:wordWrap w:val="true"/>
            </w:pPr>
            <w:r>
              <w:t xml:space="preserve">Livestock categories.</w:t>
            </w:r>
          </w:p>
        </w:tc>
      </w:tr>
      <w:tr>
        <w:trPr>
          <w:cantSplit w:val="true"/>
        </w:trPr>
        <w:tc>
          <w:tcPr>
            <w:tcW w:w="800" w:type="pct"/>
          </w:tcPr>
          <w:p>
            <w:pPr>
              <w:pStyle w:val="Compact"/>
              <w:jc w:val="left"/>
              <w:wordWrap w:val="true"/>
            </w:pPr>
            <w:r>
              <w:t xml:space="preserve">MD.17</w:t>
            </w:r>
          </w:p>
        </w:tc>
        <w:tc>
          <w:tcPr>
            <w:tcW w:w="1650" w:type="pct"/>
          </w:tcPr>
          <w:p>
            <w:pPr>
              <w:pStyle w:val="Compact"/>
              <w:jc w:val="left"/>
              <w:wordWrap w:val="true"/>
            </w:pPr>
            <w:r>
              <w:t xml:space="preserve">Income Source</w:t>
            </w:r>
          </w:p>
        </w:tc>
        <w:tc>
          <w:tcPr>
            <w:tcW w:w="2550" w:type="pct"/>
          </w:tcPr>
          <w:p>
            <w:pPr>
              <w:pStyle w:val="Compact"/>
              <w:jc w:val="left"/>
              <w:wordWrap w:val="true"/>
            </w:pPr>
            <w:r>
              <w:t xml:space="preserve">Household income sources.</w:t>
            </w:r>
          </w:p>
        </w:tc>
      </w:tr>
      <w:tr>
        <w:trPr>
          <w:cantSplit w:val="true"/>
        </w:trPr>
        <w:tc>
          <w:tcPr>
            <w:tcW w:w="800" w:type="pct"/>
          </w:tcPr>
          <w:p>
            <w:pPr>
              <w:pStyle w:val="Compact"/>
              <w:jc w:val="left"/>
              <w:wordWrap w:val="true"/>
            </w:pPr>
            <w:r>
              <w:t xml:space="preserve">MD.19</w:t>
            </w:r>
          </w:p>
        </w:tc>
        <w:tc>
          <w:tcPr>
            <w:tcW w:w="1650" w:type="pct"/>
          </w:tcPr>
          <w:p>
            <w:pPr>
              <w:pStyle w:val="Compact"/>
              <w:jc w:val="left"/>
              <w:wordWrap w:val="true"/>
            </w:pPr>
            <w:r>
              <w:t xml:space="preserve">Crops</w:t>
            </w:r>
          </w:p>
        </w:tc>
        <w:tc>
          <w:tcPr>
            <w:tcW w:w="2550" w:type="pct"/>
          </w:tcPr>
          <w:p>
            <w:pPr>
              <w:pStyle w:val="Compact"/>
              <w:jc w:val="left"/>
              <w:wordWrap w:val="true"/>
            </w:pPr>
            <w:r>
              <w:t xml:space="preserve">Crops grown.</w:t>
            </w:r>
          </w:p>
        </w:tc>
      </w:tr>
      <w:tr>
        <w:trPr>
          <w:cantSplit w:val="true"/>
        </w:trPr>
        <w:tc>
          <w:tcPr>
            <w:tcW w:w="800" w:type="pct"/>
          </w:tcPr>
          <w:p>
            <w:pPr>
              <w:pStyle w:val="Compact"/>
              <w:jc w:val="left"/>
              <w:wordWrap w:val="true"/>
            </w:pPr>
            <w:r>
              <w:t xml:space="preserve">MD.19.1</w:t>
            </w:r>
          </w:p>
        </w:tc>
        <w:tc>
          <w:tcPr>
            <w:tcW w:w="1650" w:type="pct"/>
          </w:tcPr>
          <w:p>
            <w:pPr>
              <w:pStyle w:val="Compact"/>
              <w:jc w:val="left"/>
              <w:wordWrap w:val="true"/>
            </w:pPr>
            <w:r>
              <w:t xml:space="preserve">Crop Category</w:t>
            </w:r>
          </w:p>
        </w:tc>
        <w:tc>
          <w:tcPr>
            <w:tcW w:w="2550" w:type="pct"/>
          </w:tcPr>
          <w:p>
            <w:pPr>
              <w:pStyle w:val="Compact"/>
              <w:jc w:val="left"/>
              <w:wordWrap w:val="true"/>
            </w:pPr>
            <w:r>
              <w:t xml:space="preserve">Crop categories.</w:t>
            </w:r>
          </w:p>
        </w:tc>
      </w:tr>
      <w:tr>
        <w:trPr>
          <w:cantSplit w:val="true"/>
        </w:trPr>
        <w:tc>
          <w:tcPr>
            <w:tcW w:w="800" w:type="pct"/>
          </w:tcPr>
          <w:p>
            <w:pPr>
              <w:pStyle w:val="Compact"/>
              <w:jc w:val="left"/>
              <w:wordWrap w:val="true"/>
            </w:pPr>
            <w:r>
              <w:t xml:space="preserve">MD.48</w:t>
            </w:r>
          </w:p>
        </w:tc>
        <w:tc>
          <w:tcPr>
            <w:tcW w:w="1650" w:type="pct"/>
          </w:tcPr>
          <w:p>
            <w:pPr>
              <w:pStyle w:val="Compact"/>
              <w:jc w:val="left"/>
              <w:wordWrap w:val="true"/>
            </w:pPr>
            <w:r>
              <w:t xml:space="preserve">Agricultural Season</w:t>
            </w:r>
          </w:p>
        </w:tc>
        <w:tc>
          <w:tcPr>
            <w:tcW w:w="2550" w:type="pct"/>
          </w:tcPr>
          <w:p>
            <w:pPr>
              <w:pStyle w:val="Compact"/>
              <w:jc w:val="left"/>
              <w:wordWrap w:val="true"/>
            </w:pPr>
            <w:r>
              <w:t xml:space="preserve">Planting/harvest seasons (campaigns).</w:t>
            </w:r>
          </w:p>
        </w:tc>
      </w:tr>
      <w:tr>
        <w:trPr>
          <w:cantSplit w:val="true"/>
        </w:trPr>
        <w:tc>
          <w:tcPr>
            <w:tcW w:w="800" w:type="pct"/>
          </w:tcPr>
          <w:p>
            <w:pPr>
              <w:pStyle w:val="Compact"/>
              <w:jc w:val="left"/>
              <w:wordWrap w:val="true"/>
            </w:pPr>
            <w:r>
              <w:t xml:space="preserve">MD.49</w:t>
            </w:r>
          </w:p>
        </w:tc>
        <w:tc>
          <w:tcPr>
            <w:tcW w:w="1650" w:type="pct"/>
          </w:tcPr>
          <w:p>
            <w:pPr>
              <w:pStyle w:val="Compact"/>
              <w:jc w:val="left"/>
              <w:wordWrap w:val="true"/>
            </w:pPr>
            <w:r>
              <w:t xml:space="preserve">Expected Yield Baseline</w:t>
            </w:r>
          </w:p>
        </w:tc>
        <w:tc>
          <w:tcPr>
            <w:tcW w:w="2550" w:type="pct"/>
          </w:tcPr>
          <w:p>
            <w:pPr>
              <w:pStyle w:val="Compact"/>
              <w:jc w:val="left"/>
              <w:wordWrap w:val="true"/>
            </w:pPr>
            <w:r>
              <w:t xml:space="preserve">Baseline yield expectations.</w:t>
            </w:r>
          </w:p>
        </w:tc>
      </w:tr>
      <w:tr>
        <w:trPr>
          <w:cantSplit w:val="true"/>
        </w:trPr>
        <w:tc>
          <w:tcPr>
            <w:tcW w:w="800" w:type="pct"/>
          </w:tcPr>
          <w:p>
            <w:pPr>
              <w:pStyle w:val="Compact"/>
              <w:jc w:val="left"/>
              <w:wordWrap w:val="true"/>
            </w:pPr>
            <w:r>
              <w:t xml:space="preserve">MD.82</w:t>
            </w:r>
          </w:p>
        </w:tc>
        <w:tc>
          <w:tcPr>
            <w:tcW w:w="1650" w:type="pct"/>
          </w:tcPr>
          <w:p>
            <w:pPr>
              <w:pStyle w:val="Compact"/>
              <w:jc w:val="left"/>
              <w:wordWrap w:val="true"/>
            </w:pPr>
            <w:r>
              <w:t xml:space="preserve">Yield Source</w:t>
            </w:r>
          </w:p>
        </w:tc>
        <w:tc>
          <w:tcPr>
            <w:tcW w:w="2550" w:type="pct"/>
          </w:tcPr>
          <w:p>
            <w:pPr>
              <w:pStyle w:val="Compact"/>
              <w:jc w:val="left"/>
              <w:wordWrap w:val="true"/>
            </w:pPr>
            <w:r>
              <w:t xml:space="preserve">Source of yield data.</w:t>
            </w:r>
          </w:p>
        </w:tc>
      </w:tr>
      <w:tr>
        <w:trPr>
          <w:cantSplit w:val="true"/>
        </w:trPr>
        <w:tc>
          <w:tcPr>
            <w:tcW w:w="800" w:type="pct"/>
          </w:tcPr>
          <w:p>
            <w:pPr>
              <w:pStyle w:val="Compact"/>
              <w:jc w:val="left"/>
              <w:wordWrap w:val="true"/>
            </w:pPr>
            <w:r>
              <w:t xml:space="preserve">MD.83</w:t>
            </w:r>
          </w:p>
        </w:tc>
        <w:tc>
          <w:tcPr>
            <w:tcW w:w="1650" w:type="pct"/>
          </w:tcPr>
          <w:p>
            <w:pPr>
              <w:pStyle w:val="Compact"/>
              <w:jc w:val="left"/>
              <w:wordWrap w:val="true"/>
            </w:pPr>
            <w:r>
              <w:t xml:space="preserve">Yield/Production Status</w:t>
            </w:r>
          </w:p>
        </w:tc>
        <w:tc>
          <w:tcPr>
            <w:tcW w:w="2550" w:type="pct"/>
          </w:tcPr>
          <w:p>
            <w:pPr>
              <w:pStyle w:val="Compact"/>
              <w:jc w:val="left"/>
              <w:wordWrap w:val="true"/>
            </w:pPr>
            <w:r>
              <w:t xml:space="preserve">Status of production records.</w:t>
            </w:r>
          </w:p>
        </w:tc>
      </w:tr>
      <w:tr>
        <w:trPr>
          <w:cantSplit w:val="true"/>
        </w:trPr>
        <w:tc>
          <w:tcPr>
            <w:tcW w:w="800" w:type="pct"/>
          </w:tcPr>
          <w:p>
            <w:pPr>
              <w:pStyle w:val="Compact"/>
              <w:jc w:val="left"/>
              <w:wordWrap w:val="true"/>
            </w:pPr>
            <w:r>
              <w:t xml:space="preserve">MD.84</w:t>
            </w:r>
          </w:p>
        </w:tc>
        <w:tc>
          <w:tcPr>
            <w:tcW w:w="1650" w:type="pct"/>
          </w:tcPr>
          <w:p>
            <w:pPr>
              <w:pStyle w:val="Compact"/>
              <w:jc w:val="left"/>
              <w:wordWrap w:val="true"/>
            </w:pPr>
            <w:r>
              <w:t xml:space="preserve">Seed Type</w:t>
            </w:r>
          </w:p>
        </w:tc>
        <w:tc>
          <w:tcPr>
            <w:tcW w:w="2550" w:type="pct"/>
          </w:tcPr>
          <w:p>
            <w:pPr>
              <w:pStyle w:val="Compact"/>
              <w:jc w:val="left"/>
              <w:wordWrap w:val="true"/>
            </w:pPr>
            <w:r>
              <w:t xml:space="preserve">Seed varieties.</w:t>
            </w:r>
          </w:p>
        </w:tc>
      </w:tr>
      <w:tr>
        <w:trPr>
          <w:cantSplit w:val="true"/>
        </w:trPr>
        <w:tc>
          <w:tcPr>
            <w:tcW w:w="800" w:type="pct"/>
          </w:tcPr>
          <w:p>
            <w:pPr>
              <w:pStyle w:val="Compact"/>
              <w:jc w:val="left"/>
              <w:wordWrap w:val="true"/>
            </w:pPr>
            <w:r>
              <w:t xml:space="preserve">MD.85</w:t>
            </w:r>
          </w:p>
        </w:tc>
        <w:tc>
          <w:tcPr>
            <w:tcW w:w="1650" w:type="pct"/>
          </w:tcPr>
          <w:p>
            <w:pPr>
              <w:pStyle w:val="Compact"/>
              <w:jc w:val="left"/>
              <w:wordWrap w:val="true"/>
            </w:pPr>
            <w:r>
              <w:t xml:space="preserve">Seed/Input Source</w:t>
            </w:r>
          </w:p>
        </w:tc>
        <w:tc>
          <w:tcPr>
            <w:tcW w:w="2550" w:type="pct"/>
          </w:tcPr>
          <w:p>
            <w:pPr>
              <w:pStyle w:val="Compact"/>
              <w:jc w:val="left"/>
              <w:wordWrap w:val="true"/>
            </w:pPr>
            <w:r>
              <w:t xml:space="preserve">Source of seed/inputs.</w:t>
            </w:r>
          </w:p>
        </w:tc>
      </w:tr>
      <w:tr>
        <w:trPr>
          <w:cantSplit w:val="true"/>
        </w:trPr>
        <w:tc>
          <w:tcPr>
            <w:tcW w:w="800" w:type="pct"/>
          </w:tcPr>
          <w:p>
            <w:pPr>
              <w:pStyle w:val="Compact"/>
              <w:jc w:val="left"/>
              <w:wordWrap w:val="true"/>
            </w:pPr>
            <w:r>
              <w:t xml:space="preserve">MD.86</w:t>
            </w:r>
          </w:p>
        </w:tc>
        <w:tc>
          <w:tcPr>
            <w:tcW w:w="1650" w:type="pct"/>
          </w:tcPr>
          <w:p>
            <w:pPr>
              <w:pStyle w:val="Compact"/>
              <w:jc w:val="left"/>
              <w:wordWrap w:val="true"/>
            </w:pPr>
            <w:r>
              <w:t xml:space="preserve">Fertilizer Type</w:t>
            </w:r>
          </w:p>
        </w:tc>
        <w:tc>
          <w:tcPr>
            <w:tcW w:w="2550" w:type="pct"/>
          </w:tcPr>
          <w:p>
            <w:pPr>
              <w:pStyle w:val="Compact"/>
              <w:jc w:val="left"/>
              <w:wordWrap w:val="true"/>
            </w:pPr>
            <w:r>
              <w:t xml:space="preserve">Fertiliser types.</w:t>
            </w:r>
          </w:p>
        </w:tc>
      </w:tr>
      <w:tr>
        <w:trPr>
          <w:cantSplit w:val="true"/>
        </w:trPr>
        <w:tc>
          <w:tcPr>
            <w:tcW w:w="800" w:type="pct"/>
          </w:tcPr>
          <w:p>
            <w:pPr>
              <w:pStyle w:val="Compact"/>
              <w:jc w:val="left"/>
              <w:wordWrap w:val="true"/>
            </w:pPr>
            <w:r>
              <w:t xml:space="preserve">MD.87</w:t>
            </w:r>
          </w:p>
        </w:tc>
        <w:tc>
          <w:tcPr>
            <w:tcW w:w="1650" w:type="pct"/>
          </w:tcPr>
          <w:p>
            <w:pPr>
              <w:pStyle w:val="Compact"/>
              <w:jc w:val="left"/>
              <w:wordWrap w:val="true"/>
            </w:pPr>
            <w:r>
              <w:t xml:space="preserve">Irrigation Type</w:t>
            </w:r>
          </w:p>
        </w:tc>
        <w:tc>
          <w:tcPr>
            <w:tcW w:w="2550" w:type="pct"/>
          </w:tcPr>
          <w:p>
            <w:pPr>
              <w:pStyle w:val="Compact"/>
              <w:jc w:val="left"/>
              <w:wordWrap w:val="true"/>
            </w:pPr>
            <w:r>
              <w:t xml:space="preserve">Irrigation methods.</w:t>
            </w:r>
          </w:p>
        </w:tc>
      </w:tr>
      <w:tr>
        <w:trPr>
          <w:cantSplit w:val="true"/>
        </w:trPr>
        <w:tc>
          <w:tcPr>
            <w:tcW w:w="800" w:type="pct"/>
          </w:tcPr>
          <w:p>
            <w:pPr>
              <w:pStyle w:val="Compact"/>
              <w:jc w:val="left"/>
              <w:wordWrap w:val="true"/>
            </w:pPr>
            <w:r>
              <w:t xml:space="preserve">MD.88</w:t>
            </w:r>
          </w:p>
        </w:tc>
        <w:tc>
          <w:tcPr>
            <w:tcW w:w="1650" w:type="pct"/>
          </w:tcPr>
          <w:p>
            <w:pPr>
              <w:pStyle w:val="Compact"/>
              <w:jc w:val="left"/>
              <w:wordWrap w:val="true"/>
            </w:pPr>
            <w:r>
              <w:t xml:space="preserve">Harvest Disposition</w:t>
            </w:r>
          </w:p>
        </w:tc>
        <w:tc>
          <w:tcPr>
            <w:tcW w:w="2550" w:type="pct"/>
          </w:tcPr>
          <w:p>
            <w:pPr>
              <w:pStyle w:val="Compact"/>
              <w:jc w:val="left"/>
              <w:wordWrap w:val="true"/>
            </w:pPr>
            <w:r>
              <w:t xml:space="preserve">What happens to the harvest.</w:t>
            </w:r>
          </w:p>
        </w:tc>
      </w:tr>
      <w:tr>
        <w:trPr>
          <w:cantSplit w:val="true"/>
        </w:trPr>
        <w:tc>
          <w:tcPr>
            <w:tcW w:w="800" w:type="pct"/>
          </w:tcPr>
          <w:p>
            <w:pPr>
              <w:pStyle w:val="Compact"/>
              <w:jc w:val="left"/>
              <w:wordWrap w:val="true"/>
            </w:pPr>
            <w:r>
              <w:t xml:space="preserve">MD.89</w:t>
            </w:r>
          </w:p>
        </w:tc>
        <w:tc>
          <w:tcPr>
            <w:tcW w:w="1650" w:type="pct"/>
          </w:tcPr>
          <w:p>
            <w:pPr>
              <w:pStyle w:val="Compact"/>
              <w:jc w:val="left"/>
              <w:wordWrap w:val="true"/>
            </w:pPr>
            <w:r>
              <w:t xml:space="preserve">Shock Impact Level</w:t>
            </w:r>
          </w:p>
        </w:tc>
        <w:tc>
          <w:tcPr>
            <w:tcW w:w="2550" w:type="pct"/>
          </w:tcPr>
          <w:p>
            <w:pPr>
              <w:pStyle w:val="Compact"/>
              <w:jc w:val="left"/>
              <w:wordWrap w:val="true"/>
            </w:pPr>
            <w:r>
              <w:t xml:space="preserve">Severity of a shock/hazard.</w:t>
            </w:r>
          </w:p>
        </w:tc>
      </w:tr>
      <w:tr>
        <w:trPr>
          <w:cantSplit w:val="true"/>
        </w:trPr>
        <w:tc>
          <w:tcPr>
            <w:tcW w:w="800" w:type="pct"/>
          </w:tcPr>
          <w:p>
            <w:pPr>
              <w:pStyle w:val="Compact"/>
              <w:jc w:val="left"/>
              <w:wordWrap w:val="true"/>
            </w:pPr>
            <w:r>
              <w:t xml:space="preserve">MD.90</w:t>
            </w:r>
          </w:p>
        </w:tc>
        <w:tc>
          <w:tcPr>
            <w:tcW w:w="1650" w:type="pct"/>
          </w:tcPr>
          <w:p>
            <w:pPr>
              <w:pStyle w:val="Compact"/>
              <w:jc w:val="left"/>
              <w:wordWrap w:val="true"/>
            </w:pPr>
            <w:r>
              <w:t xml:space="preserve">Harvest Record Status</w:t>
            </w:r>
          </w:p>
        </w:tc>
        <w:tc>
          <w:tcPr>
            <w:tcW w:w="2550" w:type="pct"/>
          </w:tcPr>
          <w:p>
            <w:pPr>
              <w:pStyle w:val="Compact"/>
              <w:jc w:val="left"/>
              <w:wordWrap w:val="true"/>
            </w:pPr>
            <w:r>
              <w:t xml:space="preserve">Status of harvest records.</w:t>
            </w:r>
          </w:p>
        </w:tc>
      </w:tr>
      <w:tr>
        <w:trPr>
          <w:cantSplit w:val="true"/>
        </w:trPr>
        <w:tc>
          <w:tcPr>
            <w:tcW w:w="800" w:type="pct"/>
          </w:tcPr>
          <w:p>
            <w:pPr>
              <w:pStyle w:val="Compact"/>
              <w:jc w:val="left"/>
              <w:wordWrap w:val="true"/>
            </w:pPr>
            <w:r>
              <w:t xml:space="preserve">MD.96</w:t>
            </w:r>
          </w:p>
        </w:tc>
        <w:tc>
          <w:tcPr>
            <w:tcW w:w="1650" w:type="pct"/>
          </w:tcPr>
          <w:p>
            <w:pPr>
              <w:pStyle w:val="Compact"/>
              <w:jc w:val="left"/>
              <w:wordWrap w:val="true"/>
            </w:pPr>
            <w:r>
              <w:t xml:space="preserve">Transport Mode</w:t>
            </w:r>
          </w:p>
        </w:tc>
        <w:tc>
          <w:tcPr>
            <w:tcW w:w="2550" w:type="pct"/>
          </w:tcPr>
          <w:p>
            <w:pPr>
              <w:pStyle w:val="Compact"/>
              <w:jc w:val="left"/>
              <w:wordWrap w:val="true"/>
            </w:pPr>
            <w:r>
              <w:t xml:space="preserve">Mode of transport to each service (on foot, animal, public, private).</w:t>
            </w:r>
          </w:p>
        </w:tc>
      </w:tr>
    </w:tbl>
    <w:bookmarkEnd w:id="63"/>
    <w:bookmarkStart w:id="64" w:name="programmes-eligibility-and-targeting"/>
    <w:p>
      <w:pPr>
        <w:pStyle w:val="Heading2"/>
      </w:pPr>
      <w:r>
        <w:t xml:space="preserve">8.4 Programmes, eligibility and targeting</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1395"/>
        <w:gridCol w:w="3162"/>
        <w:gridCol w:w="4743"/>
      </w:tblGrid>
      <w:tr>
        <w:trPr>
          <w:tblHeader w:val="true"/>
          <w:cantSplit w:val="true"/>
        </w:trPr>
        <w:tc>
          <w:tcPr>
            <w:shd w:val="clear" w:color="auto" w:fill="DCE6F1"/>
            <w:tcW w:w="750" w:type="pct"/>
          </w:tcPr>
          <w:p>
            <w:pPr>
              <w:pStyle w:val="Compact"/>
              <w:jc w:val="left"/>
              <w:wordWrap w:val="true"/>
            </w:pPr>
            <w:r>
              <w:rPr>
                <w:b/>
              </w:rPr>
              <w:t xml:space="preserve">MD</w:t>
            </w:r>
          </w:p>
        </w:tc>
        <w:tc>
          <w:tcPr>
            <w:shd w:val="clear" w:color="auto" w:fill="DCE6F1"/>
            <w:tcW w:w="1700" w:type="pct"/>
          </w:tcPr>
          <w:p>
            <w:pPr>
              <w:pStyle w:val="Compact"/>
              <w:jc w:val="left"/>
              <w:wordWrap w:val="true"/>
            </w:pPr>
            <w:r>
              <w:rPr>
                <w:b/>
              </w:rPr>
              <w:t xml:space="preserve">Catalogue</w:t>
            </w:r>
          </w:p>
        </w:tc>
        <w:tc>
          <w:tcPr>
            <w:shd w:val="clear" w:color="auto" w:fill="DCE6F1"/>
            <w:tcW w:w="2550" w:type="pct"/>
          </w:tcPr>
          <w:p>
            <w:pPr>
              <w:pStyle w:val="Compact"/>
              <w:jc w:val="left"/>
              <w:wordWrap w:val="true"/>
            </w:pPr>
            <w:r>
              <w:rPr>
                <w:b/>
              </w:rPr>
              <w:t xml:space="preserve">Purpose</w:t>
            </w:r>
          </w:p>
        </w:tc>
      </w:tr>
      <w:tr>
        <w:trPr>
          <w:cantSplit w:val="true"/>
        </w:trPr>
        <w:tc>
          <w:tcPr>
            <w:tcW w:w="750" w:type="pct"/>
          </w:tcPr>
          <w:p>
            <w:pPr>
              <w:pStyle w:val="Compact"/>
              <w:jc w:val="left"/>
              <w:wordWrap w:val="true"/>
            </w:pPr>
            <w:r>
              <w:t xml:space="preserve">MD.20</w:t>
            </w:r>
          </w:p>
        </w:tc>
        <w:tc>
          <w:tcPr>
            <w:tcW w:w="1700" w:type="pct"/>
          </w:tcPr>
          <w:p>
            <w:pPr>
              <w:pStyle w:val="Compact"/>
              <w:jc w:val="left"/>
              <w:wordWrap w:val="true"/>
            </w:pPr>
            <w:r>
              <w:t xml:space="preserve">Support Program</w:t>
            </w:r>
          </w:p>
        </w:tc>
        <w:tc>
          <w:tcPr>
            <w:tcW w:w="2550" w:type="pct"/>
          </w:tcPr>
          <w:p>
            <w:pPr>
              <w:pStyle w:val="Compact"/>
              <w:jc w:val="left"/>
              <w:wordWrap w:val="true"/>
            </w:pPr>
            <w:r>
              <w:t xml:space="preserve">The subsidy programmes.</w:t>
            </w:r>
          </w:p>
        </w:tc>
      </w:tr>
      <w:tr>
        <w:trPr>
          <w:cantSplit w:val="true"/>
        </w:trPr>
        <w:tc>
          <w:tcPr>
            <w:tcW w:w="750" w:type="pct"/>
          </w:tcPr>
          <w:p>
            <w:pPr>
              <w:pStyle w:val="Compact"/>
              <w:jc w:val="left"/>
              <w:wordWrap w:val="true"/>
            </w:pPr>
            <w:r>
              <w:t xml:space="preserve">MD.21</w:t>
            </w:r>
          </w:p>
        </w:tc>
        <w:tc>
          <w:tcPr>
            <w:tcW w:w="1700" w:type="pct"/>
          </w:tcPr>
          <w:p>
            <w:pPr>
              <w:pStyle w:val="Compact"/>
              <w:jc w:val="left"/>
              <w:wordWrap w:val="true"/>
            </w:pPr>
            <w:r>
              <w:t xml:space="preserve">Program Type</w:t>
            </w:r>
          </w:p>
        </w:tc>
        <w:tc>
          <w:tcPr>
            <w:tcW w:w="2550" w:type="pct"/>
          </w:tcPr>
          <w:p>
            <w:pPr>
              <w:pStyle w:val="Compact"/>
              <w:jc w:val="left"/>
              <w:wordWrap w:val="true"/>
            </w:pPr>
            <w:r>
              <w:t xml:space="preserve">Category of programme.</w:t>
            </w:r>
          </w:p>
        </w:tc>
      </w:tr>
      <w:tr>
        <w:trPr>
          <w:cantSplit w:val="true"/>
        </w:trPr>
        <w:tc>
          <w:tcPr>
            <w:tcW w:w="750" w:type="pct"/>
          </w:tcPr>
          <w:p>
            <w:pPr>
              <w:pStyle w:val="Compact"/>
              <w:jc w:val="left"/>
              <w:wordWrap w:val="true"/>
            </w:pPr>
            <w:r>
              <w:t xml:space="preserve">MD.28</w:t>
            </w:r>
          </w:p>
        </w:tc>
        <w:tc>
          <w:tcPr>
            <w:tcW w:w="1700" w:type="pct"/>
          </w:tcPr>
          <w:p>
            <w:pPr>
              <w:pStyle w:val="Compact"/>
              <w:jc w:val="left"/>
              <w:wordWrap w:val="true"/>
            </w:pPr>
            <w:r>
              <w:t xml:space="preserve">Benefit Model</w:t>
            </w:r>
          </w:p>
        </w:tc>
        <w:tc>
          <w:tcPr>
            <w:tcW w:w="2550" w:type="pct"/>
          </w:tcPr>
          <w:p>
            <w:pPr>
              <w:pStyle w:val="Compact"/>
              <w:jc w:val="left"/>
              <w:wordWrap w:val="true"/>
            </w:pPr>
            <w:r>
              <w:t xml:space="preserve">How a benefit is structured.</w:t>
            </w:r>
          </w:p>
        </w:tc>
      </w:tr>
      <w:tr>
        <w:trPr>
          <w:cantSplit w:val="true"/>
        </w:trPr>
        <w:tc>
          <w:tcPr>
            <w:tcW w:w="750" w:type="pct"/>
          </w:tcPr>
          <w:p>
            <w:pPr>
              <w:pStyle w:val="Compact"/>
              <w:jc w:val="left"/>
              <w:wordWrap w:val="true"/>
            </w:pPr>
            <w:r>
              <w:t xml:space="preserve">MD.30</w:t>
            </w:r>
          </w:p>
        </w:tc>
        <w:tc>
          <w:tcPr>
            <w:tcW w:w="1700" w:type="pct"/>
          </w:tcPr>
          <w:p>
            <w:pPr>
              <w:pStyle w:val="Compact"/>
              <w:jc w:val="left"/>
              <w:wordWrap w:val="true"/>
            </w:pPr>
            <w:r>
              <w:t xml:space="preserve">Target Group</w:t>
            </w:r>
          </w:p>
        </w:tc>
        <w:tc>
          <w:tcPr>
            <w:tcW w:w="2550" w:type="pct"/>
          </w:tcPr>
          <w:p>
            <w:pPr>
              <w:pStyle w:val="Compact"/>
              <w:jc w:val="left"/>
              <w:wordWrap w:val="true"/>
            </w:pPr>
            <w:r>
              <w:t xml:space="preserve">Intended beneficiary group.</w:t>
            </w:r>
          </w:p>
        </w:tc>
      </w:tr>
      <w:tr>
        <w:trPr>
          <w:cantSplit w:val="true"/>
        </w:trPr>
        <w:tc>
          <w:tcPr>
            <w:tcW w:w="750" w:type="pct"/>
          </w:tcPr>
          <w:p>
            <w:pPr>
              <w:pStyle w:val="Compact"/>
              <w:jc w:val="left"/>
              <w:wordWrap w:val="true"/>
            </w:pPr>
            <w:r>
              <w:t xml:space="preserve">MD.36 / MD.50</w:t>
            </w:r>
          </w:p>
        </w:tc>
        <w:tc>
          <w:tcPr>
            <w:tcW w:w="1700" w:type="pct"/>
          </w:tcPr>
          <w:p>
            <w:pPr>
              <w:pStyle w:val="Compact"/>
              <w:jc w:val="left"/>
              <w:wordWrap w:val="true"/>
            </w:pPr>
            <w:r>
              <w:t xml:space="preserve">Eligibility Operator</w:t>
            </w:r>
          </w:p>
        </w:tc>
        <w:tc>
          <w:tcPr>
            <w:tcW w:w="2550" w:type="pct"/>
          </w:tcPr>
          <w:p>
            <w:pPr>
              <w:pStyle w:val="Compact"/>
              <w:jc w:val="left"/>
              <w:wordWrap w:val="true"/>
            </w:pPr>
            <w:r>
              <w:t xml:space="preserve">Comparison operators used in eligibility rules.</w:t>
            </w:r>
          </w:p>
        </w:tc>
      </w:tr>
      <w:tr>
        <w:trPr>
          <w:cantSplit w:val="true"/>
        </w:trPr>
        <w:tc>
          <w:tcPr>
            <w:tcW w:w="750" w:type="pct"/>
          </w:tcPr>
          <w:p>
            <w:pPr>
              <w:pStyle w:val="Compact"/>
              <w:jc w:val="left"/>
              <w:wordWrap w:val="true"/>
            </w:pPr>
            <w:r>
              <w:t xml:space="preserve">MD.42</w:t>
            </w:r>
          </w:p>
        </w:tc>
        <w:tc>
          <w:tcPr>
            <w:tcW w:w="1700" w:type="pct"/>
          </w:tcPr>
          <w:p>
            <w:pPr>
              <w:pStyle w:val="Compact"/>
              <w:jc w:val="left"/>
              <w:wordWrap w:val="true"/>
            </w:pPr>
            <w:r>
              <w:t xml:space="preserve">Target Farmer Category</w:t>
            </w:r>
          </w:p>
        </w:tc>
        <w:tc>
          <w:tcPr>
            <w:tcW w:w="2550" w:type="pct"/>
          </w:tcPr>
          <w:p>
            <w:pPr>
              <w:pStyle w:val="Compact"/>
              <w:jc w:val="left"/>
              <w:wordWrap w:val="true"/>
            </w:pPr>
            <w:r>
              <w:t xml:space="preserve">Farmer categories targeted.</w:t>
            </w:r>
          </w:p>
        </w:tc>
      </w:tr>
      <w:tr>
        <w:trPr>
          <w:cantSplit w:val="true"/>
        </w:trPr>
        <w:tc>
          <w:tcPr>
            <w:tcW w:w="750" w:type="pct"/>
          </w:tcPr>
          <w:p>
            <w:pPr>
              <w:pStyle w:val="Compact"/>
              <w:jc w:val="left"/>
              <w:wordWrap w:val="true"/>
            </w:pPr>
            <w:r>
              <w:t xml:space="preserve">MD.51</w:t>
            </w:r>
          </w:p>
        </w:tc>
        <w:tc>
          <w:tcPr>
            <w:tcW w:w="1700" w:type="pct"/>
          </w:tcPr>
          <w:p>
            <w:pPr>
              <w:pStyle w:val="Compact"/>
              <w:jc w:val="left"/>
              <w:wordWrap w:val="true"/>
            </w:pPr>
            <w:r>
              <w:t xml:space="preserve">Field Category</w:t>
            </w:r>
          </w:p>
        </w:tc>
        <w:tc>
          <w:tcPr>
            <w:tcW w:w="2550" w:type="pct"/>
          </w:tcPr>
          <w:p>
            <w:pPr>
              <w:pStyle w:val="Compact"/>
              <w:jc w:val="left"/>
              <w:wordWrap w:val="true"/>
            </w:pPr>
            <w:r>
              <w:t xml:space="preserve">Grouping of form fields.</w:t>
            </w:r>
          </w:p>
        </w:tc>
      </w:tr>
      <w:tr>
        <w:trPr>
          <w:cantSplit w:val="true"/>
        </w:trPr>
        <w:tc>
          <w:tcPr>
            <w:tcW w:w="750" w:type="pct"/>
          </w:tcPr>
          <w:p>
            <w:pPr>
              <w:pStyle w:val="Compact"/>
              <w:jc w:val="left"/>
              <w:wordWrap w:val="true"/>
            </w:pPr>
            <w:r>
              <w:t xml:space="preserve">MD.52</w:t>
            </w:r>
          </w:p>
        </w:tc>
        <w:tc>
          <w:tcPr>
            <w:tcW w:w="1700" w:type="pct"/>
          </w:tcPr>
          <w:p>
            <w:pPr>
              <w:pStyle w:val="Compact"/>
              <w:jc w:val="left"/>
              <w:wordWrap w:val="true"/>
            </w:pPr>
            <w:r>
              <w:t xml:space="preserve">Program Status</w:t>
            </w:r>
          </w:p>
        </w:tc>
        <w:tc>
          <w:tcPr>
            <w:tcW w:w="2550" w:type="pct"/>
          </w:tcPr>
          <w:p>
            <w:pPr>
              <w:pStyle w:val="Compact"/>
              <w:jc w:val="left"/>
              <w:wordWrap w:val="true"/>
            </w:pPr>
            <w:r>
              <w:t xml:space="preserve">Lifecycle status of a programme.</w:t>
            </w:r>
          </w:p>
        </w:tc>
      </w:tr>
      <w:tr>
        <w:trPr>
          <w:cantSplit w:val="true"/>
        </w:trPr>
        <w:tc>
          <w:tcPr>
            <w:tcW w:w="750" w:type="pct"/>
          </w:tcPr>
          <w:p>
            <w:pPr>
              <w:pStyle w:val="Compact"/>
              <w:jc w:val="left"/>
              <w:wordWrap w:val="true"/>
            </w:pPr>
            <w:r>
              <w:t xml:space="preserve">MD.53</w:t>
            </w:r>
          </w:p>
        </w:tc>
        <w:tc>
          <w:tcPr>
            <w:tcW w:w="1700" w:type="pct"/>
          </w:tcPr>
          <w:p>
            <w:pPr>
              <w:pStyle w:val="Compact"/>
              <w:jc w:val="left"/>
              <w:wordWrap w:val="true"/>
            </w:pPr>
            <w:r>
              <w:t xml:space="preserve">Priority</w:t>
            </w:r>
          </w:p>
        </w:tc>
        <w:tc>
          <w:tcPr>
            <w:tcW w:w="2550" w:type="pct"/>
          </w:tcPr>
          <w:p>
            <w:pPr>
              <w:pStyle w:val="Compact"/>
              <w:jc w:val="left"/>
              <w:wordWrap w:val="true"/>
            </w:pPr>
            <w:r>
              <w:t xml:space="preserve">Priority level.</w:t>
            </w:r>
          </w:p>
        </w:tc>
      </w:tr>
      <w:tr>
        <w:trPr>
          <w:cantSplit w:val="true"/>
        </w:trPr>
        <w:tc>
          <w:tcPr>
            <w:tcW w:w="750" w:type="pct"/>
          </w:tcPr>
          <w:p>
            <w:pPr>
              <w:pStyle w:val="Compact"/>
              <w:jc w:val="left"/>
              <w:wordWrap w:val="true"/>
            </w:pPr>
            <w:r>
              <w:t xml:space="preserve">MD.56</w:t>
            </w:r>
          </w:p>
        </w:tc>
        <w:tc>
          <w:tcPr>
            <w:tcW w:w="1700" w:type="pct"/>
          </w:tcPr>
          <w:p>
            <w:pPr>
              <w:pStyle w:val="Compact"/>
              <w:jc w:val="left"/>
              <w:wordWrap w:val="true"/>
            </w:pPr>
            <w:r>
              <w:t xml:space="preserve">Targeting Strategy</w:t>
            </w:r>
          </w:p>
        </w:tc>
        <w:tc>
          <w:tcPr>
            <w:tcW w:w="2550" w:type="pct"/>
          </w:tcPr>
          <w:p>
            <w:pPr>
              <w:pStyle w:val="Compact"/>
              <w:jc w:val="left"/>
              <w:wordWrap w:val="true"/>
            </w:pPr>
            <w:r>
              <w:t xml:space="preserve">How beneficiaries are targeted.</w:t>
            </w:r>
          </w:p>
        </w:tc>
      </w:tr>
      <w:tr>
        <w:trPr>
          <w:cantSplit w:val="true"/>
        </w:trPr>
        <w:tc>
          <w:tcPr>
            <w:tcW w:w="750" w:type="pct"/>
          </w:tcPr>
          <w:p>
            <w:pPr>
              <w:pStyle w:val="Compact"/>
              <w:jc w:val="left"/>
              <w:wordWrap w:val="true"/>
            </w:pPr>
            <w:r>
              <w:t xml:space="preserve">MD.57</w:t>
            </w:r>
          </w:p>
        </w:tc>
        <w:tc>
          <w:tcPr>
            <w:tcW w:w="1700" w:type="pct"/>
          </w:tcPr>
          <w:p>
            <w:pPr>
              <w:pStyle w:val="Compact"/>
              <w:jc w:val="left"/>
              <w:wordWrap w:val="true"/>
            </w:pPr>
            <w:r>
              <w:t xml:space="preserve">Priority Model</w:t>
            </w:r>
          </w:p>
        </w:tc>
        <w:tc>
          <w:tcPr>
            <w:tcW w:w="2550" w:type="pct"/>
          </w:tcPr>
          <w:p>
            <w:pPr>
              <w:pStyle w:val="Compact"/>
              <w:jc w:val="left"/>
              <w:wordWrap w:val="true"/>
            </w:pPr>
            <w:r>
              <w:t xml:space="preserve">How priority is computed.</w:t>
            </w:r>
          </w:p>
        </w:tc>
      </w:tr>
      <w:tr>
        <w:trPr>
          <w:cantSplit w:val="true"/>
        </w:trPr>
        <w:tc>
          <w:tcPr>
            <w:tcW w:w="750" w:type="pct"/>
          </w:tcPr>
          <w:p>
            <w:pPr>
              <w:pStyle w:val="Compact"/>
              <w:jc w:val="left"/>
              <w:wordWrap w:val="true"/>
            </w:pPr>
            <w:r>
              <w:t xml:space="preserve">MD.58</w:t>
            </w:r>
          </w:p>
        </w:tc>
        <w:tc>
          <w:tcPr>
            <w:tcW w:w="1700" w:type="pct"/>
          </w:tcPr>
          <w:p>
            <w:pPr>
              <w:pStyle w:val="Compact"/>
              <w:jc w:val="left"/>
              <w:wordWrap w:val="true"/>
            </w:pPr>
            <w:r>
              <w:t xml:space="preserve">Benefit Item Type</w:t>
            </w:r>
          </w:p>
        </w:tc>
        <w:tc>
          <w:tcPr>
            <w:tcW w:w="2550" w:type="pct"/>
          </w:tcPr>
          <w:p>
            <w:pPr>
              <w:pStyle w:val="Compact"/>
              <w:jc w:val="left"/>
              <w:wordWrap w:val="true"/>
            </w:pPr>
            <w:r>
              <w:t xml:space="preserve">Type of benefit item.</w:t>
            </w:r>
          </w:p>
        </w:tc>
      </w:tr>
      <w:tr>
        <w:trPr>
          <w:cantSplit w:val="true"/>
        </w:trPr>
        <w:tc>
          <w:tcPr>
            <w:tcW w:w="750" w:type="pct"/>
          </w:tcPr>
          <w:p>
            <w:pPr>
              <w:pStyle w:val="Compact"/>
              <w:jc w:val="left"/>
              <w:wordWrap w:val="true"/>
            </w:pPr>
            <w:r>
              <w:t xml:space="preserve">MD.59</w:t>
            </w:r>
          </w:p>
        </w:tc>
        <w:tc>
          <w:tcPr>
            <w:tcW w:w="1700" w:type="pct"/>
          </w:tcPr>
          <w:p>
            <w:pPr>
              <w:pStyle w:val="Compact"/>
              <w:jc w:val="left"/>
              <w:wordWrap w:val="true"/>
            </w:pPr>
            <w:r>
              <w:t xml:space="preserve">Rule Type</w:t>
            </w:r>
          </w:p>
        </w:tc>
        <w:tc>
          <w:tcPr>
            <w:tcW w:w="2550" w:type="pct"/>
          </w:tcPr>
          <w:p>
            <w:pPr>
              <w:pStyle w:val="Compact"/>
              <w:jc w:val="left"/>
              <w:wordWrap w:val="true"/>
            </w:pPr>
            <w:r>
              <w:t xml:space="preserve">Category of a determinant rule.</w:t>
            </w:r>
          </w:p>
        </w:tc>
      </w:tr>
      <w:tr>
        <w:trPr>
          <w:cantSplit w:val="true"/>
        </w:trPr>
        <w:tc>
          <w:tcPr>
            <w:tcW w:w="750" w:type="pct"/>
          </w:tcPr>
          <w:p>
            <w:pPr>
              <w:pStyle w:val="Compact"/>
              <w:jc w:val="left"/>
              <w:wordWrap w:val="true"/>
            </w:pPr>
            <w:r>
              <w:t xml:space="preserve">MD.60</w:t>
            </w:r>
          </w:p>
        </w:tc>
        <w:tc>
          <w:tcPr>
            <w:tcW w:w="1700" w:type="pct"/>
          </w:tcPr>
          <w:p>
            <w:pPr>
              <w:pStyle w:val="Compact"/>
              <w:jc w:val="left"/>
              <w:wordWrap w:val="true"/>
            </w:pPr>
            <w:r>
              <w:t xml:space="preserve">Evaluation Strategy</w:t>
            </w:r>
          </w:p>
        </w:tc>
        <w:tc>
          <w:tcPr>
            <w:tcW w:w="2550" w:type="pct"/>
          </w:tcPr>
          <w:p>
            <w:pPr>
              <w:pStyle w:val="Compact"/>
              <w:jc w:val="left"/>
              <w:wordWrap w:val="true"/>
            </w:pPr>
            <w:r>
              <w:t xml:space="preserve">How rules are evaluated.</w:t>
            </w:r>
          </w:p>
        </w:tc>
      </w:tr>
      <w:tr>
        <w:trPr>
          <w:cantSplit w:val="true"/>
        </w:trPr>
        <w:tc>
          <w:tcPr>
            <w:tcW w:w="750" w:type="pct"/>
          </w:tcPr>
          <w:p>
            <w:pPr>
              <w:pStyle w:val="Compact"/>
              <w:jc w:val="left"/>
              <w:wordWrap w:val="true"/>
            </w:pPr>
            <w:r>
              <w:t xml:space="preserve">MD.61</w:t>
            </w:r>
          </w:p>
        </w:tc>
        <w:tc>
          <w:tcPr>
            <w:tcW w:w="1700" w:type="pct"/>
          </w:tcPr>
          <w:p>
            <w:pPr>
              <w:pStyle w:val="Compact"/>
              <w:jc w:val="left"/>
              <w:wordWrap w:val="true"/>
            </w:pPr>
            <w:r>
              <w:t xml:space="preserve">Approval Workflow</w:t>
            </w:r>
          </w:p>
        </w:tc>
        <w:tc>
          <w:tcPr>
            <w:tcW w:w="2550" w:type="pct"/>
          </w:tcPr>
          <w:p>
            <w:pPr>
              <w:pStyle w:val="Compact"/>
              <w:jc w:val="left"/>
              <w:wordWrap w:val="true"/>
            </w:pPr>
            <w:r>
              <w:t xml:space="preserve">Approval routing model.</w:t>
            </w:r>
          </w:p>
        </w:tc>
      </w:tr>
      <w:tr>
        <w:trPr>
          <w:cantSplit w:val="true"/>
        </w:trPr>
        <w:tc>
          <w:tcPr>
            <w:tcW w:w="750" w:type="pct"/>
          </w:tcPr>
          <w:p>
            <w:pPr>
              <w:pStyle w:val="Compact"/>
              <w:jc w:val="left"/>
              <w:wordWrap w:val="true"/>
            </w:pPr>
            <w:r>
              <w:t xml:space="preserve">MD.66</w:t>
            </w:r>
          </w:p>
        </w:tc>
        <w:tc>
          <w:tcPr>
            <w:tcW w:w="1700" w:type="pct"/>
          </w:tcPr>
          <w:p>
            <w:pPr>
              <w:pStyle w:val="Compact"/>
              <w:jc w:val="left"/>
              <w:wordWrap w:val="true"/>
            </w:pPr>
            <w:r>
              <w:t xml:space="preserve">Preliminary Eligibility Status</w:t>
            </w:r>
          </w:p>
        </w:tc>
        <w:tc>
          <w:tcPr>
            <w:tcW w:w="2550" w:type="pct"/>
          </w:tcPr>
          <w:p>
            <w:pPr>
              <w:pStyle w:val="Compact"/>
              <w:jc w:val="left"/>
              <w:wordWrap w:val="true"/>
            </w:pPr>
            <w:r>
              <w:t xml:space="preserve">Initial eligibility outcome.</w:t>
            </w:r>
          </w:p>
        </w:tc>
      </w:tr>
      <w:tr>
        <w:trPr>
          <w:cantSplit w:val="true"/>
        </w:trPr>
        <w:tc>
          <w:tcPr>
            <w:tcW w:w="750" w:type="pct"/>
          </w:tcPr>
          <w:p>
            <w:pPr>
              <w:pStyle w:val="Compact"/>
              <w:jc w:val="left"/>
              <w:wordWrap w:val="true"/>
            </w:pPr>
            <w:r>
              <w:t xml:space="preserve">MD.75</w:t>
            </w:r>
          </w:p>
        </w:tc>
        <w:tc>
          <w:tcPr>
            <w:tcW w:w="1700" w:type="pct"/>
          </w:tcPr>
          <w:p>
            <w:pPr>
              <w:pStyle w:val="Compact"/>
              <w:jc w:val="left"/>
              <w:wordWrap w:val="true"/>
            </w:pPr>
            <w:r>
              <w:t xml:space="preserve">Participation Status</w:t>
            </w:r>
          </w:p>
        </w:tc>
        <w:tc>
          <w:tcPr>
            <w:tcW w:w="2550" w:type="pct"/>
          </w:tcPr>
          <w:p>
            <w:pPr>
              <w:pStyle w:val="Compact"/>
              <w:jc w:val="left"/>
              <w:wordWrap w:val="true"/>
            </w:pPr>
            <w:r>
              <w:t xml:space="preserve">A beneficiary’s participation state.</w:t>
            </w:r>
          </w:p>
        </w:tc>
      </w:tr>
      <w:tr>
        <w:trPr>
          <w:cantSplit w:val="true"/>
        </w:trPr>
        <w:tc>
          <w:tcPr>
            <w:tcW w:w="750" w:type="pct"/>
          </w:tcPr>
          <w:p>
            <w:pPr>
              <w:pStyle w:val="Compact"/>
              <w:jc w:val="left"/>
              <w:wordWrap w:val="true"/>
            </w:pPr>
            <w:r>
              <w:t xml:space="preserve">MD.76</w:t>
            </w:r>
          </w:p>
        </w:tc>
        <w:tc>
          <w:tcPr>
            <w:tcW w:w="1700" w:type="pct"/>
          </w:tcPr>
          <w:p>
            <w:pPr>
              <w:pStyle w:val="Compact"/>
              <w:jc w:val="left"/>
              <w:wordWrap w:val="true"/>
            </w:pPr>
            <w:r>
              <w:t xml:space="preserve">Exit Reason</w:t>
            </w:r>
          </w:p>
        </w:tc>
        <w:tc>
          <w:tcPr>
            <w:tcW w:w="2550" w:type="pct"/>
          </w:tcPr>
          <w:p>
            <w:pPr>
              <w:pStyle w:val="Compact"/>
              <w:jc w:val="left"/>
              <w:wordWrap w:val="true"/>
            </w:pPr>
            <w:r>
              <w:t xml:space="preserve">Why a beneficiary exits a programme.</w:t>
            </w:r>
          </w:p>
        </w:tc>
      </w:tr>
    </w:tbl>
    <w:bookmarkEnd w:id="64"/>
    <w:bookmarkStart w:id="65" w:name="X2abe7526ee96a73667eceec0c44e6c2cf01b09f"/>
    <w:p>
      <w:pPr>
        <w:pStyle w:val="Heading2"/>
      </w:pPr>
      <w:r>
        <w:t xml:space="preserve">8.5 Applications, documents, decisions and appeals</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1674"/>
        <w:gridCol w:w="3348"/>
        <w:gridCol w:w="4278"/>
      </w:tblGrid>
      <w:tr>
        <w:trPr>
          <w:tblHeader w:val="true"/>
          <w:cantSplit w:val="true"/>
        </w:trPr>
        <w:tc>
          <w:tcPr>
            <w:shd w:val="clear" w:color="auto" w:fill="DCE6F1"/>
            <w:tcW w:w="900" w:type="pct"/>
          </w:tcPr>
          <w:p>
            <w:pPr>
              <w:pStyle w:val="Compact"/>
              <w:jc w:val="left"/>
              <w:wordWrap w:val="true"/>
            </w:pPr>
            <w:r>
              <w:rPr>
                <w:b/>
              </w:rPr>
              <w:t xml:space="preserve">MD</w:t>
            </w:r>
          </w:p>
        </w:tc>
        <w:tc>
          <w:tcPr>
            <w:shd w:val="clear" w:color="auto" w:fill="DCE6F1"/>
            <w:tcW w:w="1800" w:type="pct"/>
          </w:tcPr>
          <w:p>
            <w:pPr>
              <w:pStyle w:val="Compact"/>
              <w:jc w:val="left"/>
              <w:wordWrap w:val="true"/>
            </w:pPr>
            <w:r>
              <w:rPr>
                <w:b/>
              </w:rPr>
              <w:t xml:space="preserve">Catalogue</w:t>
            </w:r>
          </w:p>
        </w:tc>
        <w:tc>
          <w:tcPr>
            <w:shd w:val="clear" w:color="auto" w:fill="DCE6F1"/>
            <w:tcW w:w="2300" w:type="pct"/>
          </w:tcPr>
          <w:p>
            <w:pPr>
              <w:pStyle w:val="Compact"/>
              <w:jc w:val="left"/>
              <w:wordWrap w:val="true"/>
            </w:pPr>
            <w:r>
              <w:rPr>
                <w:b/>
              </w:rPr>
              <w:t xml:space="preserve">Purpose</w:t>
            </w:r>
          </w:p>
        </w:tc>
      </w:tr>
      <w:tr>
        <w:trPr>
          <w:cantSplit w:val="true"/>
        </w:trPr>
        <w:tc>
          <w:tcPr>
            <w:tcW w:w="900" w:type="pct"/>
          </w:tcPr>
          <w:p>
            <w:pPr>
              <w:pStyle w:val="Compact"/>
              <w:jc w:val="left"/>
              <w:wordWrap w:val="true"/>
            </w:pPr>
            <w:r>
              <w:t xml:space="preserve">MD.22</w:t>
            </w:r>
          </w:p>
        </w:tc>
        <w:tc>
          <w:tcPr>
            <w:tcW w:w="1800" w:type="pct"/>
          </w:tcPr>
          <w:p>
            <w:pPr>
              <w:pStyle w:val="Compact"/>
              <w:jc w:val="left"/>
              <w:wordWrap w:val="true"/>
            </w:pPr>
            <w:r>
              <w:t xml:space="preserve">Application Status</w:t>
            </w:r>
          </w:p>
        </w:tc>
        <w:tc>
          <w:tcPr>
            <w:tcW w:w="2300" w:type="pct"/>
          </w:tcPr>
          <w:p>
            <w:pPr>
              <w:pStyle w:val="Compact"/>
              <w:jc w:val="left"/>
              <w:wordWrap w:val="true"/>
            </w:pPr>
            <w:r>
              <w:t xml:space="preserve">Application lifecycle statuses.</w:t>
            </w:r>
          </w:p>
        </w:tc>
      </w:tr>
      <w:tr>
        <w:trPr>
          <w:cantSplit w:val="true"/>
        </w:trPr>
        <w:tc>
          <w:tcPr>
            <w:tcW w:w="900" w:type="pct"/>
          </w:tcPr>
          <w:p>
            <w:pPr>
              <w:pStyle w:val="Compact"/>
              <w:jc w:val="left"/>
              <w:wordWrap w:val="true"/>
            </w:pPr>
            <w:r>
              <w:t xml:space="preserve">MD.23</w:t>
            </w:r>
          </w:p>
        </w:tc>
        <w:tc>
          <w:tcPr>
            <w:tcW w:w="1800" w:type="pct"/>
          </w:tcPr>
          <w:p>
            <w:pPr>
              <w:pStyle w:val="Compact"/>
              <w:jc w:val="left"/>
              <w:wordWrap w:val="true"/>
            </w:pPr>
            <w:r>
              <w:t xml:space="preserve">Document Type</w:t>
            </w:r>
          </w:p>
        </w:tc>
        <w:tc>
          <w:tcPr>
            <w:tcW w:w="2300" w:type="pct"/>
          </w:tcPr>
          <w:p>
            <w:pPr>
              <w:pStyle w:val="Compact"/>
              <w:jc w:val="left"/>
              <w:wordWrap w:val="true"/>
            </w:pPr>
            <w:r>
              <w:t xml:space="preserve">Types of supporting document.</w:t>
            </w:r>
          </w:p>
        </w:tc>
      </w:tr>
      <w:tr>
        <w:trPr>
          <w:cantSplit w:val="true"/>
        </w:trPr>
        <w:tc>
          <w:tcPr>
            <w:tcW w:w="900" w:type="pct"/>
          </w:tcPr>
          <w:p>
            <w:pPr>
              <w:pStyle w:val="Compact"/>
              <w:jc w:val="left"/>
              <w:wordWrap w:val="true"/>
            </w:pPr>
            <w:r>
              <w:t xml:space="preserve">MD.31</w:t>
            </w:r>
          </w:p>
        </w:tc>
        <w:tc>
          <w:tcPr>
            <w:tcW w:w="1800" w:type="pct"/>
          </w:tcPr>
          <w:p>
            <w:pPr>
              <w:pStyle w:val="Compact"/>
              <w:jc w:val="left"/>
              <w:wordWrap w:val="true"/>
            </w:pPr>
            <w:r>
              <w:t xml:space="preserve">Decision Type</w:t>
            </w:r>
          </w:p>
        </w:tc>
        <w:tc>
          <w:tcPr>
            <w:tcW w:w="2300" w:type="pct"/>
          </w:tcPr>
          <w:p>
            <w:pPr>
              <w:pStyle w:val="Compact"/>
              <w:jc w:val="left"/>
              <w:wordWrap w:val="true"/>
            </w:pPr>
            <w:r>
              <w:t xml:space="preserve">Officer decision outcomes.</w:t>
            </w:r>
          </w:p>
        </w:tc>
      </w:tr>
      <w:tr>
        <w:trPr>
          <w:cantSplit w:val="true"/>
        </w:trPr>
        <w:tc>
          <w:tcPr>
            <w:tcW w:w="900" w:type="pct"/>
          </w:tcPr>
          <w:p>
            <w:pPr>
              <w:pStyle w:val="Compact"/>
              <w:jc w:val="left"/>
              <w:wordWrap w:val="true"/>
            </w:pPr>
            <w:r>
              <w:t xml:space="preserve">MD.32</w:t>
            </w:r>
          </w:p>
        </w:tc>
        <w:tc>
          <w:tcPr>
            <w:tcW w:w="1800" w:type="pct"/>
          </w:tcPr>
          <w:p>
            <w:pPr>
              <w:pStyle w:val="Compact"/>
              <w:jc w:val="left"/>
              <w:wordWrap w:val="true"/>
            </w:pPr>
            <w:r>
              <w:t xml:space="preserve">Rejection Reason</w:t>
            </w:r>
          </w:p>
        </w:tc>
        <w:tc>
          <w:tcPr>
            <w:tcW w:w="2300" w:type="pct"/>
          </w:tcPr>
          <w:p>
            <w:pPr>
              <w:pStyle w:val="Compact"/>
              <w:jc w:val="left"/>
              <w:wordWrap w:val="true"/>
            </w:pPr>
            <w:r>
              <w:t xml:space="preserve">Standard reasons for rejection.</w:t>
            </w:r>
          </w:p>
        </w:tc>
      </w:tr>
      <w:tr>
        <w:trPr>
          <w:cantSplit w:val="true"/>
        </w:trPr>
        <w:tc>
          <w:tcPr>
            <w:tcW w:w="900" w:type="pct"/>
          </w:tcPr>
          <w:p>
            <w:pPr>
              <w:pStyle w:val="Compact"/>
              <w:jc w:val="left"/>
              <w:wordWrap w:val="true"/>
            </w:pPr>
            <w:r>
              <w:t xml:space="preserve">MD.33</w:t>
            </w:r>
          </w:p>
        </w:tc>
        <w:tc>
          <w:tcPr>
            <w:tcW w:w="1800" w:type="pct"/>
          </w:tcPr>
          <w:p>
            <w:pPr>
              <w:pStyle w:val="Compact"/>
              <w:jc w:val="left"/>
              <w:wordWrap w:val="true"/>
            </w:pPr>
            <w:r>
              <w:t xml:space="preserve">Request Type</w:t>
            </w:r>
          </w:p>
        </w:tc>
        <w:tc>
          <w:tcPr>
            <w:tcW w:w="2300" w:type="pct"/>
          </w:tcPr>
          <w:p>
            <w:pPr>
              <w:pStyle w:val="Compact"/>
              <w:jc w:val="left"/>
              <w:wordWrap w:val="true"/>
            </w:pPr>
            <w:r>
              <w:t xml:space="preserve">Type of request.</w:t>
            </w:r>
          </w:p>
        </w:tc>
      </w:tr>
      <w:tr>
        <w:trPr>
          <w:cantSplit w:val="true"/>
        </w:trPr>
        <w:tc>
          <w:tcPr>
            <w:tcW w:w="900" w:type="pct"/>
          </w:tcPr>
          <w:p>
            <w:pPr>
              <w:pStyle w:val="Compact"/>
              <w:jc w:val="left"/>
              <w:wordWrap w:val="true"/>
            </w:pPr>
            <w:r>
              <w:t xml:space="preserve">MD.64</w:t>
            </w:r>
          </w:p>
        </w:tc>
        <w:tc>
          <w:tcPr>
            <w:tcW w:w="1800" w:type="pct"/>
          </w:tcPr>
          <w:p>
            <w:pPr>
              <w:pStyle w:val="Compact"/>
              <w:jc w:val="left"/>
              <w:wordWrap w:val="true"/>
            </w:pPr>
            <w:r>
              <w:t xml:space="preserve">Document Status</w:t>
            </w:r>
          </w:p>
        </w:tc>
        <w:tc>
          <w:tcPr>
            <w:tcW w:w="2300" w:type="pct"/>
          </w:tcPr>
          <w:p>
            <w:pPr>
              <w:pStyle w:val="Compact"/>
              <w:jc w:val="left"/>
              <w:wordWrap w:val="true"/>
            </w:pPr>
            <w:r>
              <w:t xml:space="preserve">Status of a submitted document.</w:t>
            </w:r>
          </w:p>
        </w:tc>
      </w:tr>
      <w:tr>
        <w:trPr>
          <w:cantSplit w:val="true"/>
        </w:trPr>
        <w:tc>
          <w:tcPr>
            <w:tcW w:w="900" w:type="pct"/>
          </w:tcPr>
          <w:p>
            <w:pPr>
              <w:pStyle w:val="Compact"/>
              <w:jc w:val="left"/>
              <w:wordWrap w:val="true"/>
            </w:pPr>
            <w:r>
              <w:t xml:space="preserve">MD.65</w:t>
            </w:r>
          </w:p>
        </w:tc>
        <w:tc>
          <w:tcPr>
            <w:tcW w:w="1800" w:type="pct"/>
          </w:tcPr>
          <w:p>
            <w:pPr>
              <w:pStyle w:val="Compact"/>
              <w:jc w:val="left"/>
              <w:wordWrap w:val="true"/>
            </w:pPr>
            <w:r>
              <w:t xml:space="preserve">Document Rejection Reason</w:t>
            </w:r>
          </w:p>
        </w:tc>
        <w:tc>
          <w:tcPr>
            <w:tcW w:w="2300" w:type="pct"/>
          </w:tcPr>
          <w:p>
            <w:pPr>
              <w:pStyle w:val="Compact"/>
              <w:jc w:val="left"/>
              <w:wordWrap w:val="true"/>
            </w:pPr>
            <w:r>
              <w:t xml:space="preserve">Reasons a document is rejected.</w:t>
            </w:r>
          </w:p>
        </w:tc>
      </w:tr>
      <w:tr>
        <w:trPr>
          <w:cantSplit w:val="true"/>
        </w:trPr>
        <w:tc>
          <w:tcPr>
            <w:tcW w:w="900" w:type="pct"/>
          </w:tcPr>
          <w:p>
            <w:pPr>
              <w:pStyle w:val="Compact"/>
              <w:jc w:val="left"/>
              <w:wordWrap w:val="true"/>
            </w:pPr>
            <w:r>
              <w:t xml:space="preserve">MD.68</w:t>
            </w:r>
          </w:p>
        </w:tc>
        <w:tc>
          <w:tcPr>
            <w:tcW w:w="1800" w:type="pct"/>
          </w:tcPr>
          <w:p>
            <w:pPr>
              <w:pStyle w:val="Compact"/>
              <w:jc w:val="left"/>
              <w:wordWrap w:val="true"/>
            </w:pPr>
            <w:r>
              <w:t xml:space="preserve">Appeal Type</w:t>
            </w:r>
          </w:p>
        </w:tc>
        <w:tc>
          <w:tcPr>
            <w:tcW w:w="2300" w:type="pct"/>
          </w:tcPr>
          <w:p>
            <w:pPr>
              <w:pStyle w:val="Compact"/>
              <w:jc w:val="left"/>
              <w:wordWrap w:val="true"/>
            </w:pPr>
            <w:r>
              <w:t xml:space="preserve">Category of appeal.</w:t>
            </w:r>
          </w:p>
        </w:tc>
      </w:tr>
      <w:tr>
        <w:trPr>
          <w:cantSplit w:val="true"/>
        </w:trPr>
        <w:tc>
          <w:tcPr>
            <w:tcW w:w="900" w:type="pct"/>
          </w:tcPr>
          <w:p>
            <w:pPr>
              <w:pStyle w:val="Compact"/>
              <w:jc w:val="left"/>
              <w:wordWrap w:val="true"/>
            </w:pPr>
            <w:r>
              <w:t xml:space="preserve">MD.69</w:t>
            </w:r>
          </w:p>
        </w:tc>
        <w:tc>
          <w:tcPr>
            <w:tcW w:w="1800" w:type="pct"/>
          </w:tcPr>
          <w:p>
            <w:pPr>
              <w:pStyle w:val="Compact"/>
              <w:jc w:val="left"/>
              <w:wordWrap w:val="true"/>
            </w:pPr>
            <w:r>
              <w:t xml:space="preserve">Related Entity Type</w:t>
            </w:r>
          </w:p>
        </w:tc>
        <w:tc>
          <w:tcPr>
            <w:tcW w:w="2300" w:type="pct"/>
          </w:tcPr>
          <w:p>
            <w:pPr>
              <w:pStyle w:val="Compact"/>
              <w:jc w:val="left"/>
              <w:wordWrap w:val="true"/>
            </w:pPr>
            <w:r>
              <w:t xml:space="preserve">What an appeal relates to.</w:t>
            </w:r>
          </w:p>
        </w:tc>
      </w:tr>
      <w:tr>
        <w:trPr>
          <w:cantSplit w:val="true"/>
        </w:trPr>
        <w:tc>
          <w:tcPr>
            <w:tcW w:w="900" w:type="pct"/>
          </w:tcPr>
          <w:p>
            <w:pPr>
              <w:pStyle w:val="Compact"/>
              <w:jc w:val="left"/>
              <w:wordWrap w:val="true"/>
            </w:pPr>
            <w:r>
              <w:t xml:space="preserve">MD.70</w:t>
            </w:r>
          </w:p>
        </w:tc>
        <w:tc>
          <w:tcPr>
            <w:tcW w:w="1800" w:type="pct"/>
          </w:tcPr>
          <w:p>
            <w:pPr>
              <w:pStyle w:val="Compact"/>
              <w:jc w:val="left"/>
              <w:wordWrap w:val="true"/>
            </w:pPr>
            <w:r>
              <w:t xml:space="preserve">Original Decision</w:t>
            </w:r>
          </w:p>
        </w:tc>
        <w:tc>
          <w:tcPr>
            <w:tcW w:w="2300" w:type="pct"/>
          </w:tcPr>
          <w:p>
            <w:pPr>
              <w:pStyle w:val="Compact"/>
              <w:jc w:val="left"/>
              <w:wordWrap w:val="true"/>
            </w:pPr>
            <w:r>
              <w:t xml:space="preserve">The decision being appealed.</w:t>
            </w:r>
          </w:p>
        </w:tc>
      </w:tr>
      <w:tr>
        <w:trPr>
          <w:cantSplit w:val="true"/>
        </w:trPr>
        <w:tc>
          <w:tcPr>
            <w:tcW w:w="900" w:type="pct"/>
          </w:tcPr>
          <w:p>
            <w:pPr>
              <w:pStyle w:val="Compact"/>
              <w:jc w:val="left"/>
              <w:wordWrap w:val="true"/>
            </w:pPr>
            <w:r>
              <w:t xml:space="preserve">MD.71</w:t>
            </w:r>
          </w:p>
        </w:tc>
        <w:tc>
          <w:tcPr>
            <w:tcW w:w="1800" w:type="pct"/>
          </w:tcPr>
          <w:p>
            <w:pPr>
              <w:pStyle w:val="Compact"/>
              <w:jc w:val="left"/>
              <w:wordWrap w:val="true"/>
            </w:pPr>
            <w:r>
              <w:t xml:space="preserve">Appeal Grounds</w:t>
            </w:r>
          </w:p>
        </w:tc>
        <w:tc>
          <w:tcPr>
            <w:tcW w:w="2300" w:type="pct"/>
          </w:tcPr>
          <w:p>
            <w:pPr>
              <w:pStyle w:val="Compact"/>
              <w:jc w:val="left"/>
              <w:wordWrap w:val="true"/>
            </w:pPr>
            <w:r>
              <w:t xml:space="preserve">Grounds for an appeal.</w:t>
            </w:r>
          </w:p>
        </w:tc>
      </w:tr>
      <w:tr>
        <w:trPr>
          <w:cantSplit w:val="true"/>
        </w:trPr>
        <w:tc>
          <w:tcPr>
            <w:tcW w:w="900" w:type="pct"/>
          </w:tcPr>
          <w:p>
            <w:pPr>
              <w:pStyle w:val="Compact"/>
              <w:jc w:val="left"/>
              <w:wordWrap w:val="true"/>
            </w:pPr>
            <w:r>
              <w:t xml:space="preserve">MD.72</w:t>
            </w:r>
          </w:p>
        </w:tc>
        <w:tc>
          <w:tcPr>
            <w:tcW w:w="1800" w:type="pct"/>
          </w:tcPr>
          <w:p>
            <w:pPr>
              <w:pStyle w:val="Compact"/>
              <w:jc w:val="left"/>
              <w:wordWrap w:val="true"/>
            </w:pPr>
            <w:r>
              <w:t xml:space="preserve">Appeal Status</w:t>
            </w:r>
          </w:p>
        </w:tc>
        <w:tc>
          <w:tcPr>
            <w:tcW w:w="2300" w:type="pct"/>
          </w:tcPr>
          <w:p>
            <w:pPr>
              <w:pStyle w:val="Compact"/>
              <w:jc w:val="left"/>
              <w:wordWrap w:val="true"/>
            </w:pPr>
            <w:r>
              <w:t xml:space="preserve">Appeal lifecycle statuses.</w:t>
            </w:r>
          </w:p>
        </w:tc>
      </w:tr>
      <w:tr>
        <w:trPr>
          <w:cantSplit w:val="true"/>
        </w:trPr>
        <w:tc>
          <w:tcPr>
            <w:tcW w:w="900" w:type="pct"/>
          </w:tcPr>
          <w:p>
            <w:pPr>
              <w:pStyle w:val="Compact"/>
              <w:jc w:val="left"/>
              <w:wordWrap w:val="true"/>
            </w:pPr>
            <w:r>
              <w:t xml:space="preserve">MD.73</w:t>
            </w:r>
          </w:p>
        </w:tc>
        <w:tc>
          <w:tcPr>
            <w:tcW w:w="1800" w:type="pct"/>
          </w:tcPr>
          <w:p>
            <w:pPr>
              <w:pStyle w:val="Compact"/>
              <w:jc w:val="left"/>
              <w:wordWrap w:val="true"/>
            </w:pPr>
            <w:r>
              <w:t xml:space="preserve">Resolution Decision</w:t>
            </w:r>
          </w:p>
        </w:tc>
        <w:tc>
          <w:tcPr>
            <w:tcW w:w="2300" w:type="pct"/>
          </w:tcPr>
          <w:p>
            <w:pPr>
              <w:pStyle w:val="Compact"/>
              <w:jc w:val="left"/>
              <w:wordWrap w:val="true"/>
            </w:pPr>
            <w:r>
              <w:t xml:space="preserve">Outcome of an appeal.</w:t>
            </w:r>
          </w:p>
        </w:tc>
      </w:tr>
      <w:tr>
        <w:trPr>
          <w:cantSplit w:val="true"/>
        </w:trPr>
        <w:tc>
          <w:tcPr>
            <w:tcW w:w="900" w:type="pct"/>
          </w:tcPr>
          <w:p>
            <w:pPr>
              <w:pStyle w:val="Compact"/>
              <w:jc w:val="left"/>
              <w:wordWrap w:val="true"/>
            </w:pPr>
            <w:r>
              <w:t xml:space="preserve">MD.74</w:t>
            </w:r>
          </w:p>
        </w:tc>
        <w:tc>
          <w:tcPr>
            <w:tcW w:w="1800" w:type="pct"/>
          </w:tcPr>
          <w:p>
            <w:pPr>
              <w:pStyle w:val="Compact"/>
              <w:jc w:val="left"/>
              <w:wordWrap w:val="true"/>
            </w:pPr>
            <w:r>
              <w:t xml:space="preserve">Escalation Level</w:t>
            </w:r>
          </w:p>
        </w:tc>
        <w:tc>
          <w:tcPr>
            <w:tcW w:w="2300" w:type="pct"/>
          </w:tcPr>
          <w:p>
            <w:pPr>
              <w:pStyle w:val="Compact"/>
              <w:jc w:val="left"/>
              <w:wordWrap w:val="true"/>
            </w:pPr>
            <w:r>
              <w:t xml:space="preserve">How far an appeal has escalated.</w:t>
            </w:r>
          </w:p>
        </w:tc>
      </w:tr>
    </w:tbl>
    <w:bookmarkEnd w:id="65"/>
    <w:bookmarkStart w:id="66" w:name="registration-payments-and-channels"/>
    <w:p>
      <w:pPr>
        <w:pStyle w:val="Heading2"/>
      </w:pPr>
      <w:r>
        <w:t xml:space="preserve">8.6 Registration, payments and channels</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1767"/>
        <w:gridCol w:w="3441"/>
        <w:gridCol w:w="4092"/>
      </w:tblGrid>
      <w:tr>
        <w:trPr>
          <w:tblHeader w:val="true"/>
          <w:cantSplit w:val="true"/>
        </w:trPr>
        <w:tc>
          <w:tcPr>
            <w:shd w:val="clear" w:color="auto" w:fill="DCE6F1"/>
            <w:tcW w:w="950" w:type="pct"/>
          </w:tcPr>
          <w:p>
            <w:pPr>
              <w:pStyle w:val="Compact"/>
              <w:jc w:val="left"/>
              <w:wordWrap w:val="true"/>
            </w:pPr>
            <w:r>
              <w:rPr>
                <w:b/>
              </w:rPr>
              <w:t xml:space="preserve">MD</w:t>
            </w:r>
          </w:p>
        </w:tc>
        <w:tc>
          <w:tcPr>
            <w:shd w:val="clear" w:color="auto" w:fill="DCE6F1"/>
            <w:tcW w:w="1850" w:type="pct"/>
          </w:tcPr>
          <w:p>
            <w:pPr>
              <w:pStyle w:val="Compact"/>
              <w:jc w:val="left"/>
              <w:wordWrap w:val="true"/>
            </w:pPr>
            <w:r>
              <w:rPr>
                <w:b/>
              </w:rPr>
              <w:t xml:space="preserve">Catalogue</w:t>
            </w:r>
          </w:p>
        </w:tc>
        <w:tc>
          <w:tcPr>
            <w:shd w:val="clear" w:color="auto" w:fill="DCE6F1"/>
            <w:tcW w:w="2200" w:type="pct"/>
          </w:tcPr>
          <w:p>
            <w:pPr>
              <w:pStyle w:val="Compact"/>
              <w:jc w:val="left"/>
              <w:wordWrap w:val="true"/>
            </w:pPr>
            <w:r>
              <w:rPr>
                <w:b/>
              </w:rPr>
              <w:t xml:space="preserve">Purpose</w:t>
            </w:r>
          </w:p>
        </w:tc>
      </w:tr>
      <w:tr>
        <w:trPr>
          <w:cantSplit w:val="true"/>
        </w:trPr>
        <w:tc>
          <w:tcPr>
            <w:tcW w:w="950" w:type="pct"/>
          </w:tcPr>
          <w:p>
            <w:pPr>
              <w:pStyle w:val="Compact"/>
              <w:jc w:val="left"/>
              <w:wordWrap w:val="true"/>
            </w:pPr>
            <w:r>
              <w:t xml:space="preserve">MD.18</w:t>
            </w:r>
          </w:p>
        </w:tc>
        <w:tc>
          <w:tcPr>
            <w:tcW w:w="1850" w:type="pct"/>
          </w:tcPr>
          <w:p>
            <w:pPr>
              <w:pStyle w:val="Compact"/>
              <w:jc w:val="left"/>
              <w:wordWrap w:val="true"/>
            </w:pPr>
            <w:r>
              <w:t xml:space="preserve">Registration Channel</w:t>
            </w:r>
          </w:p>
        </w:tc>
        <w:tc>
          <w:tcPr>
            <w:tcW w:w="2200" w:type="pct"/>
          </w:tcPr>
          <w:p>
            <w:pPr>
              <w:pStyle w:val="Compact"/>
              <w:jc w:val="left"/>
              <w:wordWrap w:val="true"/>
            </w:pPr>
            <w:r>
              <w:t xml:space="preserve">How the farmer was registered.</w:t>
            </w:r>
          </w:p>
        </w:tc>
      </w:tr>
      <w:tr>
        <w:trPr>
          <w:cantSplit w:val="true"/>
        </w:trPr>
        <w:tc>
          <w:tcPr>
            <w:tcW w:w="950" w:type="pct"/>
          </w:tcPr>
          <w:p>
            <w:pPr>
              <w:pStyle w:val="Compact"/>
              <w:jc w:val="left"/>
              <w:wordWrap w:val="true"/>
            </w:pPr>
            <w:r>
              <w:t xml:space="preserve">MD.24</w:t>
            </w:r>
          </w:p>
        </w:tc>
        <w:tc>
          <w:tcPr>
            <w:tcW w:w="1850" w:type="pct"/>
          </w:tcPr>
          <w:p>
            <w:pPr>
              <w:pStyle w:val="Compact"/>
              <w:jc w:val="left"/>
              <w:wordWrap w:val="true"/>
            </w:pPr>
            <w:r>
              <w:t xml:space="preserve">Payment Method</w:t>
            </w:r>
          </w:p>
        </w:tc>
        <w:tc>
          <w:tcPr>
            <w:tcW w:w="2200" w:type="pct"/>
          </w:tcPr>
          <w:p>
            <w:pPr>
              <w:pStyle w:val="Compact"/>
              <w:jc w:val="left"/>
              <w:wordWrap w:val="true"/>
            </w:pPr>
            <w:r>
              <w:t xml:space="preserve">Methods of payment.</w:t>
            </w:r>
          </w:p>
        </w:tc>
      </w:tr>
      <w:tr>
        <w:trPr>
          <w:cantSplit w:val="true"/>
        </w:trPr>
        <w:tc>
          <w:tcPr>
            <w:tcW w:w="950" w:type="pct"/>
          </w:tcPr>
          <w:p>
            <w:pPr>
              <w:pStyle w:val="Compact"/>
              <w:jc w:val="left"/>
              <w:wordWrap w:val="true"/>
            </w:pPr>
            <w:r>
              <w:t xml:space="preserve">MD.67</w:t>
            </w:r>
          </w:p>
        </w:tc>
        <w:tc>
          <w:tcPr>
            <w:tcW w:w="1850" w:type="pct"/>
          </w:tcPr>
          <w:p>
            <w:pPr>
              <w:pStyle w:val="Compact"/>
              <w:jc w:val="left"/>
              <w:wordWrap w:val="true"/>
            </w:pPr>
            <w:r>
              <w:t xml:space="preserve">Mobile Money Provider</w:t>
            </w:r>
          </w:p>
        </w:tc>
        <w:tc>
          <w:tcPr>
            <w:tcW w:w="2200" w:type="pct"/>
          </w:tcPr>
          <w:p>
            <w:pPr>
              <w:pStyle w:val="Compact"/>
              <w:jc w:val="left"/>
              <w:wordWrap w:val="true"/>
            </w:pPr>
            <w:r>
              <w:t xml:space="preserve">Mobile-money providers.</w:t>
            </w:r>
          </w:p>
        </w:tc>
      </w:tr>
    </w:tbl>
    <w:bookmarkEnd w:id="66"/>
    <w:bookmarkStart w:id="67" w:name="inputs-equipment-and-supply-chain"/>
    <w:p>
      <w:pPr>
        <w:pStyle w:val="Heading2"/>
      </w:pPr>
      <w:r>
        <w:t xml:space="preserve">8.7 Inputs, equipment and supply chain</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1302"/>
        <w:gridCol w:w="3162"/>
        <w:gridCol w:w="4836"/>
      </w:tblGrid>
      <w:tr>
        <w:trPr>
          <w:tblHeader w:val="true"/>
          <w:cantSplit w:val="true"/>
        </w:trPr>
        <w:tc>
          <w:tcPr>
            <w:shd w:val="clear" w:color="auto" w:fill="DCE6F1"/>
            <w:tcW w:w="700" w:type="pct"/>
          </w:tcPr>
          <w:p>
            <w:pPr>
              <w:pStyle w:val="Compact"/>
              <w:jc w:val="left"/>
              <w:wordWrap w:val="true"/>
            </w:pPr>
            <w:r>
              <w:rPr>
                <w:b/>
              </w:rPr>
              <w:t xml:space="preserve">MD</w:t>
            </w:r>
          </w:p>
        </w:tc>
        <w:tc>
          <w:tcPr>
            <w:shd w:val="clear" w:color="auto" w:fill="DCE6F1"/>
            <w:tcW w:w="1700" w:type="pct"/>
          </w:tcPr>
          <w:p>
            <w:pPr>
              <w:pStyle w:val="Compact"/>
              <w:jc w:val="left"/>
              <w:wordWrap w:val="true"/>
            </w:pPr>
            <w:r>
              <w:rPr>
                <w:b/>
              </w:rPr>
              <w:t xml:space="preserve">Catalogue</w:t>
            </w:r>
          </w:p>
        </w:tc>
        <w:tc>
          <w:tcPr>
            <w:shd w:val="clear" w:color="auto" w:fill="DCE6F1"/>
            <w:tcW w:w="2600" w:type="pct"/>
          </w:tcPr>
          <w:p>
            <w:pPr>
              <w:pStyle w:val="Compact"/>
              <w:jc w:val="left"/>
              <w:wordWrap w:val="true"/>
            </w:pPr>
            <w:r>
              <w:rPr>
                <w:b/>
              </w:rPr>
              <w:t xml:space="preserve">Purpose</w:t>
            </w:r>
          </w:p>
        </w:tc>
      </w:tr>
      <w:tr>
        <w:trPr>
          <w:cantSplit w:val="true"/>
        </w:trPr>
        <w:tc>
          <w:tcPr>
            <w:tcW w:w="700" w:type="pct"/>
          </w:tcPr>
          <w:p>
            <w:pPr>
              <w:pStyle w:val="Compact"/>
              <w:jc w:val="left"/>
              <w:wordWrap w:val="true"/>
            </w:pPr>
            <w:r>
              <w:t xml:space="preserve">MD.25</w:t>
            </w:r>
          </w:p>
        </w:tc>
        <w:tc>
          <w:tcPr>
            <w:tcW w:w="1700" w:type="pct"/>
          </w:tcPr>
          <w:p>
            <w:pPr>
              <w:pStyle w:val="Compact"/>
              <w:jc w:val="left"/>
              <w:wordWrap w:val="true"/>
            </w:pPr>
            <w:r>
              <w:t xml:space="preserve">Equipment / Equipment Category</w:t>
            </w:r>
          </w:p>
        </w:tc>
        <w:tc>
          <w:tcPr>
            <w:tcW w:w="2600" w:type="pct"/>
          </w:tcPr>
          <w:p>
            <w:pPr>
              <w:pStyle w:val="Compact"/>
              <w:jc w:val="left"/>
              <w:wordWrap w:val="true"/>
            </w:pPr>
            <w:r>
              <w:t xml:space="preserve">Equipment items and categories.</w:t>
            </w:r>
          </w:p>
        </w:tc>
      </w:tr>
      <w:tr>
        <w:trPr>
          <w:cantSplit w:val="true"/>
        </w:trPr>
        <w:tc>
          <w:tcPr>
            <w:tcW w:w="700" w:type="pct"/>
          </w:tcPr>
          <w:p>
            <w:pPr>
              <w:pStyle w:val="Compact"/>
              <w:jc w:val="left"/>
              <w:wordWrap w:val="true"/>
            </w:pPr>
            <w:r>
              <w:t xml:space="preserve">MD.26</w:t>
            </w:r>
          </w:p>
        </w:tc>
        <w:tc>
          <w:tcPr>
            <w:tcW w:w="1700" w:type="pct"/>
          </w:tcPr>
          <w:p>
            <w:pPr>
              <w:pStyle w:val="Compact"/>
              <w:jc w:val="left"/>
              <w:wordWrap w:val="true"/>
            </w:pPr>
            <w:r>
              <w:t xml:space="preserve">Training Topic</w:t>
            </w:r>
          </w:p>
        </w:tc>
        <w:tc>
          <w:tcPr>
            <w:tcW w:w="2600" w:type="pct"/>
          </w:tcPr>
          <w:p>
            <w:pPr>
              <w:pStyle w:val="Compact"/>
              <w:jc w:val="left"/>
              <w:wordWrap w:val="true"/>
            </w:pPr>
            <w:r>
              <w:t xml:space="preserve">Topics for farmer training.</w:t>
            </w:r>
          </w:p>
        </w:tc>
      </w:tr>
      <w:tr>
        <w:trPr>
          <w:cantSplit w:val="true"/>
        </w:trPr>
        <w:tc>
          <w:tcPr>
            <w:tcW w:w="700" w:type="pct"/>
          </w:tcPr>
          <w:p>
            <w:pPr>
              <w:pStyle w:val="Compact"/>
              <w:jc w:val="left"/>
              <w:wordWrap w:val="true"/>
            </w:pPr>
            <w:r>
              <w:t xml:space="preserve">MD.27</w:t>
            </w:r>
          </w:p>
        </w:tc>
        <w:tc>
          <w:tcPr>
            <w:tcW w:w="1700" w:type="pct"/>
          </w:tcPr>
          <w:p>
            <w:pPr>
              <w:pStyle w:val="Compact"/>
              <w:jc w:val="left"/>
              <w:wordWrap w:val="true"/>
            </w:pPr>
            <w:r>
              <w:t xml:space="preserve">Input / Input Category</w:t>
            </w:r>
          </w:p>
        </w:tc>
        <w:tc>
          <w:tcPr>
            <w:tcW w:w="2600" w:type="pct"/>
          </w:tcPr>
          <w:p>
            <w:pPr>
              <w:pStyle w:val="Compact"/>
              <w:jc w:val="left"/>
              <w:wordWrap w:val="true"/>
            </w:pPr>
            <w:r>
              <w:t xml:space="preserve">Input items (seed, fertiliser…) and categories.</w:t>
            </w:r>
          </w:p>
        </w:tc>
      </w:tr>
      <w:tr>
        <w:trPr>
          <w:cantSplit w:val="true"/>
        </w:trPr>
        <w:tc>
          <w:tcPr>
            <w:tcW w:w="700" w:type="pct"/>
          </w:tcPr>
          <w:p>
            <w:pPr>
              <w:pStyle w:val="Compact"/>
              <w:jc w:val="left"/>
              <w:wordWrap w:val="true"/>
            </w:pPr>
            <w:r>
              <w:t xml:space="preserve">MD.39</w:t>
            </w:r>
          </w:p>
        </w:tc>
        <w:tc>
          <w:tcPr>
            <w:tcW w:w="1700" w:type="pct"/>
          </w:tcPr>
          <w:p>
            <w:pPr>
              <w:pStyle w:val="Compact"/>
              <w:jc w:val="left"/>
              <w:wordWrap w:val="true"/>
            </w:pPr>
            <w:r>
              <w:t xml:space="preserve">Campaign Type</w:t>
            </w:r>
          </w:p>
        </w:tc>
        <w:tc>
          <w:tcPr>
            <w:tcW w:w="2600" w:type="pct"/>
          </w:tcPr>
          <w:p>
            <w:pPr>
              <w:pStyle w:val="Compact"/>
              <w:jc w:val="left"/>
              <w:wordWrap w:val="true"/>
            </w:pPr>
            <w:r>
              <w:t xml:space="preserve">Type of distribution campaign.</w:t>
            </w:r>
          </w:p>
        </w:tc>
      </w:tr>
      <w:tr>
        <w:trPr>
          <w:cantSplit w:val="true"/>
        </w:trPr>
        <w:tc>
          <w:tcPr>
            <w:tcW w:w="700" w:type="pct"/>
          </w:tcPr>
          <w:p>
            <w:pPr>
              <w:pStyle w:val="Compact"/>
              <w:jc w:val="left"/>
              <w:wordWrap w:val="true"/>
            </w:pPr>
            <w:r>
              <w:t xml:space="preserve">MD.40</w:t>
            </w:r>
          </w:p>
        </w:tc>
        <w:tc>
          <w:tcPr>
            <w:tcW w:w="1700" w:type="pct"/>
          </w:tcPr>
          <w:p>
            <w:pPr>
              <w:pStyle w:val="Compact"/>
              <w:jc w:val="left"/>
              <w:wordWrap w:val="true"/>
            </w:pPr>
            <w:r>
              <w:t xml:space="preserve">Distribution Model</w:t>
            </w:r>
          </w:p>
        </w:tc>
        <w:tc>
          <w:tcPr>
            <w:tcW w:w="2600" w:type="pct"/>
          </w:tcPr>
          <w:p>
            <w:pPr>
              <w:pStyle w:val="Compact"/>
              <w:jc w:val="left"/>
              <w:wordWrap w:val="true"/>
            </w:pPr>
            <w:r>
              <w:t xml:space="preserve">How inputs are distributed.</w:t>
            </w:r>
          </w:p>
        </w:tc>
      </w:tr>
      <w:tr>
        <w:trPr>
          <w:cantSplit w:val="true"/>
        </w:trPr>
        <w:tc>
          <w:tcPr>
            <w:tcW w:w="700" w:type="pct"/>
          </w:tcPr>
          <w:p>
            <w:pPr>
              <w:pStyle w:val="Compact"/>
              <w:jc w:val="left"/>
              <w:wordWrap w:val="true"/>
            </w:pPr>
            <w:r>
              <w:t xml:space="preserve">MD.41</w:t>
            </w:r>
          </w:p>
        </w:tc>
        <w:tc>
          <w:tcPr>
            <w:tcW w:w="1700" w:type="pct"/>
          </w:tcPr>
          <w:p>
            <w:pPr>
              <w:pStyle w:val="Compact"/>
              <w:jc w:val="left"/>
              <w:wordWrap w:val="true"/>
            </w:pPr>
            <w:r>
              <w:t xml:space="preserve">Allocation Basis</w:t>
            </w:r>
          </w:p>
        </w:tc>
        <w:tc>
          <w:tcPr>
            <w:tcW w:w="2600" w:type="pct"/>
          </w:tcPr>
          <w:p>
            <w:pPr>
              <w:pStyle w:val="Compact"/>
              <w:jc w:val="left"/>
              <w:wordWrap w:val="true"/>
            </w:pPr>
            <w:r>
              <w:t xml:space="preserve">Basis for allocating inputs.</w:t>
            </w:r>
          </w:p>
        </w:tc>
      </w:tr>
      <w:tr>
        <w:trPr>
          <w:cantSplit w:val="true"/>
        </w:trPr>
        <w:tc>
          <w:tcPr>
            <w:tcW w:w="700" w:type="pct"/>
          </w:tcPr>
          <w:p>
            <w:pPr>
              <w:pStyle w:val="Compact"/>
              <w:jc w:val="left"/>
              <w:wordWrap w:val="true"/>
            </w:pPr>
            <w:r>
              <w:t xml:space="preserve">MD.43</w:t>
            </w:r>
          </w:p>
        </w:tc>
        <w:tc>
          <w:tcPr>
            <w:tcW w:w="1700" w:type="pct"/>
          </w:tcPr>
          <w:p>
            <w:pPr>
              <w:pStyle w:val="Compact"/>
              <w:jc w:val="left"/>
              <w:wordWrap w:val="true"/>
            </w:pPr>
            <w:r>
              <w:t xml:space="preserve">Dealer Category</w:t>
            </w:r>
          </w:p>
        </w:tc>
        <w:tc>
          <w:tcPr>
            <w:tcW w:w="2600" w:type="pct"/>
          </w:tcPr>
          <w:p>
            <w:pPr>
              <w:pStyle w:val="Compact"/>
              <w:jc w:val="left"/>
              <w:wordWrap w:val="true"/>
            </w:pPr>
            <w:r>
              <w:t xml:space="preserve">Categories of agro-dealer.</w:t>
            </w:r>
          </w:p>
        </w:tc>
      </w:tr>
      <w:tr>
        <w:trPr>
          <w:cantSplit w:val="true"/>
        </w:trPr>
        <w:tc>
          <w:tcPr>
            <w:tcW w:w="700" w:type="pct"/>
          </w:tcPr>
          <w:p>
            <w:pPr>
              <w:pStyle w:val="Compact"/>
              <w:jc w:val="left"/>
              <w:wordWrap w:val="true"/>
            </w:pPr>
            <w:r>
              <w:t xml:space="preserve">MD.44</w:t>
            </w:r>
          </w:p>
        </w:tc>
        <w:tc>
          <w:tcPr>
            <w:tcW w:w="1700" w:type="pct"/>
          </w:tcPr>
          <w:p>
            <w:pPr>
              <w:pStyle w:val="Compact"/>
              <w:jc w:val="left"/>
              <w:wordWrap w:val="true"/>
            </w:pPr>
            <w:r>
              <w:t xml:space="preserve">Input Catalogue</w:t>
            </w:r>
          </w:p>
        </w:tc>
        <w:tc>
          <w:tcPr>
            <w:tcW w:w="2600" w:type="pct"/>
          </w:tcPr>
          <w:p>
            <w:pPr>
              <w:pStyle w:val="Compact"/>
              <w:jc w:val="left"/>
              <w:wordWrap w:val="true"/>
            </w:pPr>
            <w:r>
              <w:t xml:space="preserve">The master catalogue of inputs.</w:t>
            </w:r>
          </w:p>
        </w:tc>
      </w:tr>
      <w:tr>
        <w:trPr>
          <w:cantSplit w:val="true"/>
        </w:trPr>
        <w:tc>
          <w:tcPr>
            <w:tcW w:w="700" w:type="pct"/>
          </w:tcPr>
          <w:p>
            <w:pPr>
              <w:pStyle w:val="Compact"/>
              <w:jc w:val="left"/>
              <w:wordWrap w:val="true"/>
            </w:pPr>
            <w:r>
              <w:t xml:space="preserve">MD.46</w:t>
            </w:r>
          </w:p>
        </w:tc>
        <w:tc>
          <w:tcPr>
            <w:tcW w:w="1700" w:type="pct"/>
          </w:tcPr>
          <w:p>
            <w:pPr>
              <w:pStyle w:val="Compact"/>
              <w:jc w:val="left"/>
              <w:wordWrap w:val="true"/>
            </w:pPr>
            <w:r>
              <w:t xml:space="preserve">Input Package</w:t>
            </w:r>
          </w:p>
        </w:tc>
        <w:tc>
          <w:tcPr>
            <w:tcW w:w="2600" w:type="pct"/>
          </w:tcPr>
          <w:p>
            <w:pPr>
              <w:pStyle w:val="Compact"/>
              <w:jc w:val="left"/>
              <w:wordWrap w:val="true"/>
            </w:pPr>
            <w:r>
              <w:t xml:space="preserve">Bundled input packages.</w:t>
            </w:r>
          </w:p>
        </w:tc>
      </w:tr>
      <w:tr>
        <w:trPr>
          <w:cantSplit w:val="true"/>
        </w:trPr>
        <w:tc>
          <w:tcPr>
            <w:tcW w:w="700" w:type="pct"/>
          </w:tcPr>
          <w:p>
            <w:pPr>
              <w:pStyle w:val="Compact"/>
              <w:jc w:val="left"/>
              <w:wordWrap w:val="true"/>
            </w:pPr>
            <w:r>
              <w:t xml:space="preserve">MD.47</w:t>
            </w:r>
          </w:p>
        </w:tc>
        <w:tc>
          <w:tcPr>
            <w:tcW w:w="1700" w:type="pct"/>
          </w:tcPr>
          <w:p>
            <w:pPr>
              <w:pStyle w:val="Compact"/>
              <w:jc w:val="left"/>
              <w:wordWrap w:val="true"/>
            </w:pPr>
            <w:r>
              <w:t xml:space="preserve">Package Content</w:t>
            </w:r>
          </w:p>
        </w:tc>
        <w:tc>
          <w:tcPr>
            <w:tcW w:w="2600" w:type="pct"/>
          </w:tcPr>
          <w:p>
            <w:pPr>
              <w:pStyle w:val="Compact"/>
              <w:jc w:val="left"/>
              <w:wordWrap w:val="true"/>
            </w:pPr>
            <w:r>
              <w:t xml:space="preserve">Contents of an input package.</w:t>
            </w:r>
          </w:p>
        </w:tc>
      </w:tr>
      <w:tr>
        <w:trPr>
          <w:cantSplit w:val="true"/>
        </w:trPr>
        <w:tc>
          <w:tcPr>
            <w:tcW w:w="700" w:type="pct"/>
          </w:tcPr>
          <w:p>
            <w:pPr>
              <w:pStyle w:val="Compact"/>
              <w:jc w:val="left"/>
              <w:wordWrap w:val="true"/>
            </w:pPr>
            <w:r>
              <w:t xml:space="preserve">MD.91</w:t>
            </w:r>
          </w:p>
        </w:tc>
        <w:tc>
          <w:tcPr>
            <w:tcW w:w="1700" w:type="pct"/>
          </w:tcPr>
          <w:p>
            <w:pPr>
              <w:pStyle w:val="Compact"/>
              <w:jc w:val="left"/>
              <w:wordWrap w:val="true"/>
            </w:pPr>
            <w:r>
              <w:t xml:space="preserve">Input Unit</w:t>
            </w:r>
          </w:p>
        </w:tc>
        <w:tc>
          <w:tcPr>
            <w:tcW w:w="2600" w:type="pct"/>
          </w:tcPr>
          <w:p>
            <w:pPr>
              <w:pStyle w:val="Compact"/>
              <w:jc w:val="left"/>
              <w:wordWrap w:val="true"/>
            </w:pPr>
            <w:r>
              <w:t xml:space="preserve">Units of measure for inputs.</w:t>
            </w:r>
          </w:p>
        </w:tc>
      </w:tr>
      <w:tr>
        <w:trPr>
          <w:cantSplit w:val="true"/>
        </w:trPr>
        <w:tc>
          <w:tcPr>
            <w:tcW w:w="700" w:type="pct"/>
          </w:tcPr>
          <w:p>
            <w:pPr>
              <w:pStyle w:val="Compact"/>
              <w:jc w:val="left"/>
              <w:wordWrap w:val="true"/>
            </w:pPr>
            <w:r>
              <w:t xml:space="preserve">MD.92</w:t>
            </w:r>
          </w:p>
        </w:tc>
        <w:tc>
          <w:tcPr>
            <w:tcW w:w="1700" w:type="pct"/>
          </w:tcPr>
          <w:p>
            <w:pPr>
              <w:pStyle w:val="Compact"/>
              <w:jc w:val="left"/>
              <w:wordWrap w:val="true"/>
            </w:pPr>
            <w:r>
              <w:t xml:space="preserve">Supplier Type</w:t>
            </w:r>
          </w:p>
        </w:tc>
        <w:tc>
          <w:tcPr>
            <w:tcW w:w="2600" w:type="pct"/>
          </w:tcPr>
          <w:p>
            <w:pPr>
              <w:pStyle w:val="Compact"/>
              <w:jc w:val="left"/>
              <w:wordWrap w:val="true"/>
            </w:pPr>
            <w:r>
              <w:t xml:space="preserve">Categories of supplier.</w:t>
            </w:r>
          </w:p>
        </w:tc>
      </w:tr>
      <w:tr>
        <w:trPr>
          <w:cantSplit w:val="true"/>
        </w:trPr>
        <w:tc>
          <w:tcPr>
            <w:tcW w:w="700" w:type="pct"/>
          </w:tcPr>
          <w:p>
            <w:pPr>
              <w:pStyle w:val="Compact"/>
              <w:jc w:val="left"/>
              <w:wordWrap w:val="true"/>
            </w:pPr>
            <w:r>
              <w:t xml:space="preserve">MD.93</w:t>
            </w:r>
          </w:p>
        </w:tc>
        <w:tc>
          <w:tcPr>
            <w:tcW w:w="1700" w:type="pct"/>
          </w:tcPr>
          <w:p>
            <w:pPr>
              <w:pStyle w:val="Compact"/>
              <w:jc w:val="left"/>
              <w:wordWrap w:val="true"/>
            </w:pPr>
            <w:r>
              <w:t xml:space="preserve">Voucher Status</w:t>
            </w:r>
          </w:p>
        </w:tc>
        <w:tc>
          <w:tcPr>
            <w:tcW w:w="2600" w:type="pct"/>
          </w:tcPr>
          <w:p>
            <w:pPr>
              <w:pStyle w:val="Compact"/>
              <w:jc w:val="left"/>
              <w:wordWrap w:val="true"/>
            </w:pPr>
            <w:r>
              <w:t xml:space="preserve">Voucher lifecycle statuses.</w:t>
            </w:r>
          </w:p>
        </w:tc>
      </w:tr>
    </w:tbl>
    <w:bookmarkEnd w:id="67"/>
    <w:bookmarkStart w:id="68" w:name="funding-notifications-and-monitoring"/>
    <w:p>
      <w:pPr>
        <w:pStyle w:val="Heading2"/>
      </w:pPr>
      <w:r>
        <w:t xml:space="preserve">8.8 Funding, notifications and monitoring</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1674"/>
        <w:gridCol w:w="3255"/>
        <w:gridCol w:w="4371"/>
      </w:tblGrid>
      <w:tr>
        <w:trPr>
          <w:tblHeader w:val="true"/>
          <w:cantSplit w:val="true"/>
        </w:trPr>
        <w:tc>
          <w:tcPr>
            <w:shd w:val="clear" w:color="auto" w:fill="DCE6F1"/>
            <w:tcW w:w="900" w:type="pct"/>
          </w:tcPr>
          <w:p>
            <w:pPr>
              <w:pStyle w:val="Compact"/>
              <w:jc w:val="left"/>
              <w:wordWrap w:val="true"/>
            </w:pPr>
            <w:r>
              <w:rPr>
                <w:b/>
              </w:rPr>
              <w:t xml:space="preserve">MD</w:t>
            </w:r>
          </w:p>
        </w:tc>
        <w:tc>
          <w:tcPr>
            <w:shd w:val="clear" w:color="auto" w:fill="DCE6F1"/>
            <w:tcW w:w="1750" w:type="pct"/>
          </w:tcPr>
          <w:p>
            <w:pPr>
              <w:pStyle w:val="Compact"/>
              <w:jc w:val="left"/>
              <w:wordWrap w:val="true"/>
            </w:pPr>
            <w:r>
              <w:rPr>
                <w:b/>
              </w:rPr>
              <w:t xml:space="preserve">Catalogue</w:t>
            </w:r>
          </w:p>
        </w:tc>
        <w:tc>
          <w:tcPr>
            <w:shd w:val="clear" w:color="auto" w:fill="DCE6F1"/>
            <w:tcW w:w="2350" w:type="pct"/>
          </w:tcPr>
          <w:p>
            <w:pPr>
              <w:pStyle w:val="Compact"/>
              <w:jc w:val="left"/>
              <w:wordWrap w:val="true"/>
            </w:pPr>
            <w:r>
              <w:rPr>
                <w:b/>
              </w:rPr>
              <w:t xml:space="preserve">Purpose</w:t>
            </w:r>
          </w:p>
        </w:tc>
      </w:tr>
      <w:tr>
        <w:trPr>
          <w:cantSplit w:val="true"/>
        </w:trPr>
        <w:tc>
          <w:tcPr>
            <w:tcW w:w="900" w:type="pct"/>
          </w:tcPr>
          <w:p>
            <w:pPr>
              <w:pStyle w:val="Compact"/>
              <w:jc w:val="left"/>
              <w:wordWrap w:val="true"/>
            </w:pPr>
            <w:r>
              <w:t xml:space="preserve">MD.94</w:t>
            </w:r>
          </w:p>
        </w:tc>
        <w:tc>
          <w:tcPr>
            <w:tcW w:w="1750" w:type="pct"/>
          </w:tcPr>
          <w:p>
            <w:pPr>
              <w:pStyle w:val="Compact"/>
              <w:jc w:val="left"/>
              <w:wordWrap w:val="true"/>
            </w:pPr>
            <w:r>
              <w:t xml:space="preserve">Donor</w:t>
            </w:r>
          </w:p>
        </w:tc>
        <w:tc>
          <w:tcPr>
            <w:tcW w:w="2350" w:type="pct"/>
          </w:tcPr>
          <w:p>
            <w:pPr>
              <w:pStyle w:val="Compact"/>
              <w:jc w:val="left"/>
              <w:wordWrap w:val="true"/>
            </w:pPr>
            <w:r>
              <w:t xml:space="preserve">Funding sources/donors.</w:t>
            </w:r>
          </w:p>
        </w:tc>
      </w:tr>
      <w:tr>
        <w:trPr>
          <w:cantSplit w:val="true"/>
        </w:trPr>
        <w:tc>
          <w:tcPr>
            <w:tcW w:w="900" w:type="pct"/>
          </w:tcPr>
          <w:p>
            <w:pPr>
              <w:pStyle w:val="Compact"/>
              <w:jc w:val="left"/>
              <w:wordWrap w:val="true"/>
            </w:pPr>
            <w:r>
              <w:t xml:space="preserve">MD.34</w:t>
            </w:r>
          </w:p>
        </w:tc>
        <w:tc>
          <w:tcPr>
            <w:tcW w:w="1750" w:type="pct"/>
          </w:tcPr>
          <w:p>
            <w:pPr>
              <w:pStyle w:val="Compact"/>
              <w:jc w:val="left"/>
              <w:wordWrap w:val="true"/>
            </w:pPr>
            <w:r>
              <w:t xml:space="preserve">Notification Type</w:t>
            </w:r>
          </w:p>
        </w:tc>
        <w:tc>
          <w:tcPr>
            <w:tcW w:w="2350" w:type="pct"/>
          </w:tcPr>
          <w:p>
            <w:pPr>
              <w:pStyle w:val="Compact"/>
              <w:jc w:val="left"/>
              <w:wordWrap w:val="true"/>
            </w:pPr>
            <w:r>
              <w:t xml:space="preserve">Types of notification.</w:t>
            </w:r>
          </w:p>
        </w:tc>
      </w:tr>
      <w:tr>
        <w:trPr>
          <w:cantSplit w:val="true"/>
        </w:trPr>
        <w:tc>
          <w:tcPr>
            <w:tcW w:w="900" w:type="pct"/>
          </w:tcPr>
          <w:p>
            <w:pPr>
              <w:pStyle w:val="Compact"/>
              <w:jc w:val="left"/>
              <w:wordWrap w:val="true"/>
            </w:pPr>
            <w:r>
              <w:t xml:space="preserve">MD.78</w:t>
            </w:r>
          </w:p>
        </w:tc>
        <w:tc>
          <w:tcPr>
            <w:tcW w:w="1750" w:type="pct"/>
          </w:tcPr>
          <w:p>
            <w:pPr>
              <w:pStyle w:val="Compact"/>
              <w:jc w:val="left"/>
              <w:wordWrap w:val="true"/>
            </w:pPr>
            <w:r>
              <w:t xml:space="preserve">Notification Channel</w:t>
            </w:r>
          </w:p>
        </w:tc>
        <w:tc>
          <w:tcPr>
            <w:tcW w:w="2350" w:type="pct"/>
          </w:tcPr>
          <w:p>
            <w:pPr>
              <w:pStyle w:val="Compact"/>
              <w:jc w:val="left"/>
              <w:wordWrap w:val="true"/>
            </w:pPr>
            <w:r>
              <w:t xml:space="preserve">Delivery channels (email, SMS…).</w:t>
            </w:r>
          </w:p>
        </w:tc>
      </w:tr>
      <w:tr>
        <w:trPr>
          <w:cantSplit w:val="true"/>
        </w:trPr>
        <w:tc>
          <w:tcPr>
            <w:tcW w:w="900" w:type="pct"/>
          </w:tcPr>
          <w:p>
            <w:pPr>
              <w:pStyle w:val="Compact"/>
              <w:jc w:val="left"/>
              <w:wordWrap w:val="true"/>
            </w:pPr>
            <w:r>
              <w:t xml:space="preserve">MD.79</w:t>
            </w:r>
          </w:p>
        </w:tc>
        <w:tc>
          <w:tcPr>
            <w:tcW w:w="1750" w:type="pct"/>
          </w:tcPr>
          <w:p>
            <w:pPr>
              <w:pStyle w:val="Compact"/>
              <w:jc w:val="left"/>
              <w:wordWrap w:val="true"/>
            </w:pPr>
            <w:r>
              <w:t xml:space="preserve">Notification Status</w:t>
            </w:r>
          </w:p>
        </w:tc>
        <w:tc>
          <w:tcPr>
            <w:tcW w:w="2350" w:type="pct"/>
          </w:tcPr>
          <w:p>
            <w:pPr>
              <w:pStyle w:val="Compact"/>
              <w:jc w:val="left"/>
              <w:wordWrap w:val="true"/>
            </w:pPr>
            <w:r>
              <w:t xml:space="preserve">Delivery status of a notification.</w:t>
            </w:r>
          </w:p>
        </w:tc>
      </w:tr>
      <w:tr>
        <w:trPr>
          <w:cantSplit w:val="true"/>
        </w:trPr>
        <w:tc>
          <w:tcPr>
            <w:tcW w:w="900" w:type="pct"/>
          </w:tcPr>
          <w:p>
            <w:pPr>
              <w:pStyle w:val="Compact"/>
              <w:jc w:val="left"/>
              <w:wordWrap w:val="true"/>
            </w:pPr>
            <w:r>
              <w:t xml:space="preserve">MD.80</w:t>
            </w:r>
          </w:p>
        </w:tc>
        <w:tc>
          <w:tcPr>
            <w:tcW w:w="1750" w:type="pct"/>
          </w:tcPr>
          <w:p>
            <w:pPr>
              <w:pStyle w:val="Compact"/>
              <w:jc w:val="left"/>
              <w:wordWrap w:val="true"/>
            </w:pPr>
            <w:r>
              <w:t xml:space="preserve">Notification Category</w:t>
            </w:r>
          </w:p>
        </w:tc>
        <w:tc>
          <w:tcPr>
            <w:tcW w:w="2350" w:type="pct"/>
          </w:tcPr>
          <w:p>
            <w:pPr>
              <w:pStyle w:val="Compact"/>
              <w:jc w:val="left"/>
              <w:wordWrap w:val="true"/>
            </w:pPr>
            <w:r>
              <w:t xml:space="preserve">Category of a notification.</w:t>
            </w:r>
          </w:p>
        </w:tc>
      </w:tr>
      <w:tr>
        <w:trPr>
          <w:cantSplit w:val="true"/>
        </w:trPr>
        <w:tc>
          <w:tcPr>
            <w:tcW w:w="900" w:type="pct"/>
          </w:tcPr>
          <w:p>
            <w:pPr>
              <w:pStyle w:val="Compact"/>
              <w:jc w:val="left"/>
              <w:wordWrap w:val="true"/>
            </w:pPr>
            <w:r>
              <w:t xml:space="preserve">MD.81</w:t>
            </w:r>
          </w:p>
        </w:tc>
        <w:tc>
          <w:tcPr>
            <w:tcW w:w="1750" w:type="pct"/>
          </w:tcPr>
          <w:p>
            <w:pPr>
              <w:pStyle w:val="Compact"/>
              <w:jc w:val="left"/>
              <w:wordWrap w:val="true"/>
            </w:pPr>
            <w:r>
              <w:t xml:space="preserve">Send Timing</w:t>
            </w:r>
          </w:p>
        </w:tc>
        <w:tc>
          <w:tcPr>
            <w:tcW w:w="2350" w:type="pct"/>
          </w:tcPr>
          <w:p>
            <w:pPr>
              <w:pStyle w:val="Compact"/>
              <w:jc w:val="left"/>
              <w:wordWrap w:val="true"/>
            </w:pPr>
            <w:r>
              <w:t xml:space="preserve">When a notification is sent.</w:t>
            </w:r>
          </w:p>
        </w:tc>
      </w:tr>
      <w:tr>
        <w:trPr>
          <w:cantSplit w:val="true"/>
        </w:trPr>
        <w:tc>
          <w:tcPr>
            <w:tcW w:w="900" w:type="pct"/>
          </w:tcPr>
          <w:p>
            <w:pPr>
              <w:pStyle w:val="Compact"/>
              <w:jc w:val="left"/>
              <w:wordWrap w:val="true"/>
            </w:pPr>
            <w:r>
              <w:t xml:space="preserve">MD.54</w:t>
            </w:r>
          </w:p>
        </w:tc>
        <w:tc>
          <w:tcPr>
            <w:tcW w:w="1750" w:type="pct"/>
          </w:tcPr>
          <w:p>
            <w:pPr>
              <w:pStyle w:val="Compact"/>
              <w:jc w:val="left"/>
              <w:wordWrap w:val="true"/>
            </w:pPr>
            <w:r>
              <w:t xml:space="preserve">Reporting Frequency</w:t>
            </w:r>
          </w:p>
        </w:tc>
        <w:tc>
          <w:tcPr>
            <w:tcW w:w="2350" w:type="pct"/>
          </w:tcPr>
          <w:p>
            <w:pPr>
              <w:pStyle w:val="Compact"/>
              <w:jc w:val="left"/>
              <w:wordWrap w:val="true"/>
            </w:pPr>
            <w:r>
              <w:t xml:space="preserve">How often reporting occurs.</w:t>
            </w:r>
          </w:p>
        </w:tc>
      </w:tr>
      <w:tr>
        <w:trPr>
          <w:cantSplit w:val="true"/>
        </w:trPr>
        <w:tc>
          <w:tcPr>
            <w:tcW w:w="900" w:type="pct"/>
          </w:tcPr>
          <w:p>
            <w:pPr>
              <w:pStyle w:val="Compact"/>
              <w:jc w:val="left"/>
              <w:wordWrap w:val="true"/>
            </w:pPr>
            <w:r>
              <w:t xml:space="preserve">MD.62</w:t>
            </w:r>
          </w:p>
        </w:tc>
        <w:tc>
          <w:tcPr>
            <w:tcW w:w="1750" w:type="pct"/>
          </w:tcPr>
          <w:p>
            <w:pPr>
              <w:pStyle w:val="Compact"/>
              <w:jc w:val="left"/>
              <w:wordWrap w:val="true"/>
            </w:pPr>
            <w:r>
              <w:t xml:space="preserve">Monitoring Approach</w:t>
            </w:r>
          </w:p>
        </w:tc>
        <w:tc>
          <w:tcPr>
            <w:tcW w:w="2350" w:type="pct"/>
          </w:tcPr>
          <w:p>
            <w:pPr>
              <w:pStyle w:val="Compact"/>
              <w:jc w:val="left"/>
              <w:wordWrap w:val="true"/>
            </w:pPr>
            <w:r>
              <w:t xml:space="preserve">Monitoring &amp; evaluation approach.</w:t>
            </w:r>
          </w:p>
        </w:tc>
      </w:tr>
      <w:tr>
        <w:trPr>
          <w:cantSplit w:val="true"/>
        </w:trPr>
        <w:tc>
          <w:tcPr>
            <w:tcW w:w="900" w:type="pct"/>
          </w:tcPr>
          <w:p>
            <w:pPr>
              <w:pStyle w:val="Compact"/>
              <w:jc w:val="left"/>
              <w:wordWrap w:val="true"/>
            </w:pPr>
            <w:r>
              <w:t xml:space="preserve">MD.63</w:t>
            </w:r>
          </w:p>
        </w:tc>
        <w:tc>
          <w:tcPr>
            <w:tcW w:w="1750" w:type="pct"/>
          </w:tcPr>
          <w:p>
            <w:pPr>
              <w:pStyle w:val="Compact"/>
              <w:jc w:val="left"/>
              <w:wordWrap w:val="true"/>
            </w:pPr>
            <w:r>
              <w:t xml:space="preserve">Data Collection Method</w:t>
            </w:r>
          </w:p>
        </w:tc>
        <w:tc>
          <w:tcPr>
            <w:tcW w:w="2350" w:type="pct"/>
          </w:tcPr>
          <w:p>
            <w:pPr>
              <w:pStyle w:val="Compact"/>
              <w:jc w:val="left"/>
              <w:wordWrap w:val="true"/>
            </w:pPr>
            <w:r>
              <w:t xml:space="preserve">How M&amp;E data is collected.</w:t>
            </w:r>
          </w:p>
        </w:tc>
      </w:tr>
      <w:tr>
        <w:trPr>
          <w:cantSplit w:val="true"/>
        </w:trPr>
        <w:tc>
          <w:tcPr>
            <w:tcW w:w="900" w:type="pct"/>
          </w:tcPr>
          <w:p>
            <w:pPr>
              <w:pStyle w:val="Compact"/>
              <w:jc w:val="left"/>
              <w:wordWrap w:val="true"/>
            </w:pPr>
            <w:r>
              <w:t xml:space="preserve">MD.77</w:t>
            </w:r>
          </w:p>
        </w:tc>
        <w:tc>
          <w:tcPr>
            <w:tcW w:w="1750" w:type="pct"/>
          </w:tcPr>
          <w:p>
            <w:pPr>
              <w:pStyle w:val="Compact"/>
              <w:jc w:val="left"/>
              <w:wordWrap w:val="true"/>
            </w:pPr>
            <w:r>
              <w:t xml:space="preserve">Satisfaction Rating</w:t>
            </w:r>
          </w:p>
        </w:tc>
        <w:tc>
          <w:tcPr>
            <w:tcW w:w="2350" w:type="pct"/>
          </w:tcPr>
          <w:p>
            <w:pPr>
              <w:pStyle w:val="Compact"/>
              <w:jc w:val="left"/>
              <w:wordWrap w:val="true"/>
            </w:pPr>
            <w:r>
              <w:t xml:space="preserve">Beneficiary satisfaction scale.</w:t>
            </w:r>
          </w:p>
        </w:tc>
      </w:tr>
    </w:tbl>
    <w:bookmarkEnd w:id="68"/>
    <w:bookmarkEnd w:id="69"/>
    <w:bookmarkStart w:id="72" w:name="glossary-and-acronyms"/>
    <w:p>
      <w:pPr>
        <w:pStyle w:val="Heading1"/>
      </w:pPr>
      <w:r>
        <w:t xml:space="preserve">9. Glossary and Acronyms</w:t>
      </w:r>
    </w:p>
    <w:bookmarkStart w:id="70" w:name="acronyms"/>
    <w:p>
      <w:pPr>
        <w:pStyle w:val="Heading2"/>
      </w:pPr>
      <w:r>
        <w:t xml:space="preserve">9.1 Acronyms</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2604"/>
        <w:gridCol w:w="6696"/>
      </w:tblGrid>
      <w:tr>
        <w:trPr>
          <w:tblHeader w:val="true"/>
          <w:cantSplit w:val="true"/>
        </w:trPr>
        <w:tc>
          <w:tcPr>
            <w:shd w:val="clear" w:color="auto" w:fill="DCE6F1"/>
            <w:tcW w:w="1400" w:type="pct"/>
          </w:tcPr>
          <w:p>
            <w:pPr>
              <w:pStyle w:val="Compact"/>
              <w:jc w:val="left"/>
              <w:wordWrap w:val="true"/>
            </w:pPr>
            <w:r>
              <w:rPr>
                <w:b/>
              </w:rPr>
              <w:t xml:space="preserve">Acronym</w:t>
            </w:r>
          </w:p>
        </w:tc>
        <w:tc>
          <w:tcPr>
            <w:shd w:val="clear" w:color="auto" w:fill="DCE6F1"/>
            <w:tcW w:w="3600" w:type="pct"/>
          </w:tcPr>
          <w:p>
            <w:pPr>
              <w:pStyle w:val="Compact"/>
              <w:jc w:val="left"/>
              <w:wordWrap w:val="true"/>
            </w:pPr>
            <w:r>
              <w:rPr>
                <w:b/>
              </w:rPr>
              <w:t xml:space="preserve">Meaning</w:t>
            </w:r>
          </w:p>
        </w:tc>
      </w:tr>
      <w:tr>
        <w:trPr>
          <w:cantSplit w:val="true"/>
        </w:trPr>
        <w:tc>
          <w:tcPr>
            <w:tcW w:w="1400" w:type="pct"/>
          </w:tcPr>
          <w:p>
            <w:pPr>
              <w:pStyle w:val="Compact"/>
              <w:jc w:val="left"/>
              <w:wordWrap w:val="true"/>
            </w:pPr>
            <w:r>
              <w:t xml:space="preserve">AEZ</w:t>
            </w:r>
          </w:p>
        </w:tc>
        <w:tc>
          <w:tcPr>
            <w:tcW w:w="3600" w:type="pct"/>
          </w:tcPr>
          <w:p>
            <w:pPr>
              <w:pStyle w:val="Compact"/>
              <w:jc w:val="left"/>
              <w:wordWrap w:val="true"/>
            </w:pPr>
            <w:r>
              <w:t xml:space="preserve">Agro-Ecological Zone</w:t>
            </w:r>
          </w:p>
        </w:tc>
      </w:tr>
      <w:tr>
        <w:trPr>
          <w:cantSplit w:val="true"/>
        </w:trPr>
        <w:tc>
          <w:tcPr>
            <w:tcW w:w="1400" w:type="pct"/>
          </w:tcPr>
          <w:p>
            <w:pPr>
              <w:pStyle w:val="Compact"/>
              <w:jc w:val="left"/>
              <w:wordWrap w:val="true"/>
            </w:pPr>
            <w:r>
              <w:t xml:space="preserve">ASMS</w:t>
            </w:r>
          </w:p>
        </w:tc>
        <w:tc>
          <w:tcPr>
            <w:tcW w:w="3600" w:type="pct"/>
          </w:tcPr>
          <w:p>
            <w:pPr>
              <w:pStyle w:val="Compact"/>
              <w:jc w:val="left"/>
              <w:wordWrap w:val="true"/>
            </w:pPr>
            <w:r>
              <w:t xml:space="preserve">Agricultural Subsidy Management System (another name for the FRS)</w:t>
            </w:r>
          </w:p>
        </w:tc>
      </w:tr>
      <w:tr>
        <w:trPr>
          <w:cantSplit w:val="true"/>
        </w:trPr>
        <w:tc>
          <w:tcPr>
            <w:tcW w:w="1400" w:type="pct"/>
          </w:tcPr>
          <w:p>
            <w:pPr>
              <w:pStyle w:val="Compact"/>
              <w:jc w:val="left"/>
              <w:wordWrap w:val="true"/>
            </w:pPr>
            <w:r>
              <w:t xml:space="preserve">FRS</w:t>
            </w:r>
          </w:p>
        </w:tc>
        <w:tc>
          <w:tcPr>
            <w:tcW w:w="3600" w:type="pct"/>
          </w:tcPr>
          <w:p>
            <w:pPr>
              <w:pStyle w:val="Compact"/>
              <w:jc w:val="left"/>
              <w:wordWrap w:val="true"/>
            </w:pPr>
            <w:r>
              <w:t xml:space="preserve">Farmers Registration System</w:t>
            </w:r>
          </w:p>
        </w:tc>
      </w:tr>
      <w:tr>
        <w:trPr>
          <w:cantSplit w:val="true"/>
        </w:trPr>
        <w:tc>
          <w:tcPr>
            <w:tcW w:w="1400" w:type="pct"/>
          </w:tcPr>
          <w:p>
            <w:pPr>
              <w:pStyle w:val="Compact"/>
              <w:jc w:val="left"/>
              <w:wordWrap w:val="true"/>
            </w:pPr>
            <w:r>
              <w:t xml:space="preserve">GL</w:t>
            </w:r>
          </w:p>
        </w:tc>
        <w:tc>
          <w:tcPr>
            <w:tcW w:w="3600" w:type="pct"/>
          </w:tcPr>
          <w:p>
            <w:pPr>
              <w:pStyle w:val="Compact"/>
              <w:jc w:val="left"/>
              <w:wordWrap w:val="true"/>
            </w:pPr>
            <w:r>
              <w:t xml:space="preserve">General Ledger</w:t>
            </w:r>
          </w:p>
        </w:tc>
      </w:tr>
      <w:tr>
        <w:trPr>
          <w:cantSplit w:val="true"/>
        </w:trPr>
        <w:tc>
          <w:tcPr>
            <w:tcW w:w="1400" w:type="pct"/>
          </w:tcPr>
          <w:p>
            <w:pPr>
              <w:pStyle w:val="Compact"/>
              <w:jc w:val="left"/>
              <w:wordWrap w:val="true"/>
            </w:pPr>
            <w:r>
              <w:t xml:space="preserve">GovStack</w:t>
            </w:r>
          </w:p>
        </w:tc>
        <w:tc>
          <w:tcPr>
            <w:tcW w:w="3600" w:type="pct"/>
          </w:tcPr>
          <w:p>
            <w:pPr>
              <w:pStyle w:val="Compact"/>
              <w:jc w:val="left"/>
              <w:wordWrap w:val="true"/>
            </w:pPr>
            <w:r>
              <w:t xml:space="preserve">International standards for reusable digital-government building blocks</w:t>
            </w:r>
          </w:p>
        </w:tc>
      </w:tr>
      <w:tr>
        <w:trPr>
          <w:cantSplit w:val="true"/>
        </w:trPr>
        <w:tc>
          <w:tcPr>
            <w:tcW w:w="1400" w:type="pct"/>
          </w:tcPr>
          <w:p>
            <w:pPr>
              <w:pStyle w:val="Compact"/>
              <w:jc w:val="left"/>
              <w:wordWrap w:val="true"/>
            </w:pPr>
            <w:r>
              <w:t xml:space="preserve">IDA</w:t>
            </w:r>
          </w:p>
        </w:tc>
        <w:tc>
          <w:tcPr>
            <w:tcW w:w="3600" w:type="pct"/>
          </w:tcPr>
          <w:p>
            <w:pPr>
              <w:pStyle w:val="Compact"/>
              <w:jc w:val="left"/>
              <w:wordWrap w:val="true"/>
            </w:pPr>
            <w:r>
              <w:t xml:space="preserve">International Development Association (World Bank)</w:t>
            </w:r>
          </w:p>
        </w:tc>
      </w:tr>
      <w:tr>
        <w:trPr>
          <w:cantSplit w:val="true"/>
        </w:trPr>
        <w:tc>
          <w:tcPr>
            <w:tcW w:w="1400" w:type="pct"/>
          </w:tcPr>
          <w:p>
            <w:pPr>
              <w:pStyle w:val="Compact"/>
              <w:jc w:val="left"/>
              <w:wordWrap w:val="true"/>
            </w:pPr>
            <w:r>
              <w:t xml:space="preserve">IM</w:t>
            </w:r>
          </w:p>
        </w:tc>
        <w:tc>
          <w:tcPr>
            <w:tcW w:w="3600" w:type="pct"/>
          </w:tcPr>
          <w:p>
            <w:pPr>
              <w:pStyle w:val="Compact"/>
              <w:jc w:val="left"/>
              <w:wordWrap w:val="true"/>
            </w:pPr>
            <w:r>
              <w:t xml:space="preserve">Inputs Management</w:t>
            </w:r>
          </w:p>
        </w:tc>
      </w:tr>
      <w:tr>
        <w:trPr>
          <w:cantSplit w:val="true"/>
        </w:trPr>
        <w:tc>
          <w:tcPr>
            <w:tcW w:w="1400" w:type="pct"/>
          </w:tcPr>
          <w:p>
            <w:pPr>
              <w:pStyle w:val="Compact"/>
              <w:jc w:val="left"/>
              <w:wordWrap w:val="true"/>
            </w:pPr>
            <w:r>
              <w:t xml:space="preserve">KPI</w:t>
            </w:r>
          </w:p>
        </w:tc>
        <w:tc>
          <w:tcPr>
            <w:tcW w:w="3600" w:type="pct"/>
          </w:tcPr>
          <w:p>
            <w:pPr>
              <w:pStyle w:val="Compact"/>
              <w:jc w:val="left"/>
              <w:wordWrap w:val="true"/>
            </w:pPr>
            <w:r>
              <w:t xml:space="preserve">Key Performance Indicator</w:t>
            </w:r>
          </w:p>
        </w:tc>
      </w:tr>
      <w:tr>
        <w:trPr>
          <w:cantSplit w:val="true"/>
        </w:trPr>
        <w:tc>
          <w:tcPr>
            <w:tcW w:w="1400" w:type="pct"/>
          </w:tcPr>
          <w:p>
            <w:pPr>
              <w:pStyle w:val="Compact"/>
              <w:jc w:val="left"/>
              <w:wordWrap w:val="true"/>
            </w:pPr>
            <w:r>
              <w:t xml:space="preserve">MAFSN</w:t>
            </w:r>
          </w:p>
        </w:tc>
        <w:tc>
          <w:tcPr>
            <w:tcW w:w="3600" w:type="pct"/>
          </w:tcPr>
          <w:p>
            <w:pPr>
              <w:pStyle w:val="Compact"/>
              <w:jc w:val="left"/>
              <w:wordWrap w:val="true"/>
            </w:pPr>
            <w:r>
              <w:t xml:space="preserve">Ministry of Agriculture, Food Security and Nutrition</w:t>
            </w:r>
          </w:p>
        </w:tc>
      </w:tr>
      <w:tr>
        <w:trPr>
          <w:cantSplit w:val="true"/>
        </w:trPr>
        <w:tc>
          <w:tcPr>
            <w:tcW w:w="1400" w:type="pct"/>
          </w:tcPr>
          <w:p>
            <w:pPr>
              <w:pStyle w:val="Compact"/>
              <w:jc w:val="left"/>
              <w:wordWrap w:val="true"/>
            </w:pPr>
            <w:r>
              <w:t xml:space="preserve">MD</w:t>
            </w:r>
          </w:p>
        </w:tc>
        <w:tc>
          <w:tcPr>
            <w:tcW w:w="3600" w:type="pct"/>
          </w:tcPr>
          <w:p>
            <w:pPr>
              <w:pStyle w:val="Compact"/>
              <w:jc w:val="left"/>
              <w:wordWrap w:val="true"/>
            </w:pPr>
            <w:r>
              <w:t xml:space="preserve">Master Data</w:t>
            </w:r>
          </w:p>
        </w:tc>
      </w:tr>
      <w:tr>
        <w:trPr>
          <w:cantSplit w:val="true"/>
        </w:trPr>
        <w:tc>
          <w:tcPr>
            <w:tcW w:w="1400" w:type="pct"/>
          </w:tcPr>
          <w:p>
            <w:pPr>
              <w:pStyle w:val="Compact"/>
              <w:jc w:val="left"/>
              <w:wordWrap w:val="true"/>
            </w:pPr>
            <w:r>
              <w:t xml:space="preserve">MM</w:t>
            </w:r>
          </w:p>
        </w:tc>
        <w:tc>
          <w:tcPr>
            <w:tcW w:w="3600" w:type="pct"/>
          </w:tcPr>
          <w:p>
            <w:pPr>
              <w:pStyle w:val="Compact"/>
              <w:jc w:val="left"/>
              <w:wordWrap w:val="true"/>
            </w:pPr>
            <w:r>
              <w:t xml:space="preserve">Metamodel</w:t>
            </w:r>
          </w:p>
        </w:tc>
      </w:tr>
      <w:tr>
        <w:trPr>
          <w:cantSplit w:val="true"/>
        </w:trPr>
        <w:tc>
          <w:tcPr>
            <w:tcW w:w="1400" w:type="pct"/>
          </w:tcPr>
          <w:p>
            <w:pPr>
              <w:pStyle w:val="Compact"/>
              <w:jc w:val="left"/>
              <w:wordWrap w:val="true"/>
            </w:pPr>
            <w:r>
              <w:t xml:space="preserve">MOA</w:t>
            </w:r>
          </w:p>
        </w:tc>
        <w:tc>
          <w:tcPr>
            <w:tcW w:w="3600" w:type="pct"/>
          </w:tcPr>
          <w:p>
            <w:pPr>
              <w:pStyle w:val="Compact"/>
              <w:jc w:val="left"/>
              <w:wordWrap w:val="true"/>
            </w:pPr>
            <w:r>
              <w:t xml:space="preserve">Ministry of Agriculture</w:t>
            </w:r>
          </w:p>
        </w:tc>
      </w:tr>
      <w:tr>
        <w:trPr>
          <w:cantSplit w:val="true"/>
        </w:trPr>
        <w:tc>
          <w:tcPr>
            <w:tcW w:w="1400" w:type="pct"/>
          </w:tcPr>
          <w:p>
            <w:pPr>
              <w:pStyle w:val="Compact"/>
              <w:jc w:val="left"/>
              <w:wordWrap w:val="true"/>
            </w:pPr>
            <w:r>
              <w:t xml:space="preserve">NID</w:t>
            </w:r>
          </w:p>
        </w:tc>
        <w:tc>
          <w:tcPr>
            <w:tcW w:w="3600" w:type="pct"/>
          </w:tcPr>
          <w:p>
            <w:pPr>
              <w:pStyle w:val="Compact"/>
              <w:jc w:val="left"/>
              <w:wordWrap w:val="true"/>
            </w:pPr>
            <w:r>
              <w:t xml:space="preserve">National ID</w:t>
            </w:r>
          </w:p>
        </w:tc>
      </w:tr>
      <w:tr>
        <w:trPr>
          <w:cantSplit w:val="true"/>
        </w:trPr>
        <w:tc>
          <w:tcPr>
            <w:tcW w:w="1400" w:type="pct"/>
          </w:tcPr>
          <w:p>
            <w:pPr>
              <w:pStyle w:val="Compact"/>
              <w:jc w:val="left"/>
              <w:wordWrap w:val="true"/>
            </w:pPr>
            <w:r>
              <w:t xml:space="preserve">RegBB</w:t>
            </w:r>
          </w:p>
        </w:tc>
        <w:tc>
          <w:tcPr>
            <w:tcW w:w="3600" w:type="pct"/>
          </w:tcPr>
          <w:p>
            <w:pPr>
              <w:pStyle w:val="Compact"/>
              <w:jc w:val="left"/>
              <w:wordWrap w:val="true"/>
            </w:pPr>
            <w:r>
              <w:t xml:space="preserve">Registration Building Block (the GovStack component the system implements)</w:t>
            </w:r>
          </w:p>
        </w:tc>
      </w:tr>
      <w:tr>
        <w:trPr>
          <w:cantSplit w:val="true"/>
        </w:trPr>
        <w:tc>
          <w:tcPr>
            <w:tcW w:w="1400" w:type="pct"/>
          </w:tcPr>
          <w:p>
            <w:pPr>
              <w:pStyle w:val="Compact"/>
              <w:jc w:val="left"/>
              <w:wordWrap w:val="true"/>
            </w:pPr>
            <w:r>
              <w:t xml:space="preserve">WAMP</w:t>
            </w:r>
          </w:p>
        </w:tc>
        <w:tc>
          <w:tcPr>
            <w:tcW w:w="3600" w:type="pct"/>
          </w:tcPr>
          <w:p>
            <w:pPr>
              <w:pStyle w:val="Compact"/>
              <w:jc w:val="left"/>
              <w:wordWrap w:val="true"/>
            </w:pPr>
            <w:r>
              <w:t xml:space="preserve">Wool and Mohair / Agricultural Marketing Programme</w:t>
            </w:r>
          </w:p>
        </w:tc>
      </w:tr>
      <w:tr>
        <w:trPr>
          <w:cantSplit w:val="true"/>
        </w:trPr>
        <w:tc>
          <w:tcPr>
            <w:tcW w:w="1400" w:type="pct"/>
          </w:tcPr>
          <w:p>
            <w:pPr>
              <w:pStyle w:val="Compact"/>
              <w:jc w:val="left"/>
              <w:wordWrap w:val="true"/>
            </w:pPr>
            <w:r>
              <w:t xml:space="preserve">WFP</w:t>
            </w:r>
          </w:p>
        </w:tc>
        <w:tc>
          <w:tcPr>
            <w:tcW w:w="3600" w:type="pct"/>
          </w:tcPr>
          <w:p>
            <w:pPr>
              <w:pStyle w:val="Compact"/>
              <w:jc w:val="left"/>
              <w:wordWrap w:val="true"/>
            </w:pPr>
            <w:r>
              <w:t xml:space="preserve">World Food Programme</w:t>
            </w:r>
          </w:p>
        </w:tc>
      </w:tr>
    </w:tbl>
    <w:bookmarkEnd w:id="70"/>
    <w:bookmarkStart w:id="71" w:name="glossary-of-terms"/>
    <w:p>
      <w:pPr>
        <w:pStyle w:val="Heading2"/>
      </w:pPr>
      <w:r>
        <w:t xml:space="preserve">9.2 Glossary of terms</w:t>
      </w:r>
    </w:p>
    <w:tbl>
      <w:tblPr>
        <w:tblStyle w:val="Table"/>
        <w:tblLook w:firstRow="1" w:lastRow="0" w:firstColumn="0" w:lastColumn="0" w:noHBand="0" w:noVBand="0" w:val="0020"/>
        <w:jc w:val="start"/>
        <w:tblBorders>
          <w:top w:val="single" w:sz="4" w:space="0" w:color="8C9BAB"/>
          <w:left w:val="single" w:sz="4" w:space="0" w:color="8C9BAB"/>
          <w:bottom w:val="single" w:sz="4" w:space="0" w:color="8C9BAB"/>
          <w:right w:val="single" w:sz="4" w:space="0" w:color="8C9BAB"/>
          <w:insideH w:val="single" w:sz="4" w:space="0" w:color="8C9BAB"/>
          <w:insideV w:val="single" w:sz="4" w:space="0" w:color="8C9BAB"/>
        </w:tblBorders>
        <w:tblCellMar>
          <w:top w:w="60" w:type="dxa"/>
          <w:left w:w="108" w:type="dxa"/>
          <w:bottom w:w="60" w:type="dxa"/>
          <w:right w:w="108" w:type="dxa"/>
        </w:tblCellMar>
        <w:tblW w:w="5000" w:type="pct"/>
        <w:tblLayout w:type="fixed"/>
      </w:tblPr>
      <w:tblGrid>
        <w:gridCol w:w="4650"/>
        <w:gridCol w:w="4650"/>
      </w:tblGrid>
      <w:tr>
        <w:trPr>
          <w:tblHeader w:val="true"/>
          <w:cantSplit w:val="true"/>
        </w:trPr>
        <w:tc>
          <w:tcPr>
            <w:shd w:val="clear" w:color="auto" w:fill="DCE6F1"/>
            <w:tcW w:w="2500" w:type="pct"/>
          </w:tcPr>
          <w:p>
            <w:pPr>
              <w:pStyle w:val="Compact"/>
              <w:jc w:val="left"/>
              <w:wordWrap w:val="true"/>
            </w:pPr>
            <w:r>
              <w:rPr>
                <w:b/>
              </w:rPr>
              <w:t xml:space="preserve">Term</w:t>
            </w:r>
          </w:p>
        </w:tc>
        <w:tc>
          <w:tcPr>
            <w:shd w:val="clear" w:color="auto" w:fill="DCE6F1"/>
            <w:tcW w:w="2500" w:type="pct"/>
          </w:tcPr>
          <w:p>
            <w:pPr>
              <w:pStyle w:val="Compact"/>
              <w:jc w:val="left"/>
              <w:wordWrap w:val="true"/>
            </w:pPr>
            <w:r>
              <w:rPr>
                <w:b/>
              </w:rPr>
              <w:t xml:space="preserve">Meaning</w:t>
            </w:r>
          </w:p>
        </w:tc>
      </w:tr>
      <w:tr>
        <w:trPr>
          <w:cantSplit w:val="true"/>
        </w:trPr>
        <w:tc>
          <w:tcPr>
            <w:tcW w:w="2500" w:type="pct"/>
          </w:tcPr>
          <w:p>
            <w:pPr>
              <w:pStyle w:val="Compact"/>
              <w:jc w:val="left"/>
              <w:wordWrap w:val="true"/>
            </w:pPr>
            <w:r>
              <w:rPr>
                <w:bCs/>
                <w:b/>
              </w:rPr>
              <w:t xml:space="preserve">Agro-Ecological Zone (AEZ)</w:t>
            </w:r>
          </w:p>
        </w:tc>
        <w:tc>
          <w:tcPr>
            <w:tcW w:w="2500" w:type="pct"/>
          </w:tcPr>
          <w:p>
            <w:pPr>
              <w:pStyle w:val="Compact"/>
              <w:jc w:val="left"/>
              <w:wordWrap w:val="true"/>
            </w:pPr>
            <w:r>
              <w:t xml:space="preserve">land classification by farming conditions.</w:t>
            </w:r>
          </w:p>
        </w:tc>
      </w:tr>
      <w:tr>
        <w:trPr>
          <w:cantSplit w:val="true"/>
        </w:trPr>
        <w:tc>
          <w:tcPr>
            <w:tcW w:w="2500" w:type="pct"/>
          </w:tcPr>
          <w:p>
            <w:pPr>
              <w:pStyle w:val="Compact"/>
              <w:jc w:val="left"/>
              <w:wordWrap w:val="true"/>
            </w:pPr>
            <w:r>
              <w:rPr>
                <w:bCs/>
                <w:b/>
              </w:rPr>
              <w:t xml:space="preserve">Allocation Plan</w:t>
            </w:r>
          </w:p>
        </w:tc>
        <w:tc>
          <w:tcPr>
            <w:tcW w:w="2500" w:type="pct"/>
          </w:tcPr>
          <w:p>
            <w:pPr>
              <w:pStyle w:val="Compact"/>
              <w:jc w:val="left"/>
              <w:wordWrap w:val="true"/>
            </w:pPr>
            <w:r>
              <w:t xml:space="preserve">assignment of input quantities to centres/beneficiaries before vouchers.</w:t>
            </w:r>
          </w:p>
        </w:tc>
      </w:tr>
      <w:tr>
        <w:trPr>
          <w:cantSplit w:val="true"/>
        </w:trPr>
        <w:tc>
          <w:tcPr>
            <w:tcW w:w="2500" w:type="pct"/>
          </w:tcPr>
          <w:p>
            <w:pPr>
              <w:pStyle w:val="Compact"/>
              <w:jc w:val="left"/>
              <w:wordWrap w:val="true"/>
            </w:pPr>
            <w:r>
              <w:rPr>
                <w:bCs/>
                <w:b/>
              </w:rPr>
              <w:t xml:space="preserve">Appeal</w:t>
            </w:r>
          </w:p>
        </w:tc>
        <w:tc>
          <w:tcPr>
            <w:tcW w:w="2500" w:type="pct"/>
          </w:tcPr>
          <w:p>
            <w:pPr>
              <w:pStyle w:val="Compact"/>
              <w:jc w:val="left"/>
              <w:wordWrap w:val="true"/>
            </w:pPr>
            <w:r>
              <w:t xml:space="preserve">a farmer’s formal challenge to a decision.</w:t>
            </w:r>
          </w:p>
        </w:tc>
      </w:tr>
      <w:tr>
        <w:trPr>
          <w:cantSplit w:val="true"/>
        </w:trPr>
        <w:tc>
          <w:tcPr>
            <w:tcW w:w="2500" w:type="pct"/>
          </w:tcPr>
          <w:p>
            <w:pPr>
              <w:pStyle w:val="Compact"/>
              <w:jc w:val="left"/>
              <w:wordWrap w:val="true"/>
            </w:pPr>
            <w:r>
              <w:rPr>
                <w:bCs/>
                <w:b/>
              </w:rPr>
              <w:t xml:space="preserve">Application</w:t>
            </w:r>
          </w:p>
        </w:tc>
        <w:tc>
          <w:tcPr>
            <w:tcW w:w="2500" w:type="pct"/>
          </w:tcPr>
          <w:p>
            <w:pPr>
              <w:pStyle w:val="Compact"/>
              <w:jc w:val="left"/>
              <w:wordWrap w:val="true"/>
            </w:pPr>
            <w:r>
              <w:t xml:space="preserve">a farmer’s request to join a programme.</w:t>
            </w:r>
          </w:p>
        </w:tc>
      </w:tr>
      <w:tr>
        <w:trPr>
          <w:cantSplit w:val="true"/>
        </w:trPr>
        <w:tc>
          <w:tcPr>
            <w:tcW w:w="2500" w:type="pct"/>
          </w:tcPr>
          <w:p>
            <w:pPr>
              <w:pStyle w:val="Compact"/>
              <w:jc w:val="left"/>
              <w:wordWrap w:val="true"/>
            </w:pPr>
            <w:r>
              <w:rPr>
                <w:bCs/>
                <w:b/>
              </w:rPr>
              <w:t xml:space="preserve">Audit Trail</w:t>
            </w:r>
          </w:p>
        </w:tc>
        <w:tc>
          <w:tcPr>
            <w:tcW w:w="2500" w:type="pct"/>
          </w:tcPr>
          <w:p>
            <w:pPr>
              <w:pStyle w:val="Compact"/>
              <w:jc w:val="left"/>
              <w:wordWrap w:val="true"/>
            </w:pPr>
            <w:r>
              <w:t xml:space="preserve">the log of who did what and when.</w:t>
            </w:r>
          </w:p>
        </w:tc>
      </w:tr>
      <w:tr>
        <w:trPr>
          <w:cantSplit w:val="true"/>
        </w:trPr>
        <w:tc>
          <w:tcPr>
            <w:tcW w:w="2500" w:type="pct"/>
          </w:tcPr>
          <w:p>
            <w:pPr>
              <w:pStyle w:val="Compact"/>
              <w:jc w:val="left"/>
              <w:wordWrap w:val="true"/>
            </w:pPr>
            <w:r>
              <w:rPr>
                <w:bCs/>
                <w:b/>
              </w:rPr>
              <w:t xml:space="preserve">API Key</w:t>
            </w:r>
          </w:p>
        </w:tc>
        <w:tc>
          <w:tcPr>
            <w:tcW w:w="2500" w:type="pct"/>
          </w:tcPr>
          <w:p>
            <w:pPr>
              <w:pStyle w:val="Compact"/>
              <w:jc w:val="left"/>
              <w:wordWrap w:val="true"/>
            </w:pPr>
            <w:r>
              <w:t xml:space="preserve">a credential for system-to-system data exchange.</w:t>
            </w:r>
          </w:p>
        </w:tc>
      </w:tr>
      <w:tr>
        <w:trPr>
          <w:cantSplit w:val="true"/>
        </w:trPr>
        <w:tc>
          <w:tcPr>
            <w:tcW w:w="2500" w:type="pct"/>
          </w:tcPr>
          <w:p>
            <w:pPr>
              <w:pStyle w:val="Compact"/>
              <w:jc w:val="left"/>
              <w:wordWrap w:val="true"/>
            </w:pPr>
            <w:r>
              <w:rPr>
                <w:bCs/>
                <w:b/>
              </w:rPr>
              <w:t xml:space="preserve">Beneficiary Subledger</w:t>
            </w:r>
          </w:p>
        </w:tc>
        <w:tc>
          <w:tcPr>
            <w:tcW w:w="2500" w:type="pct"/>
          </w:tcPr>
          <w:p>
            <w:pPr>
              <w:pStyle w:val="Compact"/>
              <w:jc w:val="left"/>
              <w:wordWrap w:val="true"/>
            </w:pPr>
            <w:r>
              <w:t xml:space="preserve">per-farmer budget accounting.</w:t>
            </w:r>
          </w:p>
        </w:tc>
      </w:tr>
      <w:tr>
        <w:trPr>
          <w:cantSplit w:val="true"/>
        </w:trPr>
        <w:tc>
          <w:tcPr>
            <w:tcW w:w="2500" w:type="pct"/>
          </w:tcPr>
          <w:p>
            <w:pPr>
              <w:pStyle w:val="Compact"/>
              <w:jc w:val="left"/>
              <w:wordWrap w:val="true"/>
            </w:pPr>
            <w:r>
              <w:rPr>
                <w:bCs/>
                <w:b/>
              </w:rPr>
              <w:t xml:space="preserve">Budget Envelope</w:t>
            </w:r>
          </w:p>
        </w:tc>
        <w:tc>
          <w:tcPr>
            <w:tcW w:w="2500" w:type="pct"/>
          </w:tcPr>
          <w:p>
            <w:pPr>
              <w:pStyle w:val="Compact"/>
              <w:jc w:val="left"/>
              <w:wordWrap w:val="true"/>
            </w:pPr>
            <w:r>
              <w:t xml:space="preserve">an allocated pot of money per programme and source.</w:t>
            </w:r>
          </w:p>
        </w:tc>
      </w:tr>
      <w:tr>
        <w:trPr>
          <w:cantSplit w:val="true"/>
        </w:trPr>
        <w:tc>
          <w:tcPr>
            <w:tcW w:w="2500" w:type="pct"/>
          </w:tcPr>
          <w:p>
            <w:pPr>
              <w:pStyle w:val="Compact"/>
              <w:jc w:val="left"/>
              <w:wordWrap w:val="true"/>
            </w:pPr>
            <w:r>
              <w:rPr>
                <w:bCs/>
                <w:b/>
              </w:rPr>
              <w:t xml:space="preserve">Budget Event</w:t>
            </w:r>
          </w:p>
        </w:tc>
        <w:tc>
          <w:tcPr>
            <w:tcW w:w="2500" w:type="pct"/>
          </w:tcPr>
          <w:p>
            <w:pPr>
              <w:pStyle w:val="Compact"/>
              <w:jc w:val="left"/>
              <w:wordWrap w:val="true"/>
            </w:pPr>
            <w:r>
              <w:t xml:space="preserve">one entry in the budget ledger (pre-commitment, reservation, commitment, expense, release).</w:t>
            </w:r>
          </w:p>
        </w:tc>
      </w:tr>
      <w:tr>
        <w:trPr>
          <w:cantSplit w:val="true"/>
        </w:trPr>
        <w:tc>
          <w:tcPr>
            <w:tcW w:w="2500" w:type="pct"/>
          </w:tcPr>
          <w:p>
            <w:pPr>
              <w:pStyle w:val="Compact"/>
              <w:jc w:val="left"/>
              <w:wordWrap w:val="true"/>
            </w:pPr>
            <w:r>
              <w:rPr>
                <w:bCs/>
                <w:b/>
              </w:rPr>
              <w:t xml:space="preserve">Campaign / Agricultural Season</w:t>
            </w:r>
          </w:p>
        </w:tc>
        <w:tc>
          <w:tcPr>
            <w:tcW w:w="2500" w:type="pct"/>
          </w:tcPr>
          <w:p>
            <w:pPr>
              <w:pStyle w:val="Compact"/>
              <w:jc w:val="left"/>
              <w:wordWrap w:val="true"/>
            </w:pPr>
            <w:r>
              <w:t xml:space="preserve">a time-bounded distribution cycle.</w:t>
            </w:r>
          </w:p>
        </w:tc>
      </w:tr>
      <w:tr>
        <w:trPr>
          <w:cantSplit w:val="true"/>
        </w:trPr>
        <w:tc>
          <w:tcPr>
            <w:tcW w:w="2500" w:type="pct"/>
          </w:tcPr>
          <w:p>
            <w:pPr>
              <w:pStyle w:val="Compact"/>
              <w:jc w:val="left"/>
              <w:wordWrap w:val="true"/>
            </w:pPr>
            <w:r>
              <w:rPr>
                <w:bCs/>
                <w:b/>
              </w:rPr>
              <w:t xml:space="preserve">Case Note</w:t>
            </w:r>
          </w:p>
        </w:tc>
        <w:tc>
          <w:tcPr>
            <w:tcW w:w="2500" w:type="pct"/>
          </w:tcPr>
          <w:p>
            <w:pPr>
              <w:pStyle w:val="Compact"/>
              <w:jc w:val="left"/>
              <w:wordWrap w:val="true"/>
            </w:pPr>
            <w:r>
              <w:t xml:space="preserve">a free-text note attached to a record.</w:t>
            </w:r>
          </w:p>
        </w:tc>
      </w:tr>
      <w:tr>
        <w:trPr>
          <w:cantSplit w:val="true"/>
        </w:trPr>
        <w:tc>
          <w:tcPr>
            <w:tcW w:w="2500" w:type="pct"/>
          </w:tcPr>
          <w:p>
            <w:pPr>
              <w:pStyle w:val="Compact"/>
              <w:jc w:val="left"/>
              <w:wordWrap w:val="true"/>
            </w:pPr>
            <w:r>
              <w:rPr>
                <w:bCs/>
                <w:b/>
              </w:rPr>
              <w:t xml:space="preserve">Commitment</w:t>
            </w:r>
          </w:p>
        </w:tc>
        <w:tc>
          <w:tcPr>
            <w:tcW w:w="2500" w:type="pct"/>
          </w:tcPr>
          <w:p>
            <w:pPr>
              <w:pStyle w:val="Compact"/>
              <w:jc w:val="left"/>
              <w:wordWrap w:val="true"/>
            </w:pPr>
            <w:r>
              <w:t xml:space="preserve">money firmly committed when a voucher is issued.</w:t>
            </w:r>
          </w:p>
        </w:tc>
      </w:tr>
      <w:tr>
        <w:trPr>
          <w:cantSplit w:val="true"/>
        </w:trPr>
        <w:tc>
          <w:tcPr>
            <w:tcW w:w="2500" w:type="pct"/>
          </w:tcPr>
          <w:p>
            <w:pPr>
              <w:pStyle w:val="Compact"/>
              <w:jc w:val="left"/>
              <w:wordWrap w:val="true"/>
            </w:pPr>
            <w:r>
              <w:rPr>
                <w:bCs/>
                <w:b/>
              </w:rPr>
              <w:t xml:space="preserve">Decision</w:t>
            </w:r>
          </w:p>
        </w:tc>
        <w:tc>
          <w:tcPr>
            <w:tcW w:w="2500" w:type="pct"/>
          </w:tcPr>
          <w:p>
            <w:pPr>
              <w:pStyle w:val="Compact"/>
              <w:jc w:val="left"/>
              <w:wordWrap w:val="true"/>
            </w:pPr>
            <w:r>
              <w:t xml:space="preserve">an officer’s ruling on an application.</w:t>
            </w:r>
          </w:p>
        </w:tc>
      </w:tr>
      <w:tr>
        <w:trPr>
          <w:cantSplit w:val="true"/>
        </w:trPr>
        <w:tc>
          <w:tcPr>
            <w:tcW w:w="2500" w:type="pct"/>
          </w:tcPr>
          <w:p>
            <w:pPr>
              <w:pStyle w:val="Compact"/>
              <w:jc w:val="left"/>
              <w:wordWrap w:val="true"/>
            </w:pPr>
            <w:r>
              <w:rPr>
                <w:bCs/>
                <w:b/>
              </w:rPr>
              <w:t xml:space="preserve">Determinant / Rule</w:t>
            </w:r>
          </w:p>
        </w:tc>
        <w:tc>
          <w:tcPr>
            <w:tcW w:w="2500" w:type="pct"/>
          </w:tcPr>
          <w:p>
            <w:pPr>
              <w:pStyle w:val="Compact"/>
              <w:jc w:val="left"/>
              <w:wordWrap w:val="true"/>
            </w:pPr>
            <w:r>
              <w:t xml:space="preserve">a configurable condition the system evaluates automatically.</w:t>
            </w:r>
          </w:p>
        </w:tc>
      </w:tr>
      <w:tr>
        <w:trPr>
          <w:cantSplit w:val="true"/>
        </w:trPr>
        <w:tc>
          <w:tcPr>
            <w:tcW w:w="2500" w:type="pct"/>
          </w:tcPr>
          <w:p>
            <w:pPr>
              <w:pStyle w:val="Compact"/>
              <w:jc w:val="left"/>
              <w:wordWrap w:val="true"/>
            </w:pPr>
            <w:r>
              <w:rPr>
                <w:bCs/>
                <w:b/>
              </w:rPr>
              <w:t xml:space="preserve">District</w:t>
            </w:r>
          </w:p>
        </w:tc>
        <w:tc>
          <w:tcPr>
            <w:tcW w:w="2500" w:type="pct"/>
          </w:tcPr>
          <w:p>
            <w:pPr>
              <w:pStyle w:val="Compact"/>
              <w:jc w:val="left"/>
              <w:wordWrap w:val="true"/>
            </w:pPr>
            <w:r>
              <w:t xml:space="preserve">one of Lesotho’s ten administrative districts.</w:t>
            </w:r>
          </w:p>
        </w:tc>
      </w:tr>
      <w:tr>
        <w:trPr>
          <w:cantSplit w:val="true"/>
        </w:trPr>
        <w:tc>
          <w:tcPr>
            <w:tcW w:w="2500" w:type="pct"/>
          </w:tcPr>
          <w:p>
            <w:pPr>
              <w:pStyle w:val="Compact"/>
              <w:jc w:val="left"/>
              <w:wordWrap w:val="true"/>
            </w:pPr>
            <w:r>
              <w:rPr>
                <w:bCs/>
                <w:b/>
              </w:rPr>
              <w:t xml:space="preserve">Donor / Funding Source</w:t>
            </w:r>
          </w:p>
        </w:tc>
        <w:tc>
          <w:tcPr>
            <w:tcW w:w="2500" w:type="pct"/>
          </w:tcPr>
          <w:p>
            <w:pPr>
              <w:pStyle w:val="Compact"/>
              <w:jc w:val="left"/>
              <w:wordWrap w:val="true"/>
            </w:pPr>
            <w:r>
              <w:t xml:space="preserve">where programme money comes from.</w:t>
            </w:r>
          </w:p>
        </w:tc>
      </w:tr>
      <w:tr>
        <w:trPr>
          <w:cantSplit w:val="true"/>
        </w:trPr>
        <w:tc>
          <w:tcPr>
            <w:tcW w:w="2500" w:type="pct"/>
          </w:tcPr>
          <w:p>
            <w:pPr>
              <w:pStyle w:val="Compact"/>
              <w:jc w:val="left"/>
              <w:wordWrap w:val="true"/>
            </w:pPr>
            <w:r>
              <w:rPr>
                <w:bCs/>
                <w:b/>
              </w:rPr>
              <w:t xml:space="preserve">Eligibility</w:t>
            </w:r>
          </w:p>
        </w:tc>
        <w:tc>
          <w:tcPr>
            <w:tcW w:w="2500" w:type="pct"/>
          </w:tcPr>
          <w:p>
            <w:pPr>
              <w:pStyle w:val="Compact"/>
              <w:jc w:val="left"/>
              <w:wordWrap w:val="true"/>
            </w:pPr>
            <w:r>
              <w:t xml:space="preserve">whether a farmer meets a programme’s conditions.</w:t>
            </w:r>
          </w:p>
        </w:tc>
      </w:tr>
      <w:tr>
        <w:trPr>
          <w:cantSplit w:val="true"/>
        </w:trPr>
        <w:tc>
          <w:tcPr>
            <w:tcW w:w="2500" w:type="pct"/>
          </w:tcPr>
          <w:p>
            <w:pPr>
              <w:pStyle w:val="Compact"/>
              <w:jc w:val="left"/>
              <w:wordWrap w:val="true"/>
            </w:pPr>
            <w:r>
              <w:rPr>
                <w:bCs/>
                <w:b/>
              </w:rPr>
              <w:t xml:space="preserve">Entitlement</w:t>
            </w:r>
          </w:p>
        </w:tc>
        <w:tc>
          <w:tcPr>
            <w:tcW w:w="2500" w:type="pct"/>
          </w:tcPr>
          <w:p>
            <w:pPr>
              <w:pStyle w:val="Compact"/>
              <w:jc w:val="left"/>
              <w:wordWrap w:val="true"/>
            </w:pPr>
            <w:r>
              <w:t xml:space="preserve">the concrete benefit granted on approval (</w:t>
            </w:r>
            <w:r>
              <w:rPr>
                <w:rStyle w:val="VerbatimChar"/>
              </w:rPr>
              <w:t xml:space="preserve">EN-…</w:t>
            </w:r>
            <w:r>
              <w:t xml:space="preserve">).</w:t>
            </w:r>
          </w:p>
        </w:tc>
      </w:tr>
      <w:tr>
        <w:trPr>
          <w:cantSplit w:val="true"/>
        </w:trPr>
        <w:tc>
          <w:tcPr>
            <w:tcW w:w="2500" w:type="pct"/>
          </w:tcPr>
          <w:p>
            <w:pPr>
              <w:pStyle w:val="Compact"/>
              <w:jc w:val="left"/>
              <w:wordWrap w:val="true"/>
            </w:pPr>
            <w:r>
              <w:rPr>
                <w:bCs/>
                <w:b/>
              </w:rPr>
              <w:t xml:space="preserve">Expense</w:t>
            </w:r>
          </w:p>
        </w:tc>
        <w:tc>
          <w:tcPr>
            <w:tcW w:w="2500" w:type="pct"/>
          </w:tcPr>
          <w:p>
            <w:pPr>
              <w:pStyle w:val="Compact"/>
              <w:jc w:val="left"/>
              <w:wordWrap w:val="true"/>
            </w:pPr>
            <w:r>
              <w:t xml:space="preserve">money actually spent, posted on redemption.</w:t>
            </w:r>
          </w:p>
        </w:tc>
      </w:tr>
      <w:tr>
        <w:trPr>
          <w:cantSplit w:val="true"/>
        </w:trPr>
        <w:tc>
          <w:tcPr>
            <w:tcW w:w="2500" w:type="pct"/>
          </w:tcPr>
          <w:p>
            <w:pPr>
              <w:pStyle w:val="Compact"/>
              <w:jc w:val="left"/>
              <w:wordWrap w:val="true"/>
            </w:pPr>
            <w:r>
              <w:rPr>
                <w:bCs/>
                <w:b/>
              </w:rPr>
              <w:t xml:space="preserve">Farmer</w:t>
            </w:r>
          </w:p>
        </w:tc>
        <w:tc>
          <w:tcPr>
            <w:tcW w:w="2500" w:type="pct"/>
          </w:tcPr>
          <w:p>
            <w:pPr>
              <w:pStyle w:val="Compact"/>
              <w:jc w:val="left"/>
              <w:wordWrap w:val="true"/>
            </w:pPr>
            <w:r>
              <w:t xml:space="preserve">a registered individual, keyed by National ID.</w:t>
            </w:r>
          </w:p>
        </w:tc>
      </w:tr>
      <w:tr>
        <w:trPr>
          <w:cantSplit w:val="true"/>
        </w:trPr>
        <w:tc>
          <w:tcPr>
            <w:tcW w:w="2500" w:type="pct"/>
          </w:tcPr>
          <w:p>
            <w:pPr>
              <w:pStyle w:val="Compact"/>
              <w:jc w:val="left"/>
              <w:wordWrap w:val="true"/>
            </w:pPr>
            <w:r>
              <w:rPr>
                <w:bCs/>
                <w:b/>
              </w:rPr>
              <w:t xml:space="preserve">General Ledger (GL)</w:t>
            </w:r>
          </w:p>
        </w:tc>
        <w:tc>
          <w:tcPr>
            <w:tcW w:w="2500" w:type="pct"/>
          </w:tcPr>
          <w:p>
            <w:pPr>
              <w:pStyle w:val="Compact"/>
              <w:jc w:val="left"/>
              <w:wordWrap w:val="true"/>
            </w:pPr>
            <w:r>
              <w:t xml:space="preserve">the complete list of budget events.</w:t>
            </w:r>
          </w:p>
        </w:tc>
      </w:tr>
      <w:tr>
        <w:trPr>
          <w:cantSplit w:val="true"/>
        </w:trPr>
        <w:tc>
          <w:tcPr>
            <w:tcW w:w="2500" w:type="pct"/>
          </w:tcPr>
          <w:p>
            <w:pPr>
              <w:pStyle w:val="Compact"/>
              <w:jc w:val="left"/>
              <w:wordWrap w:val="true"/>
            </w:pPr>
            <w:r>
              <w:rPr>
                <w:bCs/>
                <w:b/>
              </w:rPr>
              <w:t xml:space="preserve">Household</w:t>
            </w:r>
          </w:p>
        </w:tc>
        <w:tc>
          <w:tcPr>
            <w:tcW w:w="2500" w:type="pct"/>
          </w:tcPr>
          <w:p>
            <w:pPr>
              <w:pStyle w:val="Compact"/>
              <w:jc w:val="left"/>
              <w:wordWrap w:val="true"/>
            </w:pPr>
            <w:r>
              <w:t xml:space="preserve">a farmer’s family unit.</w:t>
            </w:r>
          </w:p>
        </w:tc>
      </w:tr>
      <w:tr>
        <w:trPr>
          <w:cantSplit w:val="true"/>
        </w:trPr>
        <w:tc>
          <w:tcPr>
            <w:tcW w:w="2500" w:type="pct"/>
          </w:tcPr>
          <w:p>
            <w:pPr>
              <w:pStyle w:val="Compact"/>
              <w:jc w:val="left"/>
              <w:wordWrap w:val="true"/>
            </w:pPr>
            <w:r>
              <w:rPr>
                <w:bCs/>
                <w:b/>
              </w:rPr>
              <w:t xml:space="preserve">Identity Resolver</w:t>
            </w:r>
          </w:p>
        </w:tc>
        <w:tc>
          <w:tcPr>
            <w:tcW w:w="2500" w:type="pct"/>
          </w:tcPr>
          <w:p>
            <w:pPr>
              <w:pStyle w:val="Compact"/>
              <w:jc w:val="left"/>
              <w:wordWrap w:val="true"/>
            </w:pPr>
            <w:r>
              <w:t xml:space="preserve">auto-fills identity from a National ID lookup.</w:t>
            </w:r>
          </w:p>
        </w:tc>
      </w:tr>
      <w:tr>
        <w:trPr>
          <w:cantSplit w:val="true"/>
        </w:trPr>
        <w:tc>
          <w:tcPr>
            <w:tcW w:w="2500" w:type="pct"/>
          </w:tcPr>
          <w:p>
            <w:pPr>
              <w:pStyle w:val="Compact"/>
              <w:jc w:val="left"/>
              <w:wordWrap w:val="true"/>
            </w:pPr>
            <w:r>
              <w:rPr>
                <w:bCs/>
                <w:b/>
              </w:rPr>
              <w:t xml:space="preserve">Input</w:t>
            </w:r>
          </w:p>
        </w:tc>
        <w:tc>
          <w:tcPr>
            <w:tcW w:w="2500" w:type="pct"/>
          </w:tcPr>
          <w:p>
            <w:pPr>
              <w:pStyle w:val="Compact"/>
              <w:jc w:val="left"/>
              <w:wordWrap w:val="true"/>
            </w:pPr>
            <w:r>
              <w:t xml:space="preserve">a physical item distributed (seed, fertiliser…).</w:t>
            </w:r>
          </w:p>
        </w:tc>
      </w:tr>
      <w:tr>
        <w:trPr>
          <w:cantSplit w:val="true"/>
        </w:trPr>
        <w:tc>
          <w:tcPr>
            <w:tcW w:w="2500" w:type="pct"/>
          </w:tcPr>
          <w:p>
            <w:pPr>
              <w:pStyle w:val="Compact"/>
              <w:jc w:val="left"/>
              <w:wordWrap w:val="true"/>
            </w:pPr>
            <w:r>
              <w:rPr>
                <w:bCs/>
                <w:b/>
              </w:rPr>
              <w:t xml:space="preserve">Inventory</w:t>
            </w:r>
          </w:p>
        </w:tc>
        <w:tc>
          <w:tcPr>
            <w:tcW w:w="2500" w:type="pct"/>
          </w:tcPr>
          <w:p>
            <w:pPr>
              <w:pStyle w:val="Compact"/>
              <w:jc w:val="left"/>
              <w:wordWrap w:val="true"/>
            </w:pPr>
            <w:r>
              <w:t xml:space="preserve">stock on hand of an input at a centre.</w:t>
            </w:r>
          </w:p>
        </w:tc>
      </w:tr>
      <w:tr>
        <w:trPr>
          <w:cantSplit w:val="true"/>
        </w:trPr>
        <w:tc>
          <w:tcPr>
            <w:tcW w:w="2500" w:type="pct"/>
          </w:tcPr>
          <w:p>
            <w:pPr>
              <w:pStyle w:val="Compact"/>
              <w:jc w:val="left"/>
              <w:wordWrap w:val="true"/>
            </w:pPr>
            <w:r>
              <w:rPr>
                <w:bCs/>
                <w:b/>
              </w:rPr>
              <w:t xml:space="preserve">Master Data (MD)</w:t>
            </w:r>
          </w:p>
        </w:tc>
        <w:tc>
          <w:tcPr>
            <w:tcW w:w="2500" w:type="pct"/>
          </w:tcPr>
          <w:p>
            <w:pPr>
              <w:pStyle w:val="Compact"/>
              <w:jc w:val="left"/>
              <w:wordWrap w:val="true"/>
            </w:pPr>
            <w:r>
              <w:t xml:space="preserve">controlled lists behind drop-downs.</w:t>
            </w:r>
          </w:p>
        </w:tc>
      </w:tr>
      <w:tr>
        <w:trPr>
          <w:cantSplit w:val="true"/>
        </w:trPr>
        <w:tc>
          <w:tcPr>
            <w:tcW w:w="2500" w:type="pct"/>
          </w:tcPr>
          <w:p>
            <w:pPr>
              <w:pStyle w:val="Compact"/>
              <w:jc w:val="left"/>
              <w:wordWrap w:val="true"/>
            </w:pPr>
            <w:r>
              <w:rPr>
                <w:bCs/>
                <w:b/>
              </w:rPr>
              <w:t xml:space="preserve">Metamodel (MM)</w:t>
            </w:r>
          </w:p>
        </w:tc>
        <w:tc>
          <w:tcPr>
            <w:tcW w:w="2500" w:type="pct"/>
          </w:tcPr>
          <w:p>
            <w:pPr>
              <w:pStyle w:val="Compact"/>
              <w:jc w:val="left"/>
              <w:wordWrap w:val="true"/>
            </w:pPr>
            <w:r>
              <w:t xml:space="preserve">configuration tables that define a service.</w:t>
            </w:r>
          </w:p>
        </w:tc>
      </w:tr>
      <w:tr>
        <w:trPr>
          <w:cantSplit w:val="true"/>
        </w:trPr>
        <w:tc>
          <w:tcPr>
            <w:tcW w:w="2500" w:type="pct"/>
          </w:tcPr>
          <w:p>
            <w:pPr>
              <w:pStyle w:val="Compact"/>
              <w:jc w:val="left"/>
              <w:wordWrap w:val="true"/>
            </w:pPr>
            <w:r>
              <w:rPr>
                <w:bCs/>
                <w:b/>
              </w:rPr>
              <w:t xml:space="preserve">National ID (NID)</w:t>
            </w:r>
          </w:p>
        </w:tc>
        <w:tc>
          <w:tcPr>
            <w:tcW w:w="2500" w:type="pct"/>
          </w:tcPr>
          <w:p>
            <w:pPr>
              <w:pStyle w:val="Compact"/>
              <w:jc w:val="left"/>
              <w:wordWrap w:val="true"/>
            </w:pPr>
            <w:r>
              <w:t xml:space="preserve">the citizen identity number and master key.</w:t>
            </w:r>
          </w:p>
        </w:tc>
      </w:tr>
      <w:tr>
        <w:trPr>
          <w:cantSplit w:val="true"/>
        </w:trPr>
        <w:tc>
          <w:tcPr>
            <w:tcW w:w="2500" w:type="pct"/>
          </w:tcPr>
          <w:p>
            <w:pPr>
              <w:pStyle w:val="Compact"/>
              <w:jc w:val="left"/>
              <w:wordWrap w:val="true"/>
            </w:pPr>
            <w:r>
              <w:rPr>
                <w:bCs/>
                <w:b/>
              </w:rPr>
              <w:t xml:space="preserve">Notification</w:t>
            </w:r>
          </w:p>
        </w:tc>
        <w:tc>
          <w:tcPr>
            <w:tcW w:w="2500" w:type="pct"/>
          </w:tcPr>
          <w:p>
            <w:pPr>
              <w:pStyle w:val="Compact"/>
              <w:jc w:val="left"/>
              <w:wordWrap w:val="true"/>
            </w:pPr>
            <w:r>
              <w:t xml:space="preserve">an automated message on an event.</w:t>
            </w:r>
          </w:p>
        </w:tc>
      </w:tr>
      <w:tr>
        <w:trPr>
          <w:cantSplit w:val="true"/>
        </w:trPr>
        <w:tc>
          <w:tcPr>
            <w:tcW w:w="2500" w:type="pct"/>
          </w:tcPr>
          <w:p>
            <w:pPr>
              <w:pStyle w:val="Compact"/>
              <w:jc w:val="left"/>
              <w:wordWrap w:val="true"/>
            </w:pPr>
            <w:r>
              <w:rPr>
                <w:bCs/>
                <w:b/>
              </w:rPr>
              <w:t xml:space="preserve">Parcel / Plot / Farm</w:t>
            </w:r>
          </w:p>
        </w:tc>
        <w:tc>
          <w:tcPr>
            <w:tcW w:w="2500" w:type="pct"/>
          </w:tcPr>
          <w:p>
            <w:pPr>
              <w:pStyle w:val="Compact"/>
              <w:jc w:val="left"/>
              <w:wordWrap w:val="true"/>
            </w:pPr>
            <w:r>
              <w:t xml:space="preserve">a piece of land a farmer cultivates.</w:t>
            </w:r>
          </w:p>
        </w:tc>
      </w:tr>
      <w:tr>
        <w:trPr>
          <w:cantSplit w:val="true"/>
        </w:trPr>
        <w:tc>
          <w:tcPr>
            <w:tcW w:w="2500" w:type="pct"/>
          </w:tcPr>
          <w:p>
            <w:pPr>
              <w:pStyle w:val="Compact"/>
              <w:jc w:val="left"/>
              <w:wordWrap w:val="true"/>
            </w:pPr>
            <w:r>
              <w:rPr>
                <w:bCs/>
                <w:b/>
              </w:rPr>
              <w:t xml:space="preserve">Programme / Support Programme</w:t>
            </w:r>
          </w:p>
        </w:tc>
        <w:tc>
          <w:tcPr>
            <w:tcW w:w="2500" w:type="pct"/>
          </w:tcPr>
          <w:p>
            <w:pPr>
              <w:pStyle w:val="Compact"/>
              <w:jc w:val="left"/>
              <w:wordWrap w:val="true"/>
            </w:pPr>
            <w:r>
              <w:t xml:space="preserve">a subsidy scheme.</w:t>
            </w:r>
          </w:p>
        </w:tc>
      </w:tr>
      <w:tr>
        <w:trPr>
          <w:cantSplit w:val="true"/>
        </w:trPr>
        <w:tc>
          <w:tcPr>
            <w:tcW w:w="2500" w:type="pct"/>
          </w:tcPr>
          <w:p>
            <w:pPr>
              <w:pStyle w:val="Compact"/>
              <w:jc w:val="left"/>
              <w:wordWrap w:val="true"/>
            </w:pPr>
            <w:r>
              <w:rPr>
                <w:bCs/>
                <w:b/>
              </w:rPr>
              <w:t xml:space="preserve">Redemption</w:t>
            </w:r>
          </w:p>
        </w:tc>
        <w:tc>
          <w:tcPr>
            <w:tcW w:w="2500" w:type="pct"/>
          </w:tcPr>
          <w:p>
            <w:pPr>
              <w:pStyle w:val="Compact"/>
              <w:jc w:val="left"/>
              <w:wordWrap w:val="true"/>
            </w:pPr>
            <w:r>
              <w:t xml:space="preserve">a farmer collecting inputs; records the hand-over, decrements inventory, posts an expense.</w:t>
            </w:r>
          </w:p>
        </w:tc>
      </w:tr>
      <w:tr>
        <w:trPr>
          <w:cantSplit w:val="true"/>
        </w:trPr>
        <w:tc>
          <w:tcPr>
            <w:tcW w:w="2500" w:type="pct"/>
          </w:tcPr>
          <w:p>
            <w:pPr>
              <w:pStyle w:val="Compact"/>
              <w:jc w:val="left"/>
              <w:wordWrap w:val="true"/>
            </w:pPr>
            <w:r>
              <w:rPr>
                <w:bCs/>
                <w:b/>
              </w:rPr>
              <w:t xml:space="preserve">Registry</w:t>
            </w:r>
          </w:p>
        </w:tc>
        <w:tc>
          <w:tcPr>
            <w:tcW w:w="2500" w:type="pct"/>
          </w:tcPr>
          <w:p>
            <w:pPr>
              <w:pStyle w:val="Compact"/>
              <w:jc w:val="left"/>
              <w:wordWrap w:val="true"/>
            </w:pPr>
            <w:r>
              <w:t xml:space="preserve">the store of registered farmers and parcels.</w:t>
            </w:r>
          </w:p>
        </w:tc>
      </w:tr>
      <w:tr>
        <w:trPr>
          <w:cantSplit w:val="true"/>
        </w:trPr>
        <w:tc>
          <w:tcPr>
            <w:tcW w:w="2500" w:type="pct"/>
          </w:tcPr>
          <w:p>
            <w:pPr>
              <w:pStyle w:val="Compact"/>
              <w:jc w:val="left"/>
              <w:wordWrap w:val="true"/>
            </w:pPr>
            <w:r>
              <w:rPr>
                <w:bCs/>
                <w:b/>
              </w:rPr>
              <w:t xml:space="preserve">Reservation</w:t>
            </w:r>
          </w:p>
        </w:tc>
        <w:tc>
          <w:tcPr>
            <w:tcW w:w="2500" w:type="pct"/>
          </w:tcPr>
          <w:p>
            <w:pPr>
              <w:pStyle w:val="Compact"/>
              <w:jc w:val="left"/>
              <w:wordWrap w:val="true"/>
            </w:pPr>
            <w:r>
              <w:t xml:space="preserve">money set aside for an approved entitlement.</w:t>
            </w:r>
          </w:p>
        </w:tc>
      </w:tr>
      <w:tr>
        <w:trPr>
          <w:cantSplit w:val="true"/>
        </w:trPr>
        <w:tc>
          <w:tcPr>
            <w:tcW w:w="2500" w:type="pct"/>
          </w:tcPr>
          <w:p>
            <w:pPr>
              <w:pStyle w:val="Compact"/>
              <w:jc w:val="left"/>
              <w:wordWrap w:val="true"/>
            </w:pPr>
            <w:r>
              <w:rPr>
                <w:bCs/>
                <w:b/>
              </w:rPr>
              <w:t xml:space="preserve">Resource Centre / Collection Point / Distribution Point</w:t>
            </w:r>
          </w:p>
        </w:tc>
        <w:tc>
          <w:tcPr>
            <w:tcW w:w="2500" w:type="pct"/>
          </w:tcPr>
          <w:p>
            <w:pPr>
              <w:pStyle w:val="Compact"/>
              <w:jc w:val="left"/>
              <w:wordWrap w:val="true"/>
            </w:pPr>
            <w:r>
              <w:t xml:space="preserve">where inputs are collected and vouchers redeemed.</w:t>
            </w:r>
          </w:p>
        </w:tc>
      </w:tr>
      <w:tr>
        <w:trPr>
          <w:cantSplit w:val="true"/>
        </w:trPr>
        <w:tc>
          <w:tcPr>
            <w:tcW w:w="2500" w:type="pct"/>
          </w:tcPr>
          <w:p>
            <w:pPr>
              <w:pStyle w:val="Compact"/>
              <w:jc w:val="left"/>
              <w:wordWrap w:val="true"/>
            </w:pPr>
            <w:r>
              <w:rPr>
                <w:bCs/>
                <w:b/>
              </w:rPr>
              <w:t xml:space="preserve">Rejection Reason</w:t>
            </w:r>
          </w:p>
        </w:tc>
        <w:tc>
          <w:tcPr>
            <w:tcW w:w="2500" w:type="pct"/>
          </w:tcPr>
          <w:p>
            <w:pPr>
              <w:pStyle w:val="Compact"/>
              <w:jc w:val="left"/>
              <w:wordWrap w:val="true"/>
            </w:pPr>
            <w:r>
              <w:t xml:space="preserve">a standard reason recorded on rejection.</w:t>
            </w:r>
          </w:p>
        </w:tc>
      </w:tr>
      <w:tr>
        <w:trPr>
          <w:cantSplit w:val="true"/>
        </w:trPr>
        <w:tc>
          <w:tcPr>
            <w:tcW w:w="2500" w:type="pct"/>
          </w:tcPr>
          <w:p>
            <w:pPr>
              <w:pStyle w:val="Compact"/>
              <w:jc w:val="left"/>
              <w:wordWrap w:val="true"/>
            </w:pPr>
            <w:r>
              <w:rPr>
                <w:bCs/>
                <w:b/>
              </w:rPr>
              <w:t xml:space="preserve">Roll-forward</w:t>
            </w:r>
          </w:p>
        </w:tc>
        <w:tc>
          <w:tcPr>
            <w:tcW w:w="2500" w:type="pct"/>
          </w:tcPr>
          <w:p>
            <w:pPr>
              <w:pStyle w:val="Compact"/>
              <w:jc w:val="left"/>
              <w:wordWrap w:val="true"/>
            </w:pPr>
            <w:r>
              <w:t xml:space="preserve">carrying unspent budget into the next period.</w:t>
            </w:r>
          </w:p>
        </w:tc>
      </w:tr>
      <w:tr>
        <w:trPr>
          <w:cantSplit w:val="true"/>
        </w:trPr>
        <w:tc>
          <w:tcPr>
            <w:tcW w:w="2500" w:type="pct"/>
          </w:tcPr>
          <w:p>
            <w:pPr>
              <w:pStyle w:val="Compact"/>
              <w:jc w:val="left"/>
              <w:wordWrap w:val="true"/>
            </w:pPr>
            <w:r>
              <w:rPr>
                <w:bCs/>
                <w:b/>
              </w:rPr>
              <w:t xml:space="preserve">Stock Transaction</w:t>
            </w:r>
          </w:p>
        </w:tc>
        <w:tc>
          <w:tcPr>
            <w:tcW w:w="2500" w:type="pct"/>
          </w:tcPr>
          <w:p>
            <w:pPr>
              <w:pStyle w:val="Compact"/>
              <w:jc w:val="left"/>
              <w:wordWrap w:val="true"/>
            </w:pPr>
            <w:r>
              <w:t xml:space="preserve">a recorded stock movement.</w:t>
            </w:r>
          </w:p>
        </w:tc>
      </w:tr>
      <w:tr>
        <w:trPr>
          <w:cantSplit w:val="true"/>
        </w:trPr>
        <w:tc>
          <w:tcPr>
            <w:tcW w:w="2500" w:type="pct"/>
          </w:tcPr>
          <w:p>
            <w:pPr>
              <w:pStyle w:val="Compact"/>
              <w:jc w:val="left"/>
              <w:wordWrap w:val="true"/>
            </w:pPr>
            <w:r>
              <w:rPr>
                <w:bCs/>
                <w:b/>
              </w:rPr>
              <w:t xml:space="preserve">Supplier / Agro-Dealer</w:t>
            </w:r>
          </w:p>
        </w:tc>
        <w:tc>
          <w:tcPr>
            <w:tcW w:w="2500" w:type="pct"/>
          </w:tcPr>
          <w:p>
            <w:pPr>
              <w:pStyle w:val="Compact"/>
              <w:jc w:val="left"/>
              <w:wordWrap w:val="true"/>
            </w:pPr>
            <w:r>
              <w:t xml:space="preserve">a provider of inputs.</w:t>
            </w:r>
          </w:p>
        </w:tc>
      </w:tr>
      <w:tr>
        <w:trPr>
          <w:cantSplit w:val="true"/>
        </w:trPr>
        <w:tc>
          <w:tcPr>
            <w:tcW w:w="2500" w:type="pct"/>
          </w:tcPr>
          <w:p>
            <w:pPr>
              <w:pStyle w:val="Compact"/>
              <w:jc w:val="left"/>
              <w:wordWrap w:val="true"/>
            </w:pPr>
            <w:r>
              <w:rPr>
                <w:bCs/>
                <w:b/>
              </w:rPr>
              <w:t xml:space="preserve">Threshold Alert</w:t>
            </w:r>
          </w:p>
        </w:tc>
        <w:tc>
          <w:tcPr>
            <w:tcW w:w="2500" w:type="pct"/>
          </w:tcPr>
          <w:p>
            <w:pPr>
              <w:pStyle w:val="Compact"/>
              <w:jc w:val="left"/>
              <w:wordWrap w:val="true"/>
            </w:pPr>
            <w:r>
              <w:t xml:space="preserve">an automatic budget-utilisation warning.</w:t>
            </w:r>
          </w:p>
        </w:tc>
      </w:tr>
      <w:tr>
        <w:trPr>
          <w:cantSplit w:val="true"/>
        </w:trPr>
        <w:tc>
          <w:tcPr>
            <w:tcW w:w="2500" w:type="pct"/>
          </w:tcPr>
          <w:p>
            <w:pPr>
              <w:pStyle w:val="Compact"/>
              <w:jc w:val="left"/>
              <w:wordWrap w:val="true"/>
            </w:pPr>
            <w:r>
              <w:rPr>
                <w:bCs/>
                <w:b/>
              </w:rPr>
              <w:t xml:space="preserve">Variance</w:t>
            </w:r>
          </w:p>
        </w:tc>
        <w:tc>
          <w:tcPr>
            <w:tcW w:w="2500" w:type="pct"/>
          </w:tcPr>
          <w:p>
            <w:pPr>
              <w:pStyle w:val="Compact"/>
              <w:jc w:val="left"/>
              <w:wordWrap w:val="true"/>
            </w:pPr>
            <w:r>
              <w:t xml:space="preserve">allocated versus actual difference.</w:t>
            </w:r>
          </w:p>
        </w:tc>
      </w:tr>
      <w:tr>
        <w:trPr>
          <w:cantSplit w:val="true"/>
        </w:trPr>
        <w:tc>
          <w:tcPr>
            <w:tcW w:w="2500" w:type="pct"/>
          </w:tcPr>
          <w:p>
            <w:pPr>
              <w:pStyle w:val="Compact"/>
              <w:jc w:val="left"/>
              <w:wordWrap w:val="true"/>
            </w:pPr>
            <w:r>
              <w:rPr>
                <w:bCs/>
                <w:b/>
              </w:rPr>
              <w:t xml:space="preserve">Voucher</w:t>
            </w:r>
          </w:p>
        </w:tc>
        <w:tc>
          <w:tcPr>
            <w:tcW w:w="2500" w:type="pct"/>
          </w:tcPr>
          <w:p>
            <w:pPr>
              <w:pStyle w:val="Compact"/>
              <w:jc w:val="left"/>
              <w:wordWrap w:val="true"/>
            </w:pPr>
            <w:r>
              <w:t xml:space="preserve">an electronic entitlement to collect an input at a centre (</w:t>
            </w:r>
            <w:r>
              <w:rPr>
                <w:rStyle w:val="VerbatimChar"/>
              </w:rPr>
              <w:t xml:space="preserve">VCH-…</w:t>
            </w:r>
            <w:r>
              <w:t xml:space="preserve">).</w:t>
            </w:r>
          </w:p>
        </w:tc>
      </w:tr>
    </w:tbl>
    <w:bookmarkEnd w:id="71"/>
    <w:bookmarkEnd w:id="72"/>
    <w:bookmarkStart w:id="73" w:name="troubleshooting-and-tips"/>
    <w:p>
      <w:pPr>
        <w:pStyle w:val="Heading1"/>
      </w:pPr>
      <w:r>
        <w:t xml:space="preserve">10. Troubleshooting and Tips</w:t>
      </w:r>
    </w:p>
    <w:p>
      <w:pPr>
        <w:numPr>
          <w:ilvl w:val="0"/>
          <w:numId w:val="1023"/>
        </w:numPr>
        <w:pStyle w:val="Compact"/>
      </w:pPr>
      <w:r>
        <w:rPr>
          <w:bCs/>
          <w:b/>
        </w:rPr>
        <w:t xml:space="preserve">A list is unexpectedly empty (</w:t>
      </w:r>
      <w:r>
        <w:rPr>
          <w:bCs/>
          <w:b/>
        </w:rPr>
        <w:t xml:space="preserve">“</w:t>
      </w:r>
      <w:r>
        <w:rPr>
          <w:bCs/>
          <w:b/>
        </w:rPr>
        <w:t xml:space="preserve">Nothing found to display</w:t>
      </w:r>
      <w:r>
        <w:rPr>
          <w:bCs/>
          <w:b/>
        </w:rPr>
        <w:t xml:space="preserve">”</w:t>
      </w:r>
      <w:r>
        <w:rPr>
          <w:bCs/>
          <w:b/>
        </w:rPr>
        <w:t xml:space="preserve">) even with no filters.</w:t>
      </w:r>
      <w:r>
        <w:t xml:space="preserve"> </w:t>
      </w:r>
      <w:r>
        <w:t xml:space="preserve">First clear any filters and select</w:t>
      </w:r>
      <w:r>
        <w:t xml:space="preserve"> </w:t>
      </w:r>
      <w:r>
        <w:rPr>
          <w:bCs/>
          <w:b/>
        </w:rPr>
        <w:t xml:space="preserve">Show</w:t>
      </w:r>
      <w:r>
        <w:t xml:space="preserve">. If it is still empty although data should exist, your browser’s cached data may be stale — clear the site’s cache: in the browser, open the developer tools, go to</w:t>
      </w:r>
      <w:r>
        <w:t xml:space="preserve"> </w:t>
      </w:r>
      <w:r>
        <w:rPr>
          <w:bCs/>
          <w:b/>
        </w:rPr>
        <w:t xml:space="preserve">Application → Storage</w:t>
      </w:r>
      <w:r>
        <w:t xml:space="preserve"> </w:t>
      </w:r>
      <w:r>
        <w:t xml:space="preserve">and choose</w:t>
      </w:r>
      <w:r>
        <w:t xml:space="preserve"> </w:t>
      </w:r>
      <w:r>
        <w:rPr>
          <w:bCs/>
          <w:b/>
        </w:rPr>
        <w:t xml:space="preserve">Clear site data</w:t>
      </w:r>
      <w:r>
        <w:t xml:space="preserve"> </w:t>
      </w:r>
      <w:r>
        <w:t xml:space="preserve">(and unregister any service worker), then reload the page with a hard refresh (Ctrl/Cmd + Shift + R).</w:t>
      </w:r>
    </w:p>
    <w:p>
      <w:pPr>
        <w:numPr>
          <w:ilvl w:val="0"/>
          <w:numId w:val="1023"/>
        </w:numPr>
        <w:pStyle w:val="Compact"/>
      </w:pPr>
      <w:r>
        <w:rPr>
          <w:bCs/>
          <w:b/>
        </w:rPr>
        <w:t xml:space="preserve">A dashboard tile or chart shows no data.</w:t>
      </w:r>
      <w:r>
        <w:t xml:space="preserve"> </w:t>
      </w:r>
      <w:r>
        <w:t xml:space="preserve">Reload the page (the dashboard refreshes on open). If it persists, clear the site cache as above.</w:t>
      </w:r>
    </w:p>
    <w:p>
      <w:pPr>
        <w:numPr>
          <w:ilvl w:val="0"/>
          <w:numId w:val="1023"/>
        </w:numPr>
        <w:pStyle w:val="Compact"/>
      </w:pPr>
      <w:r>
        <w:rPr>
          <w:bCs/>
          <w:b/>
        </w:rPr>
        <w:t xml:space="preserve">“</w:t>
      </w:r>
      <w:r>
        <w:rPr>
          <w:bCs/>
          <w:b/>
        </w:rPr>
        <w:t xml:space="preserve">TEST MODE</w:t>
      </w:r>
      <w:r>
        <w:rPr>
          <w:bCs/>
          <w:b/>
        </w:rPr>
        <w:t xml:space="preserve">”</w:t>
      </w:r>
      <w:r>
        <w:rPr>
          <w:bCs/>
          <w:b/>
        </w:rPr>
        <w:t xml:space="preserve"> </w:t>
      </w:r>
      <w:r>
        <w:rPr>
          <w:bCs/>
          <w:b/>
        </w:rPr>
        <w:t xml:space="preserve">is showing.</w:t>
      </w:r>
      <w:r>
        <w:t xml:space="preserve"> </w:t>
      </w:r>
      <w:r>
        <w:t xml:space="preserve">You are on a practice environment. Data here is not real and may be reset; do not rely on it for operational decisions.</w:t>
      </w:r>
    </w:p>
    <w:p>
      <w:pPr>
        <w:numPr>
          <w:ilvl w:val="0"/>
          <w:numId w:val="1023"/>
        </w:numPr>
        <w:pStyle w:val="Compact"/>
      </w:pPr>
      <w:r>
        <w:rPr>
          <w:bCs/>
          <w:b/>
        </w:rPr>
        <w:t xml:space="preserve">A field will not accept your entry / the form will not save.</w:t>
      </w:r>
      <w:r>
        <w:t xml:space="preserve"> </w:t>
      </w:r>
      <w:r>
        <w:t xml:space="preserve">Check for required fields left blank and for values that must come from a master-data drop-down (you cannot type a value that is not in the list — it must first be added under</w:t>
      </w:r>
      <w:r>
        <w:t xml:space="preserve"> </w:t>
      </w:r>
      <w:r>
        <w:rPr>
          <w:bCs/>
          <w:b/>
        </w:rPr>
        <w:t xml:space="preserve">Master Data</w:t>
      </w:r>
      <w:r>
        <w:t xml:space="preserve">).</w:t>
      </w:r>
    </w:p>
    <w:p>
      <w:pPr>
        <w:numPr>
          <w:ilvl w:val="0"/>
          <w:numId w:val="1023"/>
        </w:numPr>
        <w:pStyle w:val="Compact"/>
      </w:pPr>
      <w:r>
        <w:rPr>
          <w:bCs/>
          <w:b/>
        </w:rPr>
        <w:t xml:space="preserve">You cannot see a module described in this guide.</w:t>
      </w:r>
      <w:r>
        <w:t xml:space="preserve"> </w:t>
      </w:r>
      <w:r>
        <w:t xml:space="preserve">Your role does not grant access to it. Contact your System Administrator if you believe you need it.</w:t>
      </w:r>
    </w:p>
    <w:p>
      <w:pPr>
        <w:numPr>
          <w:ilvl w:val="0"/>
          <w:numId w:val="1023"/>
        </w:numPr>
        <w:pStyle w:val="Compact"/>
      </w:pPr>
      <w:r>
        <w:rPr>
          <w:bCs/>
          <w:b/>
        </w:rPr>
        <w:t xml:space="preserve">A voucher will not redeem.</w:t>
      </w:r>
      <w:r>
        <w:t xml:space="preserve"> </w:t>
      </w:r>
      <w:r>
        <w:t xml:space="preserve">The screen shows the exact reason — for example</w:t>
      </w:r>
      <w:r>
        <w:t xml:space="preserve"> </w:t>
      </w:r>
      <w:r>
        <w:rPr>
          <w:iCs/>
          <w:i/>
        </w:rPr>
        <w:t xml:space="preserve">insufficient stock</w:t>
      </w:r>
      <w:r>
        <w:t xml:space="preserve"> </w:t>
      </w:r>
      <w:r>
        <w:t xml:space="preserve">(reduce the quantity or wait for restock),</w:t>
      </w:r>
      <w:r>
        <w:t xml:space="preserve"> </w:t>
      </w:r>
      <w:r>
        <w:rPr>
          <w:iCs/>
          <w:i/>
        </w:rPr>
        <w:t xml:space="preserve">already redeemed</w:t>
      </w:r>
      <w:r>
        <w:t xml:space="preserve">,</w:t>
      </w:r>
      <w:r>
        <w:t xml:space="preserve"> </w:t>
      </w:r>
      <w:r>
        <w:rPr>
          <w:iCs/>
          <w:i/>
        </w:rPr>
        <w:t xml:space="preserve">wrong point</w:t>
      </w:r>
      <w:r>
        <w:t xml:space="preserve"> </w:t>
      </w:r>
      <w:r>
        <w:t xml:space="preserve">(the voucher belongs to a different centre), or</w:t>
      </w:r>
      <w:r>
        <w:t xml:space="preserve"> </w:t>
      </w:r>
      <w:r>
        <w:rPr>
          <w:iCs/>
          <w:i/>
        </w:rPr>
        <w:t xml:space="preserve">expired</w:t>
      </w:r>
      <w:r>
        <w:t xml:space="preserve">. Correct the cause and try again.</w:t>
      </w:r>
    </w:p>
    <w:p>
      <w:pPr>
        <w:numPr>
          <w:ilvl w:val="0"/>
          <w:numId w:val="1023"/>
        </w:numPr>
        <w:pStyle w:val="Compact"/>
      </w:pPr>
      <w:r>
        <w:rPr>
          <w:bCs/>
          <w:b/>
        </w:rPr>
        <w:t xml:space="preserve">You forgot your password or cannot log in.</w:t>
      </w:r>
      <w:r>
        <w:t xml:space="preserve"> </w:t>
      </w:r>
      <w:r>
        <w:t xml:space="preserve">Contact your System Administrator to reset it. Never share accounts — the system attributes every action to the signed-in user.</w:t>
      </w:r>
    </w:p>
    <w:p>
      <w:r>
        <w:pict>
          <v:rect style="width:0;height:1.5pt" o:hralign="center" o:hrstd="t" o:hr="t"/>
        </w:pict>
      </w:r>
    </w:p>
    <w:p>
      <w:pPr>
        <w:pStyle w:val="FirstParagraph"/>
      </w:pPr>
      <w:r>
        <w:rPr>
          <w:iCs/>
          <w:i/>
        </w:rPr>
        <w:t xml:space="preserve">This guide describes the Farmers Registration System as configured for MAFSN. Screen names and available options may evolve as programmes and master data are updated. For configuration changes, contact your System Administrator or Analyst.</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Lesotho Farmers Registration System (FRS)</dc:title>
  <dc:creator>Ministry of Agriculture, Food Security and Nutrition (MAFSN), Kingdom of Lesotho</dc:creator>
  <cp:keywords/>
  <dcterms:created xsi:type="dcterms:W3CDTF">2026-08-23T13:51:13Z</dcterms:created>
  <dcterms:modified xsi:type="dcterms:W3CDTF">2026-08-23T13:51:13Z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Comprehensive User Guide</vt:lpwstr>
  </property>
</Properties>
</file>