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Calibri" w:cs="Calibri" w:eastAsia="Calibri" w:hAnsi="Calibri"/>
          <w:b/>
          <w:bCs/>
          <w:color w:val="1F2A5A"/>
          <w:sz w:val="50"/>
          <w:szCs w:val="50"/>
        </w:rPr>
        <w:t xml:space="preserve">The Joget Platform-Plugins Vision</w:t>
      </w:r>
    </w:p>
    <w:p>
      <w:pPr>
        <w:spacing w:after="120" w:before="70"/>
        <w:jc w:val="center"/>
      </w:pPr>
      <w:r>
        <w:rPr>
          <w:rFonts w:ascii="Calibri" w:cs="Calibri" w:eastAsia="Calibri" w:hAnsi="Calibri"/>
          <w:color w:val="5E35B1"/>
          <w:sz w:val="28"/>
          <w:szCs w:val="28"/>
        </w:rPr>
        <w:t xml:space="preserve">A shared runtime-extension library for spec-to-code-on-Joget development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606B"/>
          <w:sz w:val="22"/>
          <w:szCs w:val="22"/>
        </w:rPr>
        <w:t xml:space="preserve">Why plugins become a platform, what that platform is, and how it works.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5606B"/>
          <w:sz w:val="20"/>
          <w:szCs w:val="20"/>
        </w:rPr>
        <w:t xml:space="preserve">repo  </w:t>
      </w:r>
      <w:r>
        <w:rPr>
          <w:rFonts w:ascii="Consolas" w:cs="Consolas" w:eastAsia="Consolas" w:hAnsi="Consolas"/>
          <w:b/>
          <w:bCs/>
          <w:color w:val="1565C0"/>
          <w:sz w:val="20"/>
          <w:szCs w:val="20"/>
        </w:rPr>
        <w:t xml:space="preserve">joget-platform-plugins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5606B"/>
          <w:sz w:val="19"/>
          <w:szCs w:val="19"/>
        </w:rPr>
        <w:t xml:space="preserve">3 July 2026  ·  draft for discussion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Executive summary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Reusable Joget plugins have been built again and again inside individual projects, then copied when the next project needed them. This document sets out a different model: treat a plugin as an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extension of the Joget development platform, not a component of any one project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A single version-controlled library holds every reusable plugin; projects — and the spec-to-code engine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consume them by pinning a version, never by copying. The library serves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any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spec-to-code-on-Joget development; GovStack Building Blocks are one lens over it, not its boundary.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1.  Why — the problem, and the goal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The problem: scatter, duplication, and trapped capability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Across three production Joget engagements, reusable plugins ended up scattered across six-plus homes — separate project folders, a shared-plugins directory, and a monolithic case-management bundle. Two failure modes followed. First,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duplication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with no single home and no versioning, the only way to reuse a plugin was to copy its source into the next project, where the two copies then diverged. Second, and worse,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trapped capability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genuinely generic building blocks — an approval service, a state machine, a hash-chained event log — were built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inside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 case-management application, so nothing else could reach them without dragging the whole case project along.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That last point is the crux. An approval service is not a case-management feature; it is a horizontal capability that merely happened to be written in a case app. The scatter is an accident of where code was first needed, not a statement about what the code is.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The goal: reuse without duplication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objective is a developer-experience one: make the loop of building a new Joget application fast, trustworthy and fearless by giving every reusable plugin a single, versioned, project-neutral home. When a second project needs a plugin, it should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pin a version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not fork a copy. New capability is added once, to the platform, and is immediately available to every project and to the spec-to-code engine.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2.  What — the vision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is a single repository,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joget-platform-plugins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that holds reusable Joget OSGi plugins as versioned artifacts. It sits between the author-time tools that produce Joget applications and the run-time applications that consume them.</w:t>
      </w:r>
    </w:p>
    <w:tbl>
      <w:tblPr>
        <w:tblW w:type="pct" w:w="100%"/>
        <w:tblBorders>
          <w:top w:val="single" w:color="5E35B1" w:sz="4"/>
          <w:left w:val="single" w:color="5E35B1" w:sz="24"/>
          <w:bottom w:val="single" w:color="5E35B1" w:sz="4"/>
          <w:right w:val="single" w:color="5E35B1" w:sz="4"/>
          <w:insideH w:val="single" w:color="5E35B1" w:sz="4"/>
          <w:insideV w:val="single" w:color="5E35B1" w:sz="4"/>
        </w:tblBorders>
      </w:tblPr>
      <w:tblGrid>
        <w:gridCol w:w="100"/>
      </w:tblGrid>
      <w:tr>
        <w:tc>
          <w:tcPr>
            <w:shd w:fill="F7F4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E35B1"/>
                <w:sz w:val="22"/>
                <w:szCs w:val="22"/>
              </w:rPr>
              <w:t xml:space="preserve">The invariant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plugin here never depends on a consuming project. Projects (and jkit) depend on the platform; the arrow only points one way. A plugin that imports project code is disqualified until it is genericised.</w:t>
            </w:r>
          </w:p>
        </w:tc>
      </w:tr>
    </w:tbl>
    <w:p>
      <w:pPr>
        <w:spacing w:after="80"/>
      </w:pPr>
    </w:p>
    <w:p>
      <w:pPr>
        <w:spacing w:after="60" w:before="140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55606B"/>
          <w:sz w:val="18"/>
          <w:szCs w:val="18"/>
        </w:rPr>
        <w:t xml:space="preserve">Figure 1. </w:t>
      </w:r>
      <w:r>
        <w:rPr>
          <w:rFonts w:ascii="Calibri" w:cs="Calibri" w:eastAsia="Calibri" w:hAnsi="Calibri"/>
          <w:i/>
          <w:iCs/>
          <w:color w:val="55606B"/>
          <w:sz w:val="18"/>
          <w:szCs w:val="18"/>
        </w:rPr>
        <w:t xml:space="preserve">The platform sits between author-time tooling and run-time apps; every app depends on it by version pin, and jkit generates against its registry.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engine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reads the platform's registry to know which plugins exist and how to configure them, then generates application artefacts against that contract without ever compiling the plugins. Any number of applications — tax administration, registration, banking, whatever is next — draw from the same shelf.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Two tiers: Foundation, and Domain packs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Plugins are organised by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capability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not by the project they came from: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5E35B1"/>
          <w:sz w:val="21"/>
          <w:szCs w:val="21"/>
        </w:rPr>
        <w:t xml:space="preserve">Foundation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horizontal, domain-agnostic capability that works for any Joget app. This is where the three plugins being freed from the case app belong: an approval service, a state machine and an integrity log are foundation capabilities, not case-management ones.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00838F"/>
          <w:sz w:val="21"/>
          <w:szCs w:val="21"/>
        </w:rPr>
        <w:t xml:space="preserve">Domain packs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capability aligned to a domain (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pack:registration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pack:payments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…). A pack that maps to a GovStack Building Block also carries a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govstack_bb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tag — a tagging overlay, not the organising axis.</w:t>
      </w:r>
    </w:p>
    <w:p>
      <w:pPr>
        <w:spacing w:after="60" w:before="14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55606B"/>
          <w:sz w:val="18"/>
          <w:szCs w:val="18"/>
        </w:rPr>
        <w:t xml:space="preserve">Figure 2. </w:t>
      </w:r>
      <w:r>
        <w:rPr>
          <w:rFonts w:ascii="Calibri" w:cs="Calibri" w:eastAsia="Calibri" w:hAnsi="Calibri"/>
          <w:i/>
          <w:iCs/>
          <w:color w:val="55606B"/>
          <w:sz w:val="18"/>
          <w:szCs w:val="18"/>
        </w:rPr>
        <w:t xml:space="preserve">The capability taxonomy. Solid = shipped and active; dashed = planned or being extracted. GovStack BB names tag the packs that align to one.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3.  How — the mechanism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Promote and pin, never vendor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plugin builds to a versioned OSGi JAR and is published as an artifact. Projects consume it the way any library is consumed — by declaring a coordinate and version — so the deploy step drops the pinned JAR into the instance. The governing rule: when a second project needs a plugin, it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promoted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into the platform and pinned, never pasted into the second project. One plugin, one home, many consumers.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The registry is the single source of truth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single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registry.yaml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lists every plugin, its coordinates, its tier and category, and — most importantly — its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 contract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element and property keys it exposes. That contract is the plugin's public API, and it is exactly what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generates against. Because the kit reads the contract rather than the Java, the two repositories stay decoupled: changing a contract key is a breaking (major) version change; the Java implementation can evolve freely underneath 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Governance keeps it from rotting back into scatter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Reuse tiers decide fate.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Generic code is promoted as-is; pattern-reusable code is genericised first; project-specific code stays in its project.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Provenance scrub before promotion.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client or project names in shipped code, comments or samples.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Drift check.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Continuous integration asserts the registry and the built modules stay in step, so the catalogue never lies.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Definition of done per plugin.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Builds green with tests; namespace scrubbed; registry entry with contract; consuming project re-pointed and its copy retired.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5E35B1"/>
          <w:sz w:val="24"/>
          <w:szCs w:val="24"/>
        </w:rPr>
        <w:t xml:space="preserve">The roadmap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work runs in phases, easy wins first to prove the build-publish-pin loop cheaply, then the higher-risk extraction of the foundation capabilities trapped in the case app, then the domain packs and remote publishing.</w:t>
      </w:r>
    </w:p>
    <w:p>
      <w:pPr>
        <w:spacing w:after="60" w:before="140"/>
        <w:jc w:val="center"/>
      </w:pPr>
      <w:r>
        <w:drawing>
          <wp:inline distT="0" distB="0" distL="0" distR="0">
            <wp:extent cx="42100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55606B"/>
          <w:sz w:val="18"/>
          <w:szCs w:val="18"/>
        </w:rPr>
        <w:t xml:space="preserve">Figure 3. </w:t>
      </w:r>
      <w:r>
        <w:rPr>
          <w:rFonts w:ascii="Calibri" w:cs="Calibri" w:eastAsia="Calibri" w:hAnsi="Calibri"/>
          <w:i/>
          <w:iCs/>
          <w:color w:val="55606B"/>
          <w:sz w:val="18"/>
          <w:szCs w:val="18"/>
        </w:rPr>
        <w:t xml:space="preserve">Phased roadmap. Phases 0–1 are complete (three plugins consolidated); Phase 2 — reclaiming the foundation capabilities — is next.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4.  What this gives us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new building block no longer starts from a blank generator and a folder of copied plugins. It starts from a shelf of versioned, contract-documented capabilities that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already knows how to wire in. Reuse becomes a one-line version pin; a fix or an improvement is made once and flows to every consumer on their next bump; and the catalogue is honest because CI keeps it so. The platform is domain-neutral, so the same shelf serves a tax system, a registration portal, a bank back-office, or the next GovStack service equally.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5A"/>
          <w:sz w:val="30"/>
          <w:szCs w:val="30"/>
        </w:rPr>
        <w:t xml:space="preserve">5.  Status and naming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Three plugins are already consolidated and the reactor builds green. Names are confirmed: the repository is </w:t>
      </w:r>
      <w:r>
        <w:rPr>
          <w:rFonts w:ascii="Consolas" w:cs="Consolas" w:eastAsia="Consolas" w:hAnsi="Consolas"/>
          <w:b/>
          <w:bCs/>
          <w:color w:val="1565C0"/>
          <w:sz w:val="20"/>
          <w:szCs w:val="20"/>
        </w:rPr>
        <w:t xml:space="preserve">joget-platform-plugins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alongside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joget-spec-kit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joget-claude-skills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D5DAE0" w:sz="4"/>
          <w:left w:val="single" w:color="D5DAE0" w:sz="4"/>
          <w:bottom w:val="single" w:color="D5DAE0" w:sz="4"/>
          <w:right w:val="single" w:color="D5DAE0" w:sz="4"/>
          <w:insideH w:val="single" w:color="D5DAE0" w:sz="4"/>
          <w:insideV w:val="single" w:color="D5DA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2A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pct" w:w="20%"/>
            <w:shd w:fill="1F2A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26%"/>
            <w:shd w:fill="1F2A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pct" w:w="20%"/>
            <w:shd w:fill="1F2A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pct" w:w="34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joget-form-prefill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promoted (module 1)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 · 12 tests</w:t>
            </w:r>
          </w:p>
        </w:tc>
      </w:tr>
      <w:tr>
        <w:tc>
          <w:tcPr>
            <w:tcW w:type="pct" w:w="34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form-creator-api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promoted (module 2)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34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joget-status-framework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registered in place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 · pinned</w:t>
            </w:r>
          </w:p>
        </w:tc>
      </w:tr>
      <w:tr>
        <w:tc>
          <w:tcPr>
            <w:tcW w:type="pct" w:w="34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joget-event-chain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planned — Phase 2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extracting</w:t>
            </w:r>
          </w:p>
        </w:tc>
      </w:tr>
      <w:tr>
        <w:tc>
          <w:tcPr>
            <w:tcW w:type="pct" w:w="34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joget-status-manager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planned — Phase 2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extracting</w:t>
            </w:r>
          </w:p>
        </w:tc>
      </w:tr>
      <w:tr>
        <w:tc>
          <w:tcPr>
            <w:tcW w:type="pct" w:w="34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9"/>
                <w:szCs w:val="19"/>
              </w:rPr>
              <w:t xml:space="preserve">joget-decision-approval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pct" w:w="26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planned — Phase 2</w:t>
            </w:r>
          </w:p>
        </w:tc>
        <w:tc>
          <w:tcPr>
            <w:tcW w:type="pct" w:w="20%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extracting</w:t>
            </w:r>
          </w:p>
        </w:tc>
      </w:tr>
    </w:tbl>
    <w:p>
      <w:pPr>
        <w:spacing w:after="12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living technical detail — the per-plugin migration backlog, the approval-service extraction design, and the phased plan — is maintained in the repository under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docs/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(CONSOLIDATION-PLAN, MIGRATION-BACKLOG, DAS-EXTRACTION-PLAN).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A5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5E35B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7b5a15c814a3b207e07fff87ef97b545fccd0c.png"/><Relationship Id="rId8" Type="http://schemas.openxmlformats.org/officeDocument/2006/relationships/image" Target="media/f33469ad625f8aac3c3e1ba712b3f9bb2dcc3b5c.png"/><Relationship Id="rId9" Type="http://schemas.openxmlformats.org/officeDocument/2006/relationships/image" Target="media/21634a9ea6c603f4389420a4447519812d270f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2026-07-03T11:04:19.724Z</dcterms:created>
  <dcterms:modified xsi:type="dcterms:W3CDTF">2026-07-03T11:04:19.724Z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