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22"/>
          <w:szCs w:val="22"/>
        </w:rPr>
        <w:t xml:space="preserve">MALTA TAX AND CUSTOMS ADMINISTRATION</w:t>
      </w:r>
    </w:p>
    <w:p>
      <w:pPr>
        <w:spacing w:after="200"/>
        <w:jc w:val="center"/>
      </w:pPr>
      <w:r>
        <w:rPr>
          <w:color w:val="595959"/>
          <w:sz w:val="18"/>
          <w:szCs w:val="18"/>
        </w:rPr>
        <w:t xml:space="preserve">Data Platform · IMF Fiscal Affairs Department — Revenue Administration TA</w:t>
      </w:r>
    </w:p>
    <w:p>
      <w:pPr>
        <w:pBdr>
          <w:bottom w:val="single" w:color="2E75B6" w:sz="6" w:space="4"/>
        </w:pBdr>
        <w:spacing w:after="50" w:before="140"/>
        <w:jc w:val="center"/>
      </w:pPr>
      <w:r>
        <w:rPr>
          <w:sz w:val="6"/>
          <w:szCs w:val="6"/>
        </w:rPr>
        <w:t xml:space="preserve"/>
      </w:r>
    </w:p>
    <w:p>
      <w:pPr>
        <w:spacing w:after="40" w:before="120"/>
        <w:jc w:val="center"/>
      </w:pPr>
      <w:r>
        <w:rPr>
          <w:b/>
          <w:bCs/>
          <w:color w:val="1F3864"/>
          <w:sz w:val="44"/>
          <w:szCs w:val="44"/>
        </w:rPr>
        <w:t xml:space="preserve">Data Quality Framework (DQF)</w:t>
      </w:r>
    </w:p>
    <w:p>
      <w:pPr>
        <w:spacing w:after="240"/>
        <w:jc w:val="center"/>
      </w:pPr>
      <w:r>
        <w:rPr>
          <w:b/>
          <w:bCs/>
          <w:color w:val="2E75B6"/>
          <w:sz w:val="22"/>
          <w:szCs w:val="22"/>
        </w:rPr>
        <w:t xml:space="preserve">Version 0.1 (working design) · 15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F2F2F2" w:val="clear"/>
            <w:tcMar>
              <w:top w:type="dxa" w:w="45"/>
              <w:left w:type="dxa" w:w="90"/>
              <w:bottom w:type="dxa" w:w="45"/>
              <w:right w:type="dxa" w:w="90"/>
            </w:tcMar>
            <w:vAlign w:val="center"/>
          </w:tcPr>
          <w:p>
            <w:r>
              <w:rPr>
                <w:b/>
                <w:bCs/>
                <w:sz w:val="18"/>
                <w:szCs w:val="18"/>
              </w:rPr>
              <w:t xml:space="preserve">Author</w:t>
            </w:r>
          </w:p>
        </w:tc>
        <w:tc>
          <w:tcPr>
            <w:tcW w:type="dxa" w:w="71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Aare Lapõnin — IMF Short-Term Expert (design session)</w:t>
            </w:r>
          </w:p>
        </w:tc>
      </w:tr>
      <w:tr>
        <w:tc>
          <w:tcPr>
            <w:tcW w:type="dxa" w:w="2200"/>
            <w:tcBorders>
              <w:top w:val="single" w:color="BFBFBF" w:sz="1"/>
              <w:left w:val="single" w:color="BFBFBF" w:sz="1"/>
              <w:bottom w:val="single" w:color="BFBFBF" w:sz="1"/>
              <w:right w:val="single" w:color="BFBFBF" w:sz="1"/>
            </w:tcBorders>
            <w:shd w:fill="F2F2F2" w:val="clear"/>
            <w:tcMar>
              <w:top w:type="dxa" w:w="45"/>
              <w:left w:type="dxa" w:w="90"/>
              <w:bottom w:type="dxa" w:w="45"/>
              <w:right w:type="dxa" w:w="90"/>
            </w:tcMar>
            <w:vAlign w:val="center"/>
          </w:tcPr>
          <w:p>
            <w:r>
              <w:rPr>
                <w:b/>
                <w:bCs/>
                <w:sz w:val="18"/>
                <w:szCs w:val="18"/>
              </w:rPr>
              <w:t xml:space="preserve">Status</w:t>
            </w:r>
          </w:p>
        </w:tc>
        <w:tc>
          <w:tcPr>
            <w:tcW w:type="dxa" w:w="71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Draft design. Not yet implemented — execution of Phase DQ-0 is gated on MITA providing the development environment (database access + realistic anonymised data + tooling). See §8 and the prerequisites memo to the Commissioner.</w:t>
            </w:r>
          </w:p>
        </w:tc>
      </w:tr>
      <w:tr>
        <w:tc>
          <w:tcPr>
            <w:tcW w:type="dxa" w:w="2200"/>
            <w:tcBorders>
              <w:top w:val="single" w:color="BFBFBF" w:sz="1"/>
              <w:left w:val="single" w:color="BFBFBF" w:sz="1"/>
              <w:bottom w:val="single" w:color="BFBFBF" w:sz="1"/>
              <w:right w:val="single" w:color="BFBFBF" w:sz="1"/>
            </w:tcBorders>
            <w:shd w:fill="F2F2F2" w:val="clear"/>
            <w:tcMar>
              <w:top w:type="dxa" w:w="45"/>
              <w:left w:type="dxa" w:w="90"/>
              <w:bottom w:type="dxa" w:w="45"/>
              <w:right w:type="dxa" w:w="90"/>
            </w:tcMar>
            <w:vAlign w:val="center"/>
          </w:tcPr>
          <w:p>
            <w:r>
              <w:rPr>
                <w:b/>
                <w:bCs/>
                <w:sz w:val="18"/>
                <w:szCs w:val="18"/>
              </w:rPr>
              <w:t xml:space="preserve">Companions</w:t>
            </w:r>
          </w:p>
        </w:tc>
        <w:tc>
          <w:tcPr>
            <w:tcW w:type="dxa" w:w="71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dq-framework-three-option-analysis.md · MTCA_DataQuality_Tooling_Architecture_Analysis.docx · MTCA Data Platform Blueprint v1.0 · MTCA Data Management Capacity-Building Workshop · Note for the Record (SAS for DQ, 9 Jun 2026)</w:t>
            </w:r>
          </w:p>
        </w:tc>
      </w:tr>
    </w:tbl>
    <w:p/>
    <w:p>
      <w:pPr>
        <w:pageBreakBefore/>
        <w:spacing w:before="200"/>
      </w:pPr>
    </w:p>
    <w:p>
      <w:pPr>
        <w:pStyle w:val="Heading1"/>
      </w:pPr>
      <w:r>
        <w:t xml:space="preserve">1. Purpose and position in the architecture</w:t>
      </w:r>
    </w:p>
    <w:p>
      <w:pPr>
        <w:spacing w:after="120"/>
      </w:pPr>
      <w:r>
        <w:rPr>
          <w:sz w:val="20"/>
          <w:szCs w:val="20"/>
        </w:rPr>
        <w:t xml:space="preserve">This document defines the holistic Data Quality Framework for the MTCA Data Platform: the dimensions it measures, the lifecycle stages it covers, the controls it mandates, the components that implement them, the governance that operates them, and the phasing that delivers them. It is the single source of truth for what data quality means on the MTCA platform and how it is assured. Implementation artefacts — extract gates, dbt tests, OpenMetadata suites, the reconciler — are derived from this framework, not the other way round.</w:t>
      </w:r>
    </w:p>
    <w:p>
      <w:pPr>
        <w:spacing w:after="120"/>
      </w:pPr>
      <w:r>
        <w:rPr>
          <w:b/>
          <w:bCs/>
          <w:color w:val="1E293B"/>
          <w:sz w:val="20"/>
          <w:szCs w:val="20"/>
        </w:rPr>
        <w:t xml:space="preserve">The central architectural commitment: </w:t>
      </w:r>
      <w:r>
        <w:rPr>
          <w:sz w:val="20"/>
          <w:szCs w:val="20"/>
        </w:rPr>
        <w:t xml:space="preserve">the Data Catalogue (OpenMetadata) is the integration point and presentation plane of the DQF. Every quality signal, wherever it is produced — in the ingestion service, the dbt DAG, the OpenMetadata profiler, or the reconciler — ultimately lands on the OpenMetadata entity for the table or column it describes, beside that entity's lineage, glossary terms, and ownership. Quality is not a separate system the analyst must visit; it is a property of the catalogued asset, visible at the point of use — including, critically, the DcP3 vendor-handover package, whose quality summary is read straight from these entities.</w:t>
      </w:r>
    </w:p>
    <w:p>
      <w:pPr>
        <w:spacing w:after="120"/>
      </w:pPr>
      <w:r>
        <w:rPr>
          <w:sz w:val="20"/>
          <w:szCs w:val="20"/>
        </w:rPr>
        <w:t xml:space="preserve">Implementation is deliberately federated across components (ingestion, transformation, catalogue, consumption) — but the framework is one. A check belongs to the DQF not because of where it runs, but because it is registered in this framework's control catalogue (§6), carries a dimension tag, and reports to the catalogue. This framework operationalises Mission-5 recommendation R8 (a consolidated, MTCA-owned warehouse) and the data-quality strand of the Data Governance Committee's five-risk triage, and supplies the per-table quality scores the DcP3 handover depends on.</w:t>
      </w:r>
    </w:p>
    <w:p>
      <w:pPr>
        <w:pStyle w:val="Heading2"/>
      </w:pPr>
      <w:r>
        <w:t xml:space="preserve">1.1 Why now — the case for MTCA</w:t>
      </w:r>
    </w:p>
    <w:p>
      <w:pPr>
        <w:spacing w:after="120"/>
      </w:pPr>
      <w:r>
        <w:rPr>
          <w:sz w:val="20"/>
          <w:szCs w:val="20"/>
        </w:rPr>
        <w:t xml:space="preserve">MTCA is about to profile, ingest and describe 5,170 tables across nine Informix databases of largely unknown quality, against a hard deadline: DcP3 requirements verification (~15 July) and a handover package targeted for end of August 2026 that must carry per-table quality scores and the mystery-table triage. There is, today, no quality mechanism at all — no profiling, no gates, no scoring. Building the catalogue without the DQF would hand the vendor an inventory of unknown trustworthiness and migrate data of unknown integrity.</w:t>
      </w:r>
    </w:p>
    <w:p>
      <w:pPr>
        <w:spacing w:after="120"/>
      </w:pPr>
      <w:r>
        <w:rPr>
          <w:sz w:val="20"/>
          <w:szCs w:val="20"/>
        </w:rPr>
        <w:t xml:space="preserve">The design is anchored by a set of representative failure classes that any adequate DQF must catch automatically. These are not hypothetical: each was observed live on a structurally identical stack (a legacy-tax-DB → ClickHouse/dbt/OpenMetadata reload on the sister ARMS project, 10 June 2026), and each is squarely live for MTCA's legacy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300"/>
        <w:gridCol w:w="4310"/>
        <w:gridCol w:w="1500"/>
      </w:tblGrid>
      <w:tr>
        <w:trPr>
          <w:tblHeader/>
        </w:trPr>
        <w:tc>
          <w:tcPr>
            <w:tcW w:type="dxa" w:w="5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w:t>
            </w:r>
          </w:p>
        </w:tc>
        <w:tc>
          <w:tcPr>
            <w:tcW w:type="dxa" w:w="23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Failure class</w:t>
            </w:r>
          </w:p>
        </w:tc>
        <w:tc>
          <w:tcPr>
            <w:tcW w:type="dxa" w:w="431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What it looks like</w:t>
            </w:r>
          </w:p>
        </w:tc>
        <w:tc>
          <w:tcPr>
            <w:tcW w:type="dxa" w:w="15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Dimension</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R1</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Silent truncation / partial extract</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a multi-million-row table silently flips to a degraded mode and stays quietly incomplete</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Completeness (load)</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R2</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Type-domain overflow</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real money values exceed a test-derived Decimal(p,s); Informix→ClickHouse type mismatch</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Validity</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R3</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Schema drift at load</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a column is lost or reordered versus the expected DDL</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Consistency / schema</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R4</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Semantic drift / dead column</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present, typed, non-null but constant (e.g. a status code that never varies)</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Validity / sem. fidelity</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R5</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Unfit mapping / indicator banding</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a field assumed meaningful is populated in ≪1% of real records, so a derived indicator mis-bands</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Accuracy (output)</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R6</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Mixed-era / provenance ambiguity</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Bronze holds rows from different extraction eras/sources without a provenance tag</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Consistency / provenance</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R7</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Empty / placeholder table used as real</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a 0-row table is plausibly consumable and silently used</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Completeness</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R8</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Untriaged mystery table enters scope</w:t>
            </w:r>
          </w:p>
        </w:tc>
        <w:tc>
          <w:tcPr>
            <w:tcW w:type="dxa" w:w="43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one of the ~516 unknown-purpose tables is migrated/described without an A/B/C decision</w:t>
            </w:r>
          </w:p>
        </w:tc>
        <w:tc>
          <w:tcPr>
            <w:tcW w:type="dxa" w:w="15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Fitness / governance</w:t>
            </w:r>
          </w:p>
        </w:tc>
      </w:tr>
    </w:tbl>
    <w:p>
      <w:pPr>
        <w:spacing w:after="40"/>
      </w:pPr>
      <w:r>
        <w:rPr>
          <w:sz w:val="20"/>
          <w:szCs w:val="20"/>
        </w:rPr>
        <w:t xml:space="preserve"/>
      </w:r>
    </w:p>
    <w:p>
      <w:pPr>
        <w:spacing w:after="120"/>
      </w:pPr>
      <w:r>
        <w:rPr>
          <w:b/>
          <w:bCs/>
          <w:color w:val="1E293B"/>
          <w:sz w:val="20"/>
          <w:szCs w:val="20"/>
        </w:rPr>
        <w:t xml:space="preserve">The design's acceptance test: </w:t>
      </w:r>
      <w:r>
        <w:rPr>
          <w:sz w:val="20"/>
          <w:szCs w:val="20"/>
        </w:rPr>
        <w:t xml:space="preserve">a framework that would not catch R1–R8 automatically is not yet the right framework. §6 names a control for each (acceptance check at the end of §6; traceability in Appendix A).</w:t>
      </w:r>
    </w:p>
    <w:p>
      <w:pPr>
        <w:pStyle w:val="Heading2"/>
      </w:pPr>
      <w:r>
        <w:t xml:space="preserve">1.2 Scope</w:t>
      </w:r>
    </w:p>
    <w:p>
      <w:pPr>
        <w:spacing w:after="120"/>
      </w:pPr>
      <w:r>
        <w:rPr>
          <w:sz w:val="20"/>
          <w:szCs w:val="20"/>
        </w:rPr>
        <w:t xml:space="preserve">In scope: all nine Informix source databases and their derived Medallion layers (Bronze → Silver → Gold); the OpenMetadata catalogue and the DcP3 vendor-handover package; the consumption surfaces (Superset, SAS VIYA, ITCAS feeds); the migration-intelligence / reconciliation loop; and the governance around all of these. Out of scope for v0.1: fixing the source systems themselves (we measure quality at the boundary, we do not repair Informix); master-data management beyond what the catalogue does; pseudonymisation/anonymisation correctness (handled under the security/DPIA workstream — though using anonymised data in the dev environment is a precondition, §8); and the SAS VIYA classification question (a data-protection matter — SAS is a consumer, not a DQ tool).</w:t>
      </w:r>
    </w:p>
    <w:p>
      <w:pPr>
        <w:pStyle w:val="Heading1"/>
      </w:pPr>
      <w:r>
        <w:t xml:space="preserve">2. Framework principles</w:t>
      </w:r>
    </w:p>
    <w:p>
      <w:pPr>
        <w:spacing w:after="120"/>
      </w:pPr>
      <w:r>
        <w:rPr>
          <w:sz w:val="20"/>
          <w:szCs w:val="20"/>
        </w:rPr>
        <w:t xml:space="preserve">Each principle is derived from the Data Platform Blueprint design principles and the MITA policy constraints. When designing or reviewing any control, test these first.</w:t>
      </w:r>
    </w:p>
    <w:p>
      <w:pPr>
        <w:spacing w:after="120"/>
      </w:pPr>
      <w:r>
        <w:rPr>
          <w:b/>
          <w:bCs/>
          <w:color w:val="1E293B"/>
          <w:sz w:val="20"/>
          <w:szCs w:val="20"/>
        </w:rPr>
        <w:t xml:space="preserve">DQ-1. Two failure semantics, never confused. </w:t>
      </w:r>
      <w:r>
        <w:rPr>
          <w:sz w:val="20"/>
          <w:szCs w:val="20"/>
        </w:rPr>
        <w:t xml:space="preserve">Every control is explicitly either a build-time contract / gate (failure stops the step: a load is not declared done, a dbt build fails, a spec is not promoted) or a fitness-for-use monitor (failure raises an alert/incident; data flows on). Gates protect invariants; monitors observe fitness. A gate on a fitness signal blocks legitimate work; a monitor guarding an invariant lets corruption propagate. The control catalogue (§6) assigns semantics per control, as a reviewed design decision.</w:t>
      </w:r>
    </w:p>
    <w:p>
      <w:pPr>
        <w:spacing w:after="120"/>
      </w:pPr>
      <w:r>
        <w:rPr>
          <w:b/>
          <w:bCs/>
          <w:color w:val="1E293B"/>
          <w:sz w:val="20"/>
          <w:szCs w:val="20"/>
        </w:rPr>
        <w:t xml:space="preserve">DQ-2. Quality lands on the catalogue entity. </w:t>
      </w:r>
      <w:r>
        <w:rPr>
          <w:sz w:val="20"/>
          <w:szCs w:val="20"/>
        </w:rPr>
        <w:t xml:space="preserve">OpenMetadata is the single pane. Producers push results to the entity they describe: dbt results via dbt-artifact ingestion; ingestion manifests via custom properties; OM-native tests natively; the six-dimension badge via the reconciler. No separate quality dashboard as the primary surface; the DcP3 handover quality summary and any Superset view read what the catalogue already holds.</w:t>
      </w:r>
    </w:p>
    <w:p>
      <w:pPr>
        <w:spacing w:after="120"/>
      </w:pPr>
      <w:r>
        <w:rPr>
          <w:b/>
          <w:bCs/>
          <w:color w:val="1E293B"/>
          <w:sz w:val="20"/>
          <w:szCs w:val="20"/>
        </w:rPr>
        <w:t xml:space="preserve">DQ-3. Rules are configuration, not code. </w:t>
      </w:r>
      <w:r>
        <w:rPr>
          <w:sz w:val="20"/>
          <w:szCs w:val="20"/>
        </w:rPr>
        <w:t xml:space="preserve">Thresholds, mandatory-field sets, reconciliation tolerances, freshness SLAs, dimension targets, severity mappings — all live in configuration (YAML in Git, the dq registry, or OM test definitions), never as literals inside scripts or models.</w:t>
      </w:r>
    </w:p>
    <w:p>
      <w:pPr>
        <w:spacing w:after="120"/>
      </w:pPr>
      <w:r>
        <w:rPr>
          <w:b/>
          <w:bCs/>
          <w:color w:val="1E293B"/>
          <w:sz w:val="20"/>
          <w:szCs w:val="20"/>
        </w:rPr>
        <w:t xml:space="preserve">DQ-4. Every custody transfer is reconciled (motivated by R1). </w:t>
      </w:r>
      <w:r>
        <w:rPr>
          <w:sz w:val="20"/>
          <w:szCs w:val="20"/>
        </w:rPr>
        <w:t xml:space="preserve">Wherever data crosses a boundary — source→Bronze, Bronze→Silver, Silver→Gold, Gold→consumption — the receiving side proves it received what the sending side held: row counts at minimum, checksums/aggregates where feasible. A load or build without a reconciliation record is not done. “It ran without error” is not evidence (R1 runs without error).</w:t>
      </w:r>
    </w:p>
    <w:p>
      <w:pPr>
        <w:spacing w:after="120"/>
      </w:pPr>
      <w:r>
        <w:rPr>
          <w:b/>
          <w:bCs/>
          <w:color w:val="1E293B"/>
          <w:sz w:val="20"/>
          <w:szCs w:val="20"/>
        </w:rPr>
        <w:t xml:space="preserve">DQ-5. Evidence, not assertion. </w:t>
      </w:r>
      <w:r>
        <w:rPr>
          <w:sz w:val="20"/>
          <w:szCs w:val="20"/>
        </w:rPr>
        <w:t xml:space="preserve">Every control produces a durable, queryable record: load manifests, dbt run_results.json, OM time-series, incident history. The audit question “was this data fit for use on date D?” must be answerable from stored evidence. This is also the governance currency — what we show the DGC, the Commissioner, and the ITCAS vendor at DcP3.</w:t>
      </w:r>
    </w:p>
    <w:p>
      <w:pPr>
        <w:spacing w:after="120"/>
      </w:pPr>
      <w:r>
        <w:rPr>
          <w:b/>
          <w:bCs/>
          <w:color w:val="1E293B"/>
          <w:sz w:val="20"/>
          <w:szCs w:val="20"/>
        </w:rPr>
        <w:t xml:space="preserve">DQ-6. Steward self-service on a code-managed baseline. </w:t>
      </w:r>
      <w:r>
        <w:rPr>
          <w:sz w:val="20"/>
          <w:szCs w:val="20"/>
        </w:rPr>
        <w:t xml:space="preserve">The baseline suite — the controls this framework mandates — is code: Git-versioned, PR-reviewed, reproducible at handover. Data Management stewards extend it with supplementary tests through the OM UI without IT tickets. Baseline controls may not be weakened from the UI.</w:t>
      </w:r>
    </w:p>
    <w:p>
      <w:pPr>
        <w:spacing w:after="120"/>
      </w:pPr>
      <w:r>
        <w:rPr>
          <w:b/>
          <w:bCs/>
          <w:color w:val="1E293B"/>
          <w:sz w:val="20"/>
          <w:szCs w:val="20"/>
        </w:rPr>
        <w:t xml:space="preserve">DQ-7. Two products, plus glue we own. </w:t>
      </w:r>
      <w:r>
        <w:rPr>
          <w:sz w:val="20"/>
          <w:szCs w:val="20"/>
        </w:rPr>
        <w:t xml:space="preserve">dbt and OpenMetadata are the only DQ products. No Great Expectations; no SAS Quality tool. (Per the three-option resolution and the 9 June note for the record: SAS VIYA is an analytics consumer, never a DQ or cataloguing tool; “already licensed” is a commercial fact, not an architectural argument.) The bespoke surface is small: ingestion gates inside the existing service, and one thin reconciler. All Apache-2.0 / self-hosted.</w:t>
      </w:r>
    </w:p>
    <w:p>
      <w:pPr>
        <w:spacing w:after="120"/>
      </w:pPr>
      <w:r>
        <w:rPr>
          <w:b/>
          <w:bCs/>
          <w:color w:val="1E293B"/>
          <w:sz w:val="20"/>
          <w:szCs w:val="20"/>
        </w:rPr>
        <w:t xml:space="preserve">DQ-8. Profile the typed layers richly, the raw layer cheaply. </w:t>
      </w:r>
      <w:r>
        <w:rPr>
          <w:sz w:val="20"/>
          <w:szCs w:val="20"/>
        </w:rPr>
        <w:t xml:space="preserve">Bronze gets counts, freshness and schema checks; Silver/Gold get full profiling and distributional monitoring. Heavy metrics on large ClickHouse MergeTree tables run by-partition and off-peak, on a tier-aware schedule. A one-table profiling spike validates cost before fleet rollout (§9, O3).</w:t>
      </w:r>
    </w:p>
    <w:p>
      <w:pPr>
        <w:spacing w:after="120"/>
      </w:pPr>
      <w:r>
        <w:rPr>
          <w:b/>
          <w:bCs/>
          <w:color w:val="1E293B"/>
          <w:sz w:val="20"/>
          <w:szCs w:val="20"/>
        </w:rPr>
        <w:t xml:space="preserve">DQ-9. Fitness extends to meaning, not just form (motivated by R4, R5, R8). </w:t>
      </w:r>
      <w:r>
        <w:rPr>
          <w:sz w:val="20"/>
          <w:szCs w:val="20"/>
        </w:rPr>
        <w:t xml:space="preserve">A column can be present, typed, non-null, unique — and still semantically dead (a constant status code) or unfit for use (populated in ≪1% of records). The framework therefore includes semantic-fidelity controls: constant-column detection, fill-rate profiling against the business definition, the mystery-table A/B/C triage as a scope gate, and distribution snapshots of outputs (indicator/score distributions), not just inputs.</w:t>
      </w:r>
    </w:p>
    <w:p>
      <w:pPr>
        <w:pStyle w:val="Heading1"/>
      </w:pPr>
      <w:r>
        <w:t xml:space="preserve">3. The six-dimension model</w:t>
      </w:r>
    </w:p>
    <w:p>
      <w:pPr>
        <w:spacing w:after="120"/>
      </w:pPr>
      <w:r>
        <w:rPr>
          <w:sz w:val="20"/>
          <w:szCs w:val="20"/>
        </w:rPr>
        <w:t xml:space="preserve">The framework retains the six-dimension model (DAMA-DMBOK), operationalised for MTCA: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400"/>
        <w:gridCol w:w="3510"/>
      </w:tblGrid>
      <w:tr>
        <w:trPr>
          <w:tblHeader/>
        </w:trPr>
        <w:tc>
          <w:tcPr>
            <w:tcW w:type="dxa" w:w="14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Dimension</w:t>
            </w:r>
          </w:p>
        </w:tc>
        <w:tc>
          <w:tcPr>
            <w:tcW w:type="dxa" w:w="44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Definition (MTCA operational form)</w:t>
            </w:r>
          </w:p>
        </w:tc>
        <w:tc>
          <w:tcPr>
            <w:tcW w:type="dxa" w:w="351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Example measures</w:t>
            </w:r>
          </w:p>
        </w:tc>
      </w:tr>
      <w:tr>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Completeness</w:t>
            </w:r>
          </w:p>
        </w:tc>
        <w:tc>
          <w:tcPr>
            <w:tcW w:type="dxa" w:w="4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Required data is present: rows survive custody transfers; mandatory fields populated</w:t>
            </w:r>
          </w:p>
        </w:tc>
        <w:tc>
          <w:tcPr>
            <w:tcW w:type="dxa" w:w="35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source-vs-Bronze row delta; % mandatory fields non-null per business definition; empty-table detection</w:t>
            </w:r>
          </w:p>
        </w:tc>
      </w:tr>
      <w:tr>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Validity</w:t>
            </w:r>
          </w:p>
        </w:tc>
        <w:tc>
          <w:tcPr>
            <w:tcW w:type="dxa" w:w="4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Values conform to domain, type, and format rules</w:t>
            </w:r>
          </w:p>
        </w:tc>
        <w:tc>
          <w:tcPr>
            <w:tcW w:type="dxa" w:w="35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type-domain fit (no overflow); date within plausible range; TIN/VAT format; enum membership vs reference tables</w:t>
            </w:r>
          </w:p>
        </w:tc>
      </w:tr>
      <w:tr>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Accuracy</w:t>
            </w:r>
          </w:p>
        </w:tc>
        <w:tc>
          <w:tcPr>
            <w:tcW w:type="dxa" w:w="4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Values agree with an authoritative reference</w:t>
            </w:r>
          </w:p>
        </w:tc>
        <w:tc>
          <w:tcPr>
            <w:tcW w:type="dxa" w:w="35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cross-source reconciliation (VAT declared vs e-invoice/customs aggregates); box-total consistency; cache-vs-canonical</w:t>
            </w:r>
          </w:p>
        </w:tc>
      </w:tr>
      <w:tr>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Consistency</w:t>
            </w:r>
          </w:p>
        </w:tc>
        <w:tc>
          <w:tcPr>
            <w:tcW w:type="dxa" w:w="4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The same fact agrees across representations and over time</w:t>
            </w:r>
          </w:p>
        </w:tc>
        <w:tc>
          <w:tcPr>
            <w:tcW w:type="dxa" w:w="35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Silver row count vs deduplicated Bronze; era consistency; FK resolution across the nine databases</w:t>
            </w:r>
          </w:p>
        </w:tc>
      </w:tr>
      <w:tr>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Uniqueness</w:t>
            </w:r>
          </w:p>
        </w:tc>
        <w:tc>
          <w:tcPr>
            <w:tcW w:type="dxa" w:w="4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Entities are represented once at their declared grain</w:t>
            </w:r>
          </w:p>
        </w:tc>
        <w:tc>
          <w:tcPr>
            <w:tcW w:type="dxa" w:w="35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duplicate rate on the declared PK; post-dedup grain check at Silver (one row per taxpayer-period)</w:t>
            </w:r>
          </w:p>
        </w:tc>
      </w:tr>
      <w:tr>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Timeliness</w:t>
            </w:r>
          </w:p>
        </w:tc>
        <w:tc>
          <w:tcPr>
            <w:tcW w:type="dxa" w:w="4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Data is as fresh as its tier SLA requires, and its age is visible</w:t>
            </w:r>
          </w:p>
        </w:tc>
        <w:tc>
          <w:tcPr>
            <w:tcW w:type="dxa" w:w="35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_extracted_at age vs the tier SLA; snapshot-period coverage; staleness badge</w:t>
            </w:r>
          </w:p>
        </w:tc>
      </w:tr>
    </w:tbl>
    <w:p>
      <w:pPr>
        <w:spacing w:after="40"/>
      </w:pPr>
      <w:r>
        <w:rPr>
          <w:sz w:val="20"/>
          <w:szCs w:val="20"/>
        </w:rPr>
        <w:t xml:space="preserve"/>
      </w:r>
    </w:p>
    <w:p>
      <w:pPr>
        <w:spacing w:after="120"/>
      </w:pPr>
      <w:r>
        <w:rPr>
          <w:b/>
          <w:bCs/>
          <w:color w:val="1E293B"/>
          <w:sz w:val="20"/>
          <w:szCs w:val="20"/>
        </w:rPr>
        <w:t xml:space="preserve">Targets. </w:t>
      </w:r>
      <w:r>
        <w:rPr>
          <w:sz w:val="20"/>
          <w:szCs w:val="20"/>
        </w:rPr>
        <w:t xml:space="preserve">Each dimension carries a PoC target (build/validation) and a Full target (production). The starting point is the platform's existing entry gates (subtask-2.1) and the Data Quality Score trajectory; numbers are proposals to be confirmed with the Data Owners and the DGC — placeholders with rationale, not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Dimension</w:t>
            </w:r>
          </w:p>
        </w:tc>
        <w:tc>
          <w:tcPr>
            <w:tcW w:type="dxa" w:w="378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PoC target (proposed)</w:t>
            </w:r>
          </w:p>
        </w:tc>
        <w:tc>
          <w:tcPr>
            <w:tcW w:type="dxa" w:w="378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Full target (proposed)</w:t>
            </w:r>
          </w:p>
        </w:tc>
      </w:tr>
      <w:tr>
        <w:tc>
          <w:tcPr>
            <w:tcW w:type="dxa" w:w="18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Completeness</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 95% mandatory-field fill at Silver; ≥ 99% rows reconciled per load</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 99% fill; 100% reconciled</w:t>
            </w:r>
          </w:p>
        </w:tc>
      </w:tr>
      <w:tr>
        <w:tc>
          <w:tcPr>
            <w:tcW w:type="dxa" w:w="18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Validity</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 99% rows pass validity tests (format/range/code)</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 99.5%</w:t>
            </w:r>
          </w:p>
        </w:tc>
      </w:tr>
      <w:tr>
        <w:tc>
          <w:tcPr>
            <w:tcW w:type="dxa" w:w="18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Accuracy</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cross-source reconciliations defined &amp; measured for the VAT chain</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tolerance bands agreed with Data Owners and met</w:t>
            </w:r>
          </w:p>
        </w:tc>
      </w:tr>
      <w:tr>
        <w:tc>
          <w:tcPr>
            <w:tcW w:type="dxa" w:w="18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Consistency</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 98% cross-reference match; era-uniform Bronze per source</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 cross-database FK resolution ≥ agreed floor</w:t>
            </w:r>
          </w:p>
        </w:tc>
      </w:tr>
      <w:tr>
        <w:tc>
          <w:tcPr>
            <w:tcW w:type="dxa" w:w="18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Uniqueness</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&lt; 1% duplicates; 100% at declared grain post-dedup (Silver)</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100%</w:t>
            </w:r>
          </w:p>
        </w:tc>
      </w:tr>
      <w:tr>
        <w:tc>
          <w:tcPr>
            <w:tcW w:type="dxa" w:w="18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Timeliness</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freshness visible per table (age badge); tier SLAs defined</w:t>
            </w:r>
          </w:p>
        </w:tc>
        <w:tc>
          <w:tcPr>
            <w:tcW w:type="dxa" w:w="378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per-tier SLAs met — Hot &lt; 5 min, Warm &lt; 1 h, Cold &lt; 24 h, Archive &lt; 7 d</w:t>
            </w:r>
          </w:p>
        </w:tc>
      </w:tr>
    </w:tbl>
    <w:p>
      <w:pPr>
        <w:spacing w:after="40"/>
      </w:pPr>
      <w:r>
        <w:rPr>
          <w:sz w:val="20"/>
          <w:szCs w:val="20"/>
        </w:rPr>
        <w:t xml:space="preserve"/>
      </w:r>
    </w:p>
    <w:p>
      <w:pPr>
        <w:spacing w:after="120"/>
      </w:pPr>
      <w:r>
        <w:rPr>
          <w:b/>
          <w:bCs/>
          <w:color w:val="1E293B"/>
          <w:sz w:val="20"/>
          <w:szCs w:val="20"/>
        </w:rPr>
        <w:t xml:space="preserve">Composite score. </w:t>
      </w:r>
      <w:r>
        <w:rPr>
          <w:sz w:val="20"/>
          <w:szCs w:val="20"/>
        </w:rPr>
        <w:t xml:space="preserve">Scores roll up per table per dimension on a 0–100 scale, computed by the reconciler (§7.4) from dimension-tagged results, and written back to the OpenMetadata entity as the quality badge. The headline Data Quality Score target is ~60% → 90% by Q4 2026.</w:t>
      </w:r>
    </w:p>
    <w:p>
      <w:pPr>
        <w:pStyle w:val="Heading1"/>
      </w:pPr>
      <w:r>
        <w:t xml:space="preserve">4. Lifecycle coverage</w:t>
      </w:r>
    </w:p>
    <w:p>
      <w:pPr>
        <w:spacing w:after="80"/>
      </w:pPr>
      <w:r>
        <w:rPr>
          <w:sz w:val="20"/>
          <w:szCs w:val="20"/>
        </w:rPr>
        <w:t xml:space="preserve">Per stage: the quality risks it owns (with the failure class it answers) and the controls (catalogued in §6).</w:t>
      </w:r>
    </w:p>
    <w:p>
      <w:pPr>
        <w:spacing w:after="120"/>
      </w:pPr>
      <w:r>
        <w:rPr>
          <w:b/>
          <w:bCs/>
          <w:color w:val="1E293B"/>
          <w:sz w:val="20"/>
          <w:szCs w:val="20"/>
        </w:rPr>
        <w:t xml:space="preserve">S1. Source onboarding &amp; cataloguing. </w:t>
      </w:r>
      <w:r>
        <w:rPr>
          <w:sz w:val="20"/>
          <w:szCs w:val="20"/>
        </w:rPr>
        <w:t xml:space="preserve">Risks: unknown semantics, undocumented columns, wrong assumptions baked into DDL, untriaged mystery tables (R3, R4, R8). Controls: schema capture into OM at onboarding (custom Informix connector); onboarding profile of the real source (fill rates, constant columns, ranges) before DDL/staging are authored; mystery-table A/B/C triage as a scope gate (Category A excluded, B prioritised, C investigated); business/form-definition cross-check (semantics confirmed with the Data Owner, not inferred); ownership assigned in OM (named business Data Owner + Data-Management steward).</w:t>
      </w:r>
    </w:p>
    <w:p>
      <w:pPr>
        <w:spacing w:after="120"/>
      </w:pPr>
      <w:r>
        <w:rPr>
          <w:b/>
          <w:bCs/>
          <w:color w:val="1E293B"/>
          <w:sz w:val="20"/>
          <w:szCs w:val="20"/>
        </w:rPr>
        <w:t xml:space="preserve">S2. Acquisition / ingestion (extract → Bronze). </w:t>
      </w:r>
      <w:r>
        <w:rPr>
          <w:sz w:val="20"/>
          <w:szCs w:val="20"/>
        </w:rPr>
        <w:t xml:space="preserve">Risks: silent truncation (R1), type overflow (R2), schema drift (R3), partial-batch ambiguity. Controls: pre-load schema comparison (gate); type-domain verification with a widening protocol for money/precision (gate); post-load source↔target reconciliation (gate); load manifest per table per batch (evidence); non-silent failure — any degraded fallback exits non-zero and marks the manifest failed.</w:t>
      </w:r>
    </w:p>
    <w:p>
      <w:pPr>
        <w:spacing w:after="120"/>
      </w:pPr>
      <w:r>
        <w:rPr>
          <w:b/>
          <w:bCs/>
          <w:color w:val="1E293B"/>
          <w:sz w:val="20"/>
          <w:szCs w:val="20"/>
        </w:rPr>
        <w:t xml:space="preserve">S3. Storage (Bronze). </w:t>
      </w:r>
      <w:r>
        <w:rPr>
          <w:sz w:val="20"/>
          <w:szCs w:val="20"/>
        </w:rPr>
        <w:t xml:space="preserve">Risks: mixed eras (R6), empty placeholder tables (R7), staleness invisibility. Controls: era/provenance tagging (_batch_id, _source_system, _extracted_at) surfaced as OM custom properties; zero-row detection on consumable tables; tier classification (Hot/Warm/Cold/Archive) recorded; deprecated/dead tables (Category-A mystery, test/backup) tagged Deprecated and excluded from active lineage.</w:t>
      </w:r>
    </w:p>
    <w:p>
      <w:pPr>
        <w:spacing w:after="120"/>
      </w:pPr>
      <w:r>
        <w:rPr>
          <w:b/>
          <w:bCs/>
          <w:color w:val="1E293B"/>
          <w:sz w:val="20"/>
          <w:szCs w:val="20"/>
        </w:rPr>
        <w:t xml:space="preserve">S4. Transformation (Silver / Gold via dbt). </w:t>
      </w:r>
      <w:r>
        <w:rPr>
          <w:sz w:val="20"/>
          <w:szCs w:val="20"/>
        </w:rPr>
        <w:t xml:space="preserve">Risks: contract violations (grain, keys, ranges), logic on dead semantics. Controls: dbt tests as build gates (uniqueness at grain, not-null join keys, accepted ranges/values, relationships); dbt source-freshness; row-budget band Silver vs Bronze (dedup ratio); results pushed to OM via dbt-artifact ingestion. Modelling discipline: persisted staging → intermediate → marts so each join is a test boundary.</w:t>
      </w:r>
    </w:p>
    <w:p>
      <w:pPr>
        <w:spacing w:after="120"/>
      </w:pPr>
      <w:r>
        <w:rPr>
          <w:b/>
          <w:bCs/>
          <w:color w:val="1E293B"/>
          <w:sz w:val="20"/>
          <w:szCs w:val="20"/>
        </w:rPr>
        <w:t xml:space="preserve">S5. Catalogue enrichment &amp; the DcP3 handover. </w:t>
      </w:r>
      <w:r>
        <w:rPr>
          <w:sz w:val="20"/>
          <w:szCs w:val="20"/>
        </w:rPr>
        <w:t xml:space="preserve">Risks: handing the vendor unfit/undescribed columns; a spec referencing a dead/unfit column (R4, R5). Controls: the quality badge and onboarding profile visible at the point of field selection and on the handover package; a handover gate — every table in the DcP3 package carries a quality score and a triage state; a red-flagged column entering a spec/handover requires explicit steward override with a comment.</w:t>
      </w:r>
    </w:p>
    <w:p>
      <w:pPr>
        <w:spacing w:after="120"/>
      </w:pPr>
      <w:r>
        <w:rPr>
          <w:b/>
          <w:bCs/>
          <w:color w:val="1E293B"/>
          <w:sz w:val="20"/>
          <w:szCs w:val="20"/>
        </w:rPr>
        <w:t xml:space="preserve">S6. Consumption (Gold marts, Superset, SAS VIYA, ITCAS feeds). </w:t>
      </w:r>
      <w:r>
        <w:rPr>
          <w:sz w:val="20"/>
          <w:szCs w:val="20"/>
        </w:rPr>
        <w:t xml:space="preserve">Risks: implausible outputs consumed as truth (R5); querying periods with no data. Controls: output distribution snapshots after each Gold build, compared to the previous snapshot — large shifts open an incident (monitor); period-coverage metadata on marts; composite outputs carry the badge of their weakest critical input (lineage-derived, later phase).</w:t>
      </w:r>
    </w:p>
    <w:p>
      <w:pPr>
        <w:spacing w:after="120"/>
      </w:pPr>
      <w:r>
        <w:rPr>
          <w:b/>
          <w:bCs/>
          <w:color w:val="1E293B"/>
          <w:sz w:val="20"/>
          <w:szCs w:val="20"/>
        </w:rPr>
        <w:t xml:space="preserve">S7. Feedback / analytics &amp; risk models (SAS VIYA / ML outputs). </w:t>
      </w:r>
      <w:r>
        <w:rPr>
          <w:sz w:val="20"/>
          <w:szCs w:val="20"/>
        </w:rPr>
        <w:t xml:space="preserve">Risks: models calibrated on placeholder or biased data; outputs treated as decisions. Controls: provenance and minimum-volume gates before model statistics are trusted; outputs recorded with the data-quality state at decision time (evidence); mandatory human-in-the-loop review (per the Blueprint's AI governance) — DQ supplies the input-quality signal that review depends on.</w:t>
      </w:r>
    </w:p>
    <w:p>
      <w:pPr>
        <w:spacing w:after="120"/>
      </w:pPr>
      <w:r>
        <w:rPr>
          <w:b/>
          <w:bCs/>
          <w:color w:val="1E293B"/>
          <w:sz w:val="20"/>
          <w:szCs w:val="20"/>
        </w:rPr>
        <w:t xml:space="preserve">S8. Retention / archival. </w:t>
      </w:r>
      <w:r>
        <w:rPr>
          <w:sz w:val="20"/>
          <w:szCs w:val="20"/>
        </w:rPr>
        <w:t xml:space="preserve">Risks: silent loss of evidence; irreproducible past states. Controls: manifests, test results and snapshots retained per a defined schedule (proposal: manifests and scorecards ≥ 5 years — tax-audit horizon); deprecated/backup-table lifecycle (kept until a clean re-pull is verified, then dropped by decision, not by accident).</w:t>
      </w:r>
    </w:p>
    <w:p>
      <w:pPr>
        <w:pStyle w:val="Heading1"/>
      </w:pPr>
      <w:r>
        <w:t xml:space="preserve">5. Architecture: components and the catalogue as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tcMar>
              <w:top w:type="dxa" w:w="20"/>
              <w:left w:type="dxa" w:w="20"/>
              <w:bottom w:type="dxa" w:w="20"/>
              <w:right w:type="dxa" w:w="20"/>
            </w:tcMar>
          </w:tcPr>
          <w:p>
            <w:pPr>
              <w:spacing w:after="70"/>
              <w:jc w:val="center"/>
            </w:pPr>
            <w:r>
              <w:drawing>
                <wp:inline distT="0" distB="0" distL="0" distR="0">
                  <wp:extent cx="5886450" cy="3467100"/>
                  <wp:effectExtent t="0" r="0" b="0" l="0"/>
                  <wp:docPr id="1" name="DQF architecture" descr="The DQF architecture: every quality signal lands on the OpenMetadata catalogue entity; a thin reconciler writes the six-dimension badge back." title="DQF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86450" cy="3467100"/>
                          </a:xfrm>
                          <a:prstGeom prst="rect">
                            <a:avLst/>
                          </a:prstGeom>
                        </pic:spPr>
                      </pic:pic>
                    </a:graphicData>
                  </a:graphic>
                </wp:inline>
              </w:drawing>
            </w:r>
          </w:p>
          <w:p>
            <w:pPr>
              <w:spacing w:after="40"/>
              <w:jc w:val="center"/>
            </w:pPr>
            <w:r>
              <w:rPr>
                <w:i/>
                <w:iCs/>
                <w:color w:val="595959"/>
                <w:sz w:val="16"/>
                <w:szCs w:val="16"/>
              </w:rPr>
              <w:t xml:space="preserve">Figure 1 — The DQF architecture: every quality signal lands on the catalogue entity; the reconciler writes the six-dimension badge back.</w:t>
            </w:r>
          </w:p>
        </w:tc>
      </w:tr>
    </w:tbl>
    <w:p>
      <w:pPr>
        <w:spacing w:after="40"/>
      </w:pPr>
      <w:r>
        <w:rPr>
          <w:sz w:val="20"/>
          <w:szCs w:val="20"/>
        </w:rPr>
        <w:t xml:space="preserve"/>
      </w:r>
    </w:p>
    <w:p>
      <w:pPr>
        <w:spacing w:after="120"/>
      </w:pPr>
      <w:r>
        <w:rPr>
          <w:sz w:val="20"/>
          <w:szCs w:val="20"/>
        </w:rPr>
        <w:t xml:space="preserve">Division of labour (settled in the three-option analysis, restated as framework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1300"/>
        <w:gridCol w:w="30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Job</w:t>
            </w:r>
          </w:p>
        </w:tc>
        <w:tc>
          <w:tcPr>
            <w:tcW w:type="dxa" w:w="23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Owner</w:t>
            </w:r>
          </w:p>
        </w:tc>
        <w:tc>
          <w:tcPr>
            <w:tcW w:type="dxa" w:w="13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Semantics</w:t>
            </w:r>
          </w:p>
        </w:tc>
        <w:tc>
          <w:tcPr>
            <w:tcW w:type="dxa" w:w="30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Definition lives in</w:t>
            </w:r>
          </w:p>
        </w:tc>
      </w:tr>
      <w:tr>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Ingestion gates &amp; manifests</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ingestion service (Python)</w:t>
            </w:r>
          </w:p>
        </w:tc>
        <w:tc>
          <w:tcPr>
            <w:tcW w:type="dxa" w:w="1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gate</w:t>
            </w:r>
          </w:p>
        </w:tc>
        <w:tc>
          <w:tcPr>
            <w:tcW w:type="dxa" w:w="3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Git (script + YAML config)</w:t>
            </w:r>
          </w:p>
        </w:tc>
      </w:tr>
      <w:tr>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Build-time contracts</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dbt tests (+ dbt-expectations)</w:t>
            </w:r>
          </w:p>
        </w:tc>
        <w:tc>
          <w:tcPr>
            <w:tcW w:type="dxa" w:w="1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gate (fail build)</w:t>
            </w:r>
          </w:p>
        </w:tc>
        <w:tc>
          <w:tcPr>
            <w:tcW w:type="dxa" w:w="3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Git, beside the model</w:t>
            </w:r>
          </w:p>
        </w:tc>
      </w:tr>
      <w:tr>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Profiling &amp; fitness monitoring</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profiler + suites</w:t>
            </w:r>
          </w:p>
        </w:tc>
        <w:tc>
          <w:tcPr>
            <w:tcW w:type="dxa" w:w="1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monitor (incident)</w:t>
            </w:r>
          </w:p>
        </w:tc>
        <w:tc>
          <w:tcPr>
            <w:tcW w:type="dxa" w:w="3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baseline: Git via OM SDK/YAML; supplementary: OM UI</w:t>
            </w:r>
          </w:p>
        </w:tc>
      </w:tr>
      <w:tr>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Six-dimension rollup + badge</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thin reconciler</w:t>
            </w:r>
          </w:p>
        </w:tc>
        <w:tc>
          <w:tcPr>
            <w:tcW w:type="dxa" w:w="1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derived</w:t>
            </w:r>
          </w:p>
        </w:tc>
        <w:tc>
          <w:tcPr>
            <w:tcW w:type="dxa" w:w="3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Git</w:t>
            </w:r>
          </w:p>
        </w:tc>
      </w:tr>
      <w:tr>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Incident workflow</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OM Incident Manager</w:t>
            </w:r>
          </w:p>
        </w:tc>
        <w:tc>
          <w:tcPr>
            <w:tcW w:type="dxa" w:w="1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process</w:t>
            </w:r>
          </w:p>
        </w:tc>
        <w:tc>
          <w:tcPr>
            <w:tcW w:type="dxa" w:w="3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w:t>
            </w:r>
          </w:p>
        </w:tc>
      </w:tr>
      <w:tr>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Quality-at-field-selection / handover</w:t>
            </w:r>
          </w:p>
        </w:tc>
        <w:tc>
          <w:tcPr>
            <w:tcW w:type="dxa" w:w="2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catalogue + handover reading OM</w:t>
            </w:r>
          </w:p>
        </w:tc>
        <w:tc>
          <w:tcPr>
            <w:tcW w:type="dxa" w:w="13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display</w:t>
            </w:r>
          </w:p>
        </w:tc>
        <w:tc>
          <w:tcPr>
            <w:tcW w:type="dxa" w:w="3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(read-only)</w:t>
            </w:r>
          </w:p>
        </w:tc>
      </w:tr>
    </w:tbl>
    <w:p>
      <w:pPr>
        <w:spacing w:after="40"/>
      </w:pPr>
      <w:r>
        <w:rPr>
          <w:sz w:val="20"/>
          <w:szCs w:val="20"/>
        </w:rPr>
        <w:t xml:space="preserve"/>
      </w:r>
    </w:p>
    <w:p>
      <w:pPr>
        <w:spacing w:after="120"/>
      </w:pPr>
      <w:r>
        <w:rPr>
          <w:b/>
          <w:bCs/>
          <w:color w:val="1E293B"/>
          <w:sz w:val="20"/>
          <w:szCs w:val="20"/>
        </w:rPr>
        <w:t xml:space="preserve">Storage decision (proposal): </w:t>
      </w:r>
      <w:r>
        <w:rPr>
          <w:sz w:val="20"/>
          <w:szCs w:val="20"/>
        </w:rPr>
        <w:t xml:space="preserve">load manifests and distribution snapshots live in a PostgreSQL dq schema beside the ingestion State Manager (watermarks), not in ClickHouse — they are operational, transactional records queried by the reconciler, not analytical data. OpenMetadata holds the derived display copy (PostgreSQL is the source of truth for manifests; OM custom properties are the presentation).</w:t>
      </w:r>
    </w:p>
    <w:p>
      <w:pPr>
        <w:pStyle w:val="Heading2"/>
      </w:pPr>
      <w:r>
        <w:t xml:space="preserve">5.1 How the implementation is organised</w:t>
      </w:r>
    </w:p>
    <w:p>
      <w:pPr>
        <w:spacing w:after="120"/>
      </w:pPr>
      <w:r>
        <w:rPr>
          <w:sz w:val="20"/>
          <w:szCs w:val="20"/>
        </w:rPr>
        <w:t xml:space="preserve">The framework is delivered by configuring two products already in the stack — OpenMetadata and dbt — and adding a deliberately small amount of code we own (ingestion gates inside the existing extraction service, and one thin reconciler). Nothing else is installed. The four producers in the diagram write to one place; the catalogue is the system of record.</w:t>
      </w:r>
    </w:p>
    <w:p>
      <w:pPr>
        <w:spacing w:after="120"/>
      </w:pPr>
      <w:r>
        <w:rPr>
          <w:b/>
          <w:bCs/>
          <w:color w:val="1E293B"/>
          <w:sz w:val="20"/>
          <w:szCs w:val="20"/>
        </w:rPr>
        <w:t xml:space="preserve">OpenMetadata is used out-of-the-box for the bulk of the work. </w:t>
      </w:r>
      <w:r>
        <w:rPr>
          <w:sz w:val="20"/>
          <w:szCs w:val="20"/>
        </w:rPr>
        <w:t xml:space="preserve">The platform already runs OpenMetadata as the catalogue; the DQF turns on capabilities that ship with it. The table below names each capability and exactly how the framework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3350"/>
        <w:gridCol w:w="4060"/>
      </w:tblGrid>
      <w:tr>
        <w:trPr>
          <w:tblHeader/>
        </w:trPr>
        <w:tc>
          <w:tcPr>
            <w:tcW w:type="dxa" w:w="19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OpenMetadata capability</w:t>
            </w:r>
          </w:p>
        </w:tc>
        <w:tc>
          <w:tcPr>
            <w:tcW w:type="dxa" w:w="33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What it does</w:t>
            </w:r>
          </w:p>
        </w:tc>
        <w:tc>
          <w:tcPr>
            <w:tcW w:type="dxa" w:w="40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How the DQF uses it</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Profiler workflow</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Column/table statistics on a schedule: row, null and distinct counts and proportions; min/max, mean, stddev; histograms; value frequencies; lengths — with sampling and by-partition execution on large ClickHouse tables</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Produces the raw measures for Completeness (null %), Uniqueness (distinct %), Validity (ranges) and Timeliness; richer on Silver/Gold, light on Bronze (DQ-8). These feed the six-dimension scores.</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Test Suites — built-in tests</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Table &amp; column tests: row-count, not-null, unique, value-in-set, regex match, value-between, column-count/exists</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The monitoring controls and the steward-authored supplementary tests; the baseline set is authored as code (SDK/YAML in Git)</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Test Suites — custom-SQL test</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Any SQL returning a pass/fail result, run against ClickHouse</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Cross-field, cross-table and cross-source rules: Accuracy reconciliations (VAT declared vs e-invoice/customs) and Consistency checks</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Incident Manager</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 failed test opens an incident with severity, assignee, status and resolution</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Implements the monitor failure-semantics (DQ-1) and the §7.2 incident process — the steward's work queue</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dbt artifact ingestion</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Imports dbt models, tests, run results and lineage into OpenMetadata</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Lands the dbt build-gate results on the same entities (DQC-S4-06), so gate and monitor evidence sit together</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Lineage (table &amp; column)</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Upstream/downstream graph built from the connector and dbt</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Composite / weakest-input badges (DQC-S6-03); impact analysis; the “where does this number come from” audit answer</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Glossary &amp; Classification tags</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Business terms; taggable entities</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Business-glossary sign-off; Deprecated tagging of dead/Category-A tables (DQC-S3-04); tier and data-classification tags</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Custom Properties (extensions)</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Custom attributes added to the table entity type</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Surface the manifest summary, batch id, load status, reconciliation status, tier — and the dq_score badge (DQC-S2-04, S3-01/-03)</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Alerts / Observability</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Event notifications (test failed, schema change) to email / chat / webhook</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Routes incidents to the steward queue without anyone watching a screen</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Python SDK / REST API</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Programmatic create/read of tests, results and properties (openmetadata-ingestion)</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The reconciler reads dimension-tagged results and writes the badge; the baseline suite is managed as code (DQ-6); used in CI</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Ingestion scheduler</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Schedules profiler and test-suite runs</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Tier-aware cadence — Hot frequently, Archive rarely (DQ-8)</w:t>
            </w:r>
          </w:p>
        </w:tc>
      </w:tr>
      <w:tr>
        <w:tc>
          <w:tcPr>
            <w:tcW w:type="dxa" w:w="19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RBAC via Keycloak SSO</w:t>
            </w:r>
          </w:p>
        </w:tc>
        <w:tc>
          <w:tcPr>
            <w:tcW w:type="dxa" w:w="33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Roles and access policies</w:t>
            </w:r>
          </w:p>
        </w:tc>
        <w:tc>
          <w:tcPr>
            <w:tcW w:type="dxa" w:w="40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Stewards add supplementary UI tests; baseline controls are protected from weakening (DQ-6)</w:t>
            </w:r>
          </w:p>
        </w:tc>
      </w:tr>
    </w:tbl>
    <w:p>
      <w:pPr>
        <w:spacing w:after="40"/>
      </w:pPr>
      <w:r>
        <w:rPr>
          <w:sz w:val="20"/>
          <w:szCs w:val="20"/>
        </w:rPr>
        <w:t xml:space="preserve"/>
      </w:r>
    </w:p>
    <w:p>
      <w:pPr>
        <w:spacing w:after="120"/>
      </w:pPr>
      <w:r>
        <w:rPr>
          <w:b/>
          <w:bCs/>
          <w:color w:val="1E293B"/>
          <w:sz w:val="20"/>
          <w:szCs w:val="20"/>
        </w:rPr>
        <w:t xml:space="preserve">dbt provides the build-time gates. </w:t>
      </w:r>
      <w:r>
        <w:rPr>
          <w:sz w:val="20"/>
          <w:szCs w:val="20"/>
        </w:rPr>
        <w:t xml:space="preserve">dbt's native tests (unique, not_null, accepted_values, relationships), the dbt-expectations package, and singular SQL tests run inside dbt build / CI and fail the build on violation — the gate semantics of DQ-1. Their results are ingested into OpenMetadata, so a gate failure is visible on the same entity as the monitor signals.</w:t>
      </w:r>
    </w:p>
    <w:p>
      <w:pPr>
        <w:spacing w:after="120"/>
      </w:pPr>
      <w:r>
        <w:rPr>
          <w:b/>
          <w:bCs/>
          <w:color w:val="1E293B"/>
          <w:sz w:val="20"/>
          <w:szCs w:val="20"/>
        </w:rPr>
        <w:t xml:space="preserve">The small bespoke surface we build and own: </w:t>
      </w:r>
      <w:r>
        <w:rPr>
          <w:sz w:val="20"/>
          <w:szCs w:val="20"/>
        </w:rPr>
        <w:t xml:space="preserve">(i) ingestion gates and the load manifest inside the existing Python extraction service (schema compare, type-domain, reconciliation, no-silent-fallback → PostgreSQL dq schema); (ii) the onboarding profiler and the mystery-table A/B/C triage script; (iii) one thin reconciler (Python, scheduled via systemd/cron) that reads dimension-tagged test results through the OpenMetadata SDK, computes the per-dimension 0–100 scores against the configured targets, and writes the badge back to the entity; and (iv) a dimension-tagging convention for tests. Everything else is OpenMetadata or dbt configuration — no new product.</w:t>
      </w:r>
    </w:p>
    <w:p>
      <w:pPr>
        <w:pStyle w:val="Heading2"/>
      </w:pPr>
      <w:r>
        <w:t xml:space="preserve">5.2 Worked example — one table, end to end</w:t>
      </w:r>
    </w:p>
    <w:p>
      <w:pPr>
        <w:spacing w:after="120"/>
      </w:pPr>
      <w:r>
        <w:rPr>
          <w:sz w:val="20"/>
          <w:szCs w:val="20"/>
        </w:rPr>
        <w:t xml:space="preserve">How a VAT-returns table moves through the controls (the same path every table follows):</w:t>
      </w:r>
    </w:p>
    <w:p>
      <w:pPr>
        <w:pStyle w:val="ListParagraph"/>
        <w:numPr>
          <w:ilvl w:val="0"/>
          <w:numId w:val="2"/>
        </w:numPr>
        <w:spacing w:after="50"/>
      </w:pPr>
      <w:r>
        <w:rPr>
          <w:b/>
          <w:bCs/>
        </w:rPr>
        <w:t xml:space="preserve">Onboarding (S1) — </w:t>
      </w:r>
      <w:r>
        <w:t xml:space="preserve">the onboarding profiler and the OpenMetadata Profiler measure fill rates and constant columns before any DDL is authored; the A/B/C triage confirms the table is active; the Data Owner confirms the column semantics; ownership is set in OpenMetadata.</w:t>
      </w:r>
    </w:p>
    <w:p>
      <w:pPr>
        <w:pStyle w:val="ListParagraph"/>
        <w:numPr>
          <w:ilvl w:val="0"/>
          <w:numId w:val="2"/>
        </w:numPr>
        <w:spacing w:after="50"/>
      </w:pPr>
      <w:r>
        <w:rPr>
          <w:b/>
          <w:bCs/>
        </w:rPr>
        <w:t xml:space="preserve">Ingestion (S2) — </w:t>
      </w:r>
      <w:r>
        <w:t xml:space="preserve">the extraction service compares the schema, verifies types (widening for money), loads to ClickHouse Bronze, reconciles count == source, and writes a load manifest to PostgreSQL dq; any degraded mode fails the run (no silent CSV fallback).</w:t>
      </w:r>
    </w:p>
    <w:p>
      <w:pPr>
        <w:pStyle w:val="ListParagraph"/>
        <w:numPr>
          <w:ilvl w:val="0"/>
          <w:numId w:val="2"/>
        </w:numPr>
        <w:spacing w:after="50"/>
      </w:pPr>
      <w:r>
        <w:rPr>
          <w:b/>
          <w:bCs/>
        </w:rPr>
        <w:t xml:space="preserve">Bronze (S3) — </w:t>
      </w:r>
      <w:r>
        <w:t xml:space="preserve">provenance (batch id, _extracted_at, host) and the tier are surfaced as OpenMetadata custom properties; a zero-row test guards against an empty placeholder.</w:t>
      </w:r>
    </w:p>
    <w:p>
      <w:pPr>
        <w:pStyle w:val="ListParagraph"/>
        <w:numPr>
          <w:ilvl w:val="0"/>
          <w:numId w:val="2"/>
        </w:numPr>
        <w:spacing w:after="50"/>
      </w:pPr>
      <w:r>
        <w:rPr>
          <w:b/>
          <w:bCs/>
        </w:rPr>
        <w:t xml:space="preserve">Transformation (S4) — </w:t>
      </w:r>
      <w:r>
        <w:t xml:space="preserve">dbt builds the Silver model; dbt tests gate grain uniqueness, not-null keys, accepted ranges/codes and the Bronze→Silver row budget; results are ingested into OpenMetadata.</w:t>
      </w:r>
    </w:p>
    <w:p>
      <w:pPr>
        <w:pStyle w:val="ListParagraph"/>
        <w:numPr>
          <w:ilvl w:val="0"/>
          <w:numId w:val="2"/>
        </w:numPr>
        <w:spacing w:after="50"/>
      </w:pPr>
      <w:r>
        <w:rPr>
          <w:b/>
          <w:bCs/>
        </w:rPr>
        <w:t xml:space="preserve">Monitoring (S4/S6) — </w:t>
      </w:r>
      <w:r>
        <w:t xml:space="preserve">the OpenMetadata Profiler runs on schedule (richer on Silver); built-in tests check freshness, null proportions and value sets; a custom-SQL test reconciles VAT declared against customs/e-invoice aggregates (Accuracy). Any failure opens an incident.</w:t>
      </w:r>
    </w:p>
    <w:p>
      <w:pPr>
        <w:pStyle w:val="ListParagraph"/>
        <w:numPr>
          <w:ilvl w:val="0"/>
          <w:numId w:val="2"/>
        </w:numPr>
        <w:spacing w:after="50"/>
      </w:pPr>
      <w:r>
        <w:rPr>
          <w:b/>
          <w:bCs/>
        </w:rPr>
        <w:t xml:space="preserve">Scoring — </w:t>
      </w:r>
      <w:r>
        <w:t xml:space="preserve">the reconciler reads the dimension-tagged results, computes the six 0–100 scores against the targets, and writes the badge onto the OpenMetadata entity.</w:t>
      </w:r>
    </w:p>
    <w:p>
      <w:pPr>
        <w:pStyle w:val="ListParagraph"/>
        <w:numPr>
          <w:ilvl w:val="0"/>
          <w:numId w:val="2"/>
        </w:numPr>
        <w:spacing w:after="50"/>
      </w:pPr>
      <w:r>
        <w:rPr>
          <w:b/>
          <w:bCs/>
        </w:rPr>
        <w:t xml:space="preserve">Handover / use — </w:t>
      </w:r>
      <w:r>
        <w:t xml:space="preserve">the badge and profile are visible at field selection and in the DcP3 package; a red-flagged column requires a steward override with a comment.</w:t>
      </w:r>
    </w:p>
    <w:p>
      <w:pPr>
        <w:pStyle w:val="Heading2"/>
      </w:pPr>
      <w:r>
        <w:t xml:space="preserve">5.3 Why a SAS data-quality tool is not needed</w:t>
      </w:r>
    </w:p>
    <w:p>
      <w:pPr>
        <w:spacing w:after="120"/>
      </w:pPr>
      <w:r>
        <w:rPr>
          <w:sz w:val="20"/>
          <w:szCs w:val="20"/>
        </w:rPr>
        <w:t xml:space="preserve">Every function a SAS data-quality tool would perform is already delivered by the OpenMetadata + dbt combination already in the stack — and delivered better, because it lands on the catalogue beside lineage, glossary and ownership, at the point of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What a SAS data-quality tool provides</w:t>
            </w:r>
          </w:p>
        </w:tc>
        <w:tc>
          <w:tcPr>
            <w:tcW w:type="dxa" w:w="54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Provided on the MTCA platform by</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Column/table profiling &amp; statistics</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Profiler — native, time-series, on the entity</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Rule-based validation (completeness, format, range, uniqueness)</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built-in tests + dbt tests (build gates) + dbt-expectations</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Complex / custom rules</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custom-SQL tests + dbt singular tests</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Cross-source reconciliation &amp; matching</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custom-SQL tests + ingestion reconciliation gates</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Monitoring, alerting &amp; incident management</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Incident Manager + Observability alerts</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Quality scorecards &amp; badges</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the reconciler's six-dimension badge on each entity + the monthly scorecard</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Lineage-aware impact / where-used</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lineage (native — SAS has none over this platform)</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Business-glossary integration</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OpenMetadata glossary (native)</w:t>
            </w:r>
          </w:p>
        </w:tc>
      </w:tr>
      <w:tr>
        <w:tc>
          <w:tcPr>
            <w:tcW w:type="dxa" w:w="3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Quality at the point of use</w:t>
            </w:r>
          </w:p>
        </w:tc>
        <w:tc>
          <w:tcPr>
            <w:tcW w:type="dxa" w:w="54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native — quality lives on the same entity analysts already browse</w:t>
            </w:r>
          </w:p>
        </w:tc>
      </w:tr>
    </w:tbl>
    <w:p>
      <w:pPr>
        <w:spacing w:after="40"/>
      </w:pPr>
      <w:r>
        <w:rPr>
          <w:sz w:val="20"/>
          <w:szCs w:val="20"/>
        </w:rPr>
        <w:t xml:space="preserve"/>
      </w:r>
    </w:p>
    <w:p>
      <w:pPr>
        <w:spacing w:after="120"/>
      </w:pPr>
      <w:r>
        <w:rPr>
          <w:sz w:val="20"/>
          <w:szCs w:val="20"/>
        </w:rPr>
        <w:t xml:space="preserve">Adding SAS would not fill a gap — it would create liabilities:</w:t>
      </w:r>
    </w:p>
    <w:p>
      <w:pPr>
        <w:pStyle w:val="ListParagraph"/>
        <w:numPr>
          <w:ilvl w:val="0"/>
          <w:numId w:val="2"/>
        </w:numPr>
        <w:spacing w:after="50"/>
      </w:pPr>
      <w:r>
        <w:rPr>
          <w:sz w:val="20"/>
          <w:szCs w:val="20"/>
        </w:rPr>
        <w:t xml:space="preserve">Off-platform. SAS sits outside the ClickHouse/dbt/OpenMetadata stack; its results would not land on the catalogue entity (breaking DQ-2, the single-pane commitment) and it would need its own connectors and an extra data path.</w:t>
      </w:r>
    </w:p>
    <w:p>
      <w:pPr>
        <w:pStyle w:val="ListParagraph"/>
        <w:numPr>
          <w:ilvl w:val="0"/>
          <w:numId w:val="2"/>
        </w:numPr>
        <w:spacing w:after="50"/>
      </w:pPr>
      <w:r>
        <w:rPr>
          <w:sz w:val="20"/>
          <w:szCs w:val="20"/>
        </w:rPr>
        <w:t xml:space="preserve">Policy-blocked. Measuring quality means processing the real data. Under MITA AI-10 + SEC-02, SAS VIYA — commercially licensed, MTCA-deployed, not MITA-provisioned — may not process Restricted (all taxpayer) data without provisioning or a formal deviation. “Within the current contract” does not grant that lawful basis.</w:t>
      </w:r>
    </w:p>
    <w:p>
      <w:pPr>
        <w:pStyle w:val="ListParagraph"/>
        <w:numPr>
          <w:ilvl w:val="0"/>
          <w:numId w:val="2"/>
        </w:numPr>
        <w:spacing w:after="50"/>
      </w:pPr>
      <w:r>
        <w:rPr>
          <w:sz w:val="20"/>
          <w:szCs w:val="20"/>
        </w:rPr>
        <w:t xml:space="preserve">Fragmented source of truth. Quality rules would live in a third location, separate from the dbt model that shapes the data and the catalogue that describes it (breaking DQ-9/single-source-of-truth).</w:t>
      </w:r>
    </w:p>
    <w:p>
      <w:pPr>
        <w:pStyle w:val="ListParagraph"/>
        <w:numPr>
          <w:ilvl w:val="0"/>
          <w:numId w:val="2"/>
        </w:numPr>
        <w:spacing w:after="50"/>
      </w:pPr>
      <w:r>
        <w:rPr>
          <w:sz w:val="20"/>
          <w:szCs w:val="20"/>
        </w:rPr>
        <w:t xml:space="preserve">Cost, skills and complexity. A proprietary licence and scarce SAS-DQ skills, a third framework to learn on top of dbt and OpenMetadata; the team's own hands-on evaluation found the SAS quality tool too complex to deliver value.</w:t>
      </w:r>
    </w:p>
    <w:p>
      <w:pPr>
        <w:pStyle w:val="ListParagraph"/>
        <w:numPr>
          <w:ilvl w:val="0"/>
          <w:numId w:val="2"/>
        </w:numPr>
        <w:spacing w:after="50"/>
      </w:pPr>
      <w:r>
        <w:rPr>
          <w:sz w:val="20"/>
          <w:szCs w:val="20"/>
        </w:rPr>
        <w:t xml:space="preserve">No lineage or glossary over this platform — so no impact analysis, and no quality at the point of field selection, which is the whole reason the catalogue is the hub.</w:t>
      </w:r>
    </w:p>
    <w:p>
      <w:pPr>
        <w:spacing w:after="120"/>
      </w:pPr>
      <w:r>
        <w:rPr>
          <w:b/>
          <w:bCs/>
          <w:color w:val="1E293B"/>
          <w:sz w:val="20"/>
          <w:szCs w:val="20"/>
        </w:rPr>
        <w:t xml:space="preserve">Conclusion. </w:t>
      </w:r>
      <w:r>
        <w:rPr>
          <w:sz w:val="20"/>
          <w:szCs w:val="20"/>
        </w:rPr>
        <w:t xml:space="preserve">SAS VIYA remains a valued analytics consumer of the Gold layer (risk scoring, segmentation). It is not a data-quality tool, and the platform needs none beyond OpenMetadata + dbt. “Already licensed” buys none of the integration that makes data quality usable here; adopting SAS for quality would add cost and risk while covering nothing the chosen tools do not already cover, on-platform and open-source.</w:t>
      </w:r>
    </w:p>
    <w:p>
      <w:pPr>
        <w:pStyle w:val="Heading1"/>
      </w:pPr>
      <w:r>
        <w:t xml:space="preserve">6. Control catalogue (baseline v0.1)</w:t>
      </w:r>
    </w:p>
    <w:p>
      <w:pPr>
        <w:spacing w:after="80"/>
      </w:pPr>
      <w:r>
        <w:rPr>
          <w:sz w:val="20"/>
          <w:szCs w:val="20"/>
        </w:rPr>
        <w:t xml:space="preserve">Identifier convention: DQC-&lt;stage&gt;-&lt;nn&gt;. Every control carries dimension(s), mechanism, semantics. This catalogue is the configuration of record for the baseline suite; the implementation backlog is derived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250"/>
        <w:gridCol w:w="1150"/>
        <w:gridCol w:w="560"/>
        <w:gridCol w:w="1640"/>
        <w:gridCol w:w="710"/>
      </w:tblGrid>
      <w:tr>
        <w:trPr>
          <w:tblHeader/>
        </w:trPr>
        <w:tc>
          <w:tcPr>
            <w:tcW w:type="dxa" w:w="10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ID</w:t>
            </w:r>
          </w:p>
        </w:tc>
        <w:tc>
          <w:tcPr>
            <w:tcW w:type="dxa" w:w="32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Control</w:t>
            </w:r>
          </w:p>
        </w:tc>
        <w:tc>
          <w:tcPr>
            <w:tcW w:type="dxa" w:w="11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Dim.</w:t>
            </w:r>
          </w:p>
        </w:tc>
        <w:tc>
          <w:tcPr>
            <w:tcW w:type="dxa" w:w="5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Stage</w:t>
            </w:r>
          </w:p>
        </w:tc>
        <w:tc>
          <w:tcPr>
            <w:tcW w:type="dxa" w:w="164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Mechanism</w:t>
            </w:r>
          </w:p>
        </w:tc>
        <w:tc>
          <w:tcPr>
            <w:tcW w:type="dxa" w:w="71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6"/>
                <w:szCs w:val="16"/>
              </w:rPr>
              <w:t xml:space="preserve">Sem.</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DQC-S1-01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Onboarding profile of real source (fill rates, constant columns, ranges) before DDL/staging</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Validity, sem.</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S1</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profiling script → OM</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DQC-S1-02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Mystery-table A/B/C triage as a scope gate (pipeline activity × Visual Expert)</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Fitness/gov.</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S1</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triage script → OM tags</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DQC-S1-03</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Business/form-definition cross-check: semantics confirmed with the Data Owner</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Accuracy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S1</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checklist + OM glossary</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DQC-S1-04</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Ownership assigned (business Data Owner, DM steward) per source/domain</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governance</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S1</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OM ownership</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DQC-S2-01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Pre-load schema comparison source vs target DDL</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Consistency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S2</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ingestion service</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DQC-S2-02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Type-domain verification; widening protocol for money/precision</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Validity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S2</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ingestion + DDL convention</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DQC-S2-03</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Post-load reconciliation: ClickHouse count == source count (tol. 0)</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Completeness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S2</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ingestion service</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DQC-S2-04</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Load manifest per table/batch (counts, duration, status, host, batch_id)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S2</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ingestion → PG dq → OM</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DQC-S2-05</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No silent fallback: any degraded mode fails the run (exit ≠ 0, manifest FAILED)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Completeness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S2</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ingestion service</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DQC-S3-01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Provenance surfaced: latest _batch_id, _extracted_at, source host as OM props</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Timeliness, Cons.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S3</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reconciler</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monitor</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DQC-S3-02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Zero-row / placeholder detection on consumable tables</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Completeness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S3</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OM test (rows &gt; 0)</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monitor</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DQC-S3-03</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Tier classification (Hot/Warm/Cold/Archive) recorded per table</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Timeliness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S3</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reconciler / OM props</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display</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DQC-S3-04</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Deprecated/backup &amp; Category-A tables tagged Deprecated; excluded from lineage</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Consistency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S3</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OM tags</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monitor</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DQC-S4-01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Grain uniqueness at Silver (declared PK per model)</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Uniqueness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S4</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test</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DQC-S4-02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Not-null join keys; accepted ranges/codes (dates, enums)</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Validity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S4</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test</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DQC-S4-03</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Referential relationships Silver↔Silver where contracted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Consistency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S4</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test</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DQC-S4-04</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Source freshness vs tier SLA</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Timeliness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S4</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 OM SLA test</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monitor</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DQC-S4-05</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Row-budget band Bronze→Silver (dedup ratio within band)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Completeness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S4</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singular test</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DQC-S4-06</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results pushed to OM entities</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S4</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OM dbt-artifact ingest</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DQC-S5-01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Quality badge + fill/constancy visible at field selection and on the DcP3 package</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sem. fidelity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S5</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catalogue/handover reads OM</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display</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DQC-S5-02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Handover gate: every DcP3 table carries a quality score + triage state</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all</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S5</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reconciler + handover build</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DQC-S5-03</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Red-flagged column entering a spec/handover requires steward override + comment</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Validity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S5</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catalogue lifecycle</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DQC-S6-01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Output distribution snapshot per indicator/period after Gold build; shift alert</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Accuracy (out)</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S6</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snapshot → PG dq + OM</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monitor</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DQC-S6-02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Period-coverage metadata on marts (periods with data)</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Timeliness</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S6</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dbt meta / OM props</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display</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DQC-S6-03</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Composite badge = weakest critical input (lineage-derived)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all</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S6</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reconciler (later)</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display</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DQC-S7-01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Provenance &amp; minimum-volume gate before analytics/risk-model stats are trusted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Accuracy</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S7</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backend check</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gate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DQC-S7-02</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Model/analytic decisions record the DQ state at decision time</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S7</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audit schema</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r>
      <w:tr>
        <w:tc>
          <w:tcPr>
            <w:tcW w:type="dxa" w:w="10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5"/>
                <w:szCs w:val="15"/>
              </w:rPr>
              <w:t xml:space="preserve">DQC-S8-01</w:t>
            </w:r>
          </w:p>
        </w:tc>
        <w:tc>
          <w:tcPr>
            <w:tcW w:type="dxa" w:w="32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 retention schedule (manifests, scorecards ≥ 5y proposed)</w:t>
            </w:r>
          </w:p>
        </w:tc>
        <w:tc>
          <w:tcPr>
            <w:tcW w:type="dxa" w:w="11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evidence</w:t>
            </w:r>
          </w:p>
        </w:tc>
        <w:tc>
          <w:tcPr>
            <w:tcW w:type="dxa" w:w="5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S8</w:t>
            </w:r>
          </w:p>
        </w:tc>
        <w:tc>
          <w:tcPr>
            <w:tcW w:type="dxa" w:w="164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PG retention policy</w:t>
            </w:r>
          </w:p>
        </w:tc>
        <w:tc>
          <w:tcPr>
            <w:tcW w:type="dxa" w:w="71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5"/>
                <w:szCs w:val="15"/>
              </w:rPr>
              <w:t xml:space="preserve">process</w:t>
            </w:r>
          </w:p>
        </w:tc>
      </w:tr>
    </w:tbl>
    <w:p>
      <w:pPr>
        <w:spacing w:after="40"/>
      </w:pPr>
      <w:r>
        <w:rPr>
          <w:sz w:val="20"/>
          <w:szCs w:val="20"/>
        </w:rPr>
        <w:t xml:space="preserve"/>
      </w:r>
    </w:p>
    <w:p>
      <w:pPr>
        <w:spacing w:after="120"/>
      </w:pPr>
      <w:r>
        <w:rPr>
          <w:b/>
          <w:bCs/>
          <w:color w:val="1E293B"/>
          <w:sz w:val="20"/>
          <w:szCs w:val="20"/>
        </w:rPr>
        <w:t xml:space="preserve">Acceptance check against §1.1: </w:t>
      </w:r>
      <w:r>
        <w:rPr>
          <w:sz w:val="20"/>
          <w:szCs w:val="20"/>
        </w:rPr>
        <w:t xml:space="preserve">R1→DQC-S2-03/-05; R2→DQC-S2-02; R3→DQC-S2-01; R4→DQC-S1-01+S1-03; R5→DQC-S1-01/-03 + S5-01/-03 + S6-01; R6→DQC-S3-01/-04; R7→DQC-S3-02; R8→DQC-S1-02. All eight covered, each by a named, automated control.</w:t>
      </w:r>
    </w:p>
    <w:p>
      <w:pPr>
        <w:pStyle w:val="Heading1"/>
      </w:pPr>
      <w:r>
        <w:t xml:space="preserve">7. Governance</w:t>
      </w:r>
    </w:p>
    <w:p>
      <w:pPr>
        <w:pStyle w:val="Heading2"/>
      </w:pPr>
      <w:r>
        <w:t xml:space="preserve">7.1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7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Role</w:t>
            </w:r>
          </w:p>
        </w:tc>
        <w:tc>
          <w:tcPr>
            <w:tcW w:type="dxa" w:w="27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Held by</w:t>
            </w:r>
          </w:p>
        </w:tc>
        <w:tc>
          <w:tcPr>
            <w:tcW w:type="dxa" w:w="47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Responsibilities</w:t>
            </w:r>
          </w:p>
        </w:tc>
      </w:tr>
      <w:tr>
        <w:tc>
          <w:tcPr>
            <w:tcW w:type="dxa" w:w="1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Data Owner (per domain)</w:t>
            </w:r>
          </w:p>
        </w:tc>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Named business counterpart (VAT Operations, Customs, Income Tax directorates)</w:t>
            </w:r>
          </w:p>
        </w:tc>
        <w:tc>
          <w:tcPr>
            <w:tcW w:type="dxa" w:w="47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Semantics authority (DQC-S1-03), classification, refresh commitments, target sign-off</w:t>
            </w:r>
          </w:p>
        </w:tc>
      </w:tr>
      <w:tr>
        <w:tc>
          <w:tcPr>
            <w:tcW w:type="dxa" w:w="1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Data Steward</w:t>
            </w:r>
          </w:p>
        </w:tc>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MTCA Data Management unit (Mifsud-Falzon, Gatt, Mansueto)</w:t>
            </w:r>
          </w:p>
        </w:tc>
        <w:tc>
          <w:tcPr>
            <w:tcW w:type="dxa" w:w="47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Supplementary OM tests, fitness-incident triage, promotion overrides (DQC-S5-03), dimension-target proposals</w:t>
            </w:r>
          </w:p>
        </w:tc>
      </w:tr>
      <w:tr>
        <w:tc>
          <w:tcPr>
            <w:tcW w:type="dxa" w:w="1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Platform Engineer</w:t>
            </w:r>
          </w:p>
        </w:tc>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Data engineering (ClickHouse/dbt); contractor + staff under shadow-pair-lead</w:t>
            </w:r>
          </w:p>
        </w:tc>
        <w:tc>
          <w:tcPr>
            <w:tcW w:type="dxa" w:w="47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Baseline suite (Git), gates, reconciler, profiler operation</w:t>
            </w:r>
          </w:p>
        </w:tc>
      </w:tr>
      <w:tr>
        <w:tc>
          <w:tcPr>
            <w:tcW w:type="dxa" w:w="19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Quality Forum</w:t>
            </w:r>
          </w:p>
        </w:tc>
        <w:tc>
          <w:tcPr>
            <w:tcW w:type="dxa" w:w="27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The above + DPO interface, monthly — rides on the DGC</w:t>
            </w:r>
          </w:p>
        </w:tc>
        <w:tc>
          <w:tcPr>
            <w:tcW w:type="dxa" w:w="47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Scorecard review, target adjustment, incident retrospective, baseline promotion</w:t>
            </w:r>
          </w:p>
        </w:tc>
      </w:tr>
    </w:tbl>
    <w:p>
      <w:pPr>
        <w:spacing w:after="40"/>
      </w:pPr>
      <w:r>
        <w:rPr>
          <w:sz w:val="20"/>
          <w:szCs w:val="20"/>
        </w:rPr>
        <w:t xml:space="preserve"/>
      </w:r>
    </w:p>
    <w:p>
      <w:pPr>
        <w:spacing w:after="120"/>
      </w:pPr>
      <w:r>
        <w:rPr>
          <w:b/>
          <w:bCs/>
          <w:color w:val="1E293B"/>
          <w:sz w:val="20"/>
          <w:szCs w:val="20"/>
        </w:rPr>
        <w:t xml:space="preserve">7.2 Incident process. </w:t>
      </w:r>
      <w:r>
        <w:rPr>
          <w:sz w:val="20"/>
          <w:szCs w:val="20"/>
        </w:rPr>
        <w:t xml:space="preserve">Detect (gate failure or monitor alert) → triage severity (S1: wrong data may have reached consumers or the handover; S2: pipeline blocked; S3: degradation, not blocking) → OM incident with assignee → remediate → close with a resolution comment. Gate failures during a load are not incidents unless data already shipped; they are failed runs recorded in the manifest. Post-mortems feed new controls into this catalogue.</w:t>
      </w:r>
    </w:p>
    <w:p>
      <w:pPr>
        <w:spacing w:after="120"/>
      </w:pPr>
      <w:r>
        <w:rPr>
          <w:b/>
          <w:bCs/>
          <w:color w:val="1E293B"/>
          <w:sz w:val="20"/>
          <w:szCs w:val="20"/>
        </w:rPr>
        <w:t xml:space="preserve">7.3 Rule lifecycle. </w:t>
      </w:r>
      <w:r>
        <w:rPr>
          <w:sz w:val="20"/>
          <w:szCs w:val="20"/>
        </w:rPr>
        <w:t xml:space="preserve">Baseline controls follow Draft → Review (PR) → Production → Retired in Git. Supplementary steward tests follow the OM UI lifecycle; quarterly, the Quality Forum reviews supplementary tests for promotion into the baseline or retirement. UI tests may not override or weaken baseline controls (DQ-6).</w:t>
      </w:r>
    </w:p>
    <w:p>
      <w:pPr>
        <w:spacing w:after="120"/>
      </w:pPr>
      <w:r>
        <w:rPr>
          <w:b/>
          <w:bCs/>
          <w:color w:val="1E293B"/>
          <w:sz w:val="20"/>
          <w:szCs w:val="20"/>
        </w:rPr>
        <w:t xml:space="preserve">7.4 Scorecard and reporting. </w:t>
      </w:r>
      <w:r>
        <w:rPr>
          <w:sz w:val="20"/>
          <w:szCs w:val="20"/>
        </w:rPr>
        <w:t xml:space="preserve">The reconciler computes per-table dimension scores (0–100), rolls them to per-source scorecards, writes badges to OM, and emits a monthly scorecard (per source: six scores, trend, open incidents, MTTR). This is the standing evidence for DGC/Commissioner governance, and the quality summary delivered to the ITCAS vendor at DcP3.</w:t>
      </w:r>
    </w:p>
    <w:p>
      <w:pPr>
        <w:spacing w:after="120"/>
      </w:pPr>
      <w:r>
        <w:rPr>
          <w:b/>
          <w:bCs/>
          <w:color w:val="1E293B"/>
          <w:sz w:val="20"/>
          <w:szCs w:val="20"/>
        </w:rPr>
        <w:t xml:space="preserve">7.5 KPIs of the framework itself. </w:t>
      </w:r>
      <w:r>
        <w:rPr>
          <w:sz w:val="20"/>
          <w:szCs w:val="20"/>
        </w:rPr>
        <w:t xml:space="preserve">% consumable tables with a current badge; % loads with a reconciled manifest (target 100% — it is a gate); % of DcP3-handover tables with a quality score; mean time to detect; mean time to resolve by severity; # supplementary tests promoted to baseline per quarter (steward-engagement signal).</w:t>
      </w:r>
    </w:p>
    <w:p>
      <w:pPr>
        <w:pStyle w:val="Heading1"/>
      </w:pPr>
      <w:r>
        <w:t xml:space="preserve">8.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DF3E2" w:val="clear"/>
            <w:tcMar>
              <w:top w:type="dxa" w:w="80"/>
              <w:left w:type="dxa" w:w="120"/>
              <w:bottom w:type="dxa" w:w="80"/>
              <w:right w:type="dxa" w:w="120"/>
            </w:tcMar>
          </w:tcPr>
          <w:p>
            <w:r>
              <w:rPr>
                <w:b/>
                <w:bCs/>
                <w:color w:val="8A5A00"/>
                <w:sz w:val="20"/>
                <w:szCs w:val="20"/>
              </w:rPr>
              <w:t xml:space="preserve">Precondition (gating all phases): the development environment. </w:t>
            </w:r>
            <w:r>
              <w:rPr>
                <w:sz w:val="20"/>
                <w:szCs w:val="20"/>
              </w:rPr>
              <w:t xml:space="preserve">Execution cannot start until MITA provides (a) access to the nine legacy databases with realistic anonymised data, (b) the PowerBuilder source code (for Visual Expert → the A/B/C triage), and (c) the team's tooling — the subject of the prerequisites memo to the Commissioner. The framework below is ready to execute on day one of access.</w:t>
            </w:r>
          </w:p>
        </w:tc>
      </w:tr>
    </w:tbl>
    <w:p>
      <w:pPr>
        <w:spacing w:after="40"/>
      </w:pPr>
      <w:r>
        <w:rPr>
          <w:sz w:val="20"/>
          <w:szCs w:val="20"/>
        </w:rPr>
        <w:t xml:space="preserve"/>
      </w:r>
    </w:p>
    <w:p>
      <w:pPr>
        <w:spacing w:after="120"/>
      </w:pPr>
      <w:r>
        <w:rPr>
          <w:b/>
          <w:bCs/>
          <w:color w:val="1E293B"/>
          <w:sz w:val="20"/>
          <w:szCs w:val="20"/>
        </w:rPr>
        <w:t xml:space="preserve">Phase DQ-0 — “Foundations” (~2–3 days once the environment lands, before the first production loads). </w:t>
      </w:r>
      <w:r>
        <w:rPr>
          <w:sz w:val="20"/>
          <w:szCs w:val="20"/>
        </w:rPr>
        <w:t xml:space="preserve">Gates into the ingestion service: schema comparison (DQC-S2-01), type-domain/widening (DQC-S2-02), reconciliation (DQC-S2-03), no-silent-fallback (DQC-S2-05); load-manifest table in PG dq (DQC-S2-04). Onboarding profiler (DQC-S1-01) and the A/B/C triage gate (DQC-S1-02) — run on each source before authoring its DDL/staging. Deliverable: the first database loads run under the framework.</w:t>
      </w:r>
    </w:p>
    <w:p>
      <w:pPr>
        <w:spacing w:after="120"/>
      </w:pPr>
      <w:r>
        <w:rPr>
          <w:b/>
          <w:bCs/>
          <w:color w:val="1E293B"/>
          <w:sz w:val="20"/>
          <w:szCs w:val="20"/>
        </w:rPr>
        <w:t xml:space="preserve">Phase DQ-1 — Contracts &amp; evidence (1–2 weeks; directly feeds the DcP3 handover). </w:t>
      </w:r>
      <w:r>
        <w:rPr>
          <w:sz w:val="20"/>
          <w:szCs w:val="20"/>
        </w:rPr>
        <w:t xml:space="preserve">Extend dbt test coverage to the contract baseline (DQC-S4-01…05); enable OM dbt-artifact ingestion (DQC-S4-06); verify the deployed OpenMetadata version (profiler-on-ClickHouse coverage, freshness tests, Incident Manager) and run the ClickHouse profiling cost spike on one large Silver table; baseline OM suite as code (SDK/YAML in Git); provenance &amp; tier properties (DQC-S3-01…04). Quality scores begin landing on entities → the handover gate (DQC-S5-02) becomes enforceable.</w:t>
      </w:r>
    </w:p>
    <w:p>
      <w:pPr>
        <w:spacing w:after="120"/>
      </w:pPr>
      <w:r>
        <w:rPr>
          <w:b/>
          <w:bCs/>
          <w:color w:val="1E293B"/>
          <w:sz w:val="20"/>
          <w:szCs w:val="20"/>
        </w:rPr>
        <w:t xml:space="preserve">Phase DQ-2 — Scorecard &amp; self-service (2–3 weeks). </w:t>
      </w:r>
      <w:r>
        <w:rPr>
          <w:sz w:val="20"/>
          <w:szCs w:val="20"/>
        </w:rPr>
        <w:t xml:space="preserve">Thin reconciler: dimension-tagging convention, score computation vs targets (signed off with the Data Owners by then), badge write-back; output distribution snapshots (DQC-S6-01) after Gold builds; incident workflow live; steward onboarding (first supplementary tests).</w:t>
      </w:r>
    </w:p>
    <w:p>
      <w:pPr>
        <w:spacing w:after="120"/>
      </w:pPr>
      <w:r>
        <w:rPr>
          <w:b/>
          <w:bCs/>
          <w:color w:val="1E293B"/>
          <w:sz w:val="20"/>
          <w:szCs w:val="20"/>
        </w:rPr>
        <w:t xml:space="preserve">Phase DQ-3 — Closing the loop. </w:t>
      </w:r>
      <w:r>
        <w:rPr>
          <w:sz w:val="20"/>
          <w:szCs w:val="20"/>
        </w:rPr>
        <w:t xml:space="preserve">Quality-at-field-selection and full handover surfacing (DQC-S5-01/-03); composite weakest-input badges (DQC-S6-03); analytics/risk-model provenance gates (DQC-S7-01/-02); cross-source accuracy reconciliations (VAT vs customs/e-invoice) as OM custom-SQL tests; retention automation (S8).</w:t>
      </w:r>
    </w:p>
    <w:p>
      <w:pPr>
        <w:spacing w:after="120"/>
      </w:pPr>
      <w:r>
        <w:rPr>
          <w:i/>
          <w:iCs/>
          <w:color w:val="595959"/>
          <w:sz w:val="20"/>
          <w:szCs w:val="20"/>
        </w:rPr>
        <w:t xml:space="preserve">Each phase is additive; nothing in DQ-0 is rework for DQ-3.</w:t>
      </w:r>
    </w:p>
    <w:p>
      <w:pPr>
        <w:pStyle w:val="Heading1"/>
      </w:pPr>
      <w:r>
        <w:t xml:space="preserve">9. Open decisions and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3550"/>
        <w:gridCol w:w="3260"/>
        <w:gridCol w:w="1450"/>
      </w:tblGrid>
      <w:tr>
        <w:trPr>
          <w:tblHeader/>
        </w:trPr>
        <w:tc>
          <w:tcPr>
            <w:tcW w:type="dxa" w:w="5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w:t>
            </w:r>
          </w:p>
        </w:tc>
        <w:tc>
          <w:tcPr>
            <w:tcW w:type="dxa" w:w="35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Item</w:t>
            </w:r>
          </w:p>
        </w:tc>
        <w:tc>
          <w:tcPr>
            <w:tcW w:type="dxa" w:w="32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Proposal</w:t>
            </w:r>
          </w:p>
        </w:tc>
        <w:tc>
          <w:tcPr>
            <w:tcW w:type="dxa" w:w="145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Decide by</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O1</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PoC/Full dimension targets (§3) — confirm with Data Owners; DGC sign-off</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proposals in §3 (anchored on the subtask-2.1 gates)</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DQ-2 start</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O2</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Manifest/snapshot store: PG dq schema vs ClickHouse</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PG (operational)</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DQ-0</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O3</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Deployed OpenMetadata version capability check + ClickHouse profiler cost</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spike in DQ-1</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DQ-1</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O4</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Profiler/test scheduling runner (OM scheduler vs cron/systemd)</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follow platform ops convention</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DQ-1</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O5</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Dimension-tagging convention for tests (OM tags vs naming prefix)</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OM tags, fallback naming prefix</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DQ-2</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O6</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Formal MTCA-facing document (docx) derived from this design</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this document</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done</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B91C1C"/>
                <w:sz w:val="17"/>
                <w:szCs w:val="17"/>
              </w:rPr>
              <w:t xml:space="preserve">O7</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Risk: the dev environment is not provided (databases, anonymised data, PB source, tooling)</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escalated via the Commissioner's prerequisites memo — DQ-0 cannot start without it</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immediate</w:t>
            </w:r>
          </w:p>
        </w:tc>
      </w:tr>
      <w:tr>
        <w:tc>
          <w:tcPr>
            <w:tcW w:type="dxa" w:w="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bCs/>
                <w:color w:val="1F3864"/>
                <w:sz w:val="17"/>
                <w:szCs w:val="17"/>
              </w:rPr>
              <w:t xml:space="preserve">O8</w:t>
            </w:r>
          </w:p>
        </w:tc>
        <w:tc>
          <w:tcPr>
            <w:tcW w:type="dxa" w:w="35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Risk: framework outpaces team capacity (2 of 10 posts filled)</w:t>
            </w:r>
          </w:p>
        </w:tc>
        <w:tc>
          <w:tcPr>
            <w:tcW w:type="dxa" w:w="32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strictly value-ordered phasing; DQ-0 alone pays for itself; recruit per R2</w:t>
            </w:r>
          </w:p>
        </w:tc>
        <w:tc>
          <w:tcPr>
            <w:tcW w:type="dxa" w:w="145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7"/>
                <w:szCs w:val="17"/>
              </w:rPr>
              <w:t xml:space="preserve">standing</w:t>
            </w:r>
          </w:p>
        </w:tc>
      </w:tr>
    </w:tbl>
    <w:p>
      <w:pPr>
        <w:pStyle w:val="Heading1"/>
      </w:pPr>
      <w:r>
        <w:t xml:space="preserve">Appendix A — Failure classes → controls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Class</w:t>
            </w:r>
          </w:p>
        </w:tc>
        <w:tc>
          <w:tcPr>
            <w:tcW w:type="dxa" w:w="436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Control(s)</w:t>
            </w:r>
          </w:p>
        </w:tc>
        <w:tc>
          <w:tcPr>
            <w:tcW w:type="dxa" w:w="1600"/>
            <w:tcBorders>
              <w:top w:val="single" w:color="BFBFBF" w:sz="1"/>
              <w:left w:val="single" w:color="BFBFBF" w:sz="1"/>
              <w:bottom w:val="single" w:color="BFBFBF" w:sz="1"/>
              <w:right w:val="single" w:color="BFBFBF" w:sz="1"/>
            </w:tcBorders>
            <w:shd w:fill="1F3864" w:val="clear"/>
            <w:tcMar>
              <w:top w:type="dxa" w:w="45"/>
              <w:left w:type="dxa" w:w="90"/>
              <w:bottom w:type="dxa" w:w="45"/>
              <w:right w:type="dxa" w:w="90"/>
            </w:tcMar>
            <w:vAlign w:val="center"/>
          </w:tcPr>
          <w:p>
            <w:r>
              <w:rPr>
                <w:b/>
                <w:bCs/>
                <w:color w:val="FFFFFF"/>
                <w:sz w:val="18"/>
                <w:szCs w:val="18"/>
              </w:rPr>
              <w:t xml:space="preserve">Phase</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R1 silent truncation / partial load</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DQC-S2-03, DQC-S2-05, DQC-S2-04</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DQ-0</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R2 type-domain overflow</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DQC-S2-02</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DQ-0</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R3 schema drift at load</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DQC-S2-01</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DQ-0</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R4 semantic drift / dead column</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DQC-S1-01, DQC-S1-03</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DQ-0/1</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R5 unfit mapping / indicator banding</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DQC-S1-01/-03, DQC-S5-01/-03, DQC-S6-01</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DQ-0/2/3</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R6 mixed-era / provenance ambiguity</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DQC-S3-01, DQC-S3-04</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DQ-1</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R7 empty / placeholder table</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DQC-S3-02</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DQ-1</w:t>
            </w:r>
          </w:p>
        </w:tc>
      </w:tr>
      <w:tr>
        <w:tc>
          <w:tcPr>
            <w:tcW w:type="dxa" w:w="34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R8 untriaged mystery table</w:t>
            </w:r>
          </w:p>
        </w:tc>
        <w:tc>
          <w:tcPr>
            <w:tcW w:type="dxa" w:w="436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DQC-S1-02</w:t>
            </w:r>
          </w:p>
        </w:tc>
        <w:tc>
          <w:tcPr>
            <w:tcW w:type="dxa" w:w="1600"/>
            <w:tcBorders>
              <w:top w:val="single" w:color="BFBFBF" w:sz="1"/>
              <w:left w:val="single" w:color="BFBFBF" w:sz="1"/>
              <w:bottom w:val="single" w:color="BFBFBF" w:sz="1"/>
              <w:right w:val="single" w:color="BFBFBF" w:sz="1"/>
            </w:tcBorders>
            <w:tcMar>
              <w:top w:type="dxa" w:w="45"/>
              <w:left w:type="dxa" w:w="90"/>
              <w:bottom w:type="dxa" w:w="45"/>
              <w:right w:type="dxa" w:w="90"/>
            </w:tcMar>
            <w:vAlign w:val="center"/>
          </w:tcPr>
          <w:p>
            <w:r>
              <w:rPr>
                <w:b w:val="false"/>
                <w:bCs w:val="false"/>
                <w:sz w:val="18"/>
                <w:szCs w:val="18"/>
              </w:rPr>
              <w:t xml:space="preserve">DQ-0</w:t>
            </w:r>
          </w:p>
        </w:tc>
      </w:tr>
    </w:tbl>
    <w:p>
      <w:pPr>
        <w:pStyle w:val="Heading1"/>
      </w:pPr>
      <w:r>
        <w:t xml:space="preserve">Appendix B — Relationship to existing MTCA documents</w:t>
      </w:r>
    </w:p>
    <w:p>
      <w:pPr>
        <w:pStyle w:val="ListParagraph"/>
        <w:numPr>
          <w:ilvl w:val="0"/>
          <w:numId w:val="2"/>
        </w:numPr>
        <w:spacing w:after="50"/>
      </w:pPr>
      <w:r>
        <w:rPr>
          <w:b/>
          <w:bCs/>
          <w:sz w:val="20"/>
          <w:szCs w:val="20"/>
        </w:rPr>
        <w:t xml:space="preserve">dq-framework-three-option-analysis.md </w:t>
      </w:r>
      <w:r>
        <w:rPr>
          <w:sz w:val="20"/>
          <w:szCs w:val="20"/>
        </w:rPr>
        <w:t xml:space="preserve">→ §5 division of labour and DQ-7 (dbt + OpenMetadata; GE not adopted) — adopted unchanged.</w:t>
      </w:r>
    </w:p>
    <w:p>
      <w:pPr>
        <w:pStyle w:val="ListParagraph"/>
        <w:numPr>
          <w:ilvl w:val="0"/>
          <w:numId w:val="2"/>
        </w:numPr>
        <w:spacing w:after="50"/>
      </w:pPr>
      <w:r>
        <w:rPr>
          <w:b/>
          <w:bCs/>
          <w:sz w:val="20"/>
          <w:szCs w:val="20"/>
        </w:rPr>
        <w:t xml:space="preserve">MTCA_DataQuality_Tooling_Architecture_Analysis.docx </w:t>
      </w:r>
      <w:r>
        <w:rPr>
          <w:sz w:val="20"/>
          <w:szCs w:val="20"/>
        </w:rPr>
        <w:t xml:space="preserve">→ DQ-1/DQ-8 semantics, the reconciler scope, the persisted intermediate-layer discipline, and the O3 open items — adopted.</w:t>
      </w:r>
    </w:p>
    <w:p>
      <w:pPr>
        <w:pStyle w:val="ListParagraph"/>
        <w:numPr>
          <w:ilvl w:val="0"/>
          <w:numId w:val="2"/>
        </w:numPr>
        <w:spacing w:after="50"/>
      </w:pPr>
      <w:r>
        <w:rPr>
          <w:b/>
          <w:bCs/>
          <w:sz w:val="20"/>
          <w:szCs w:val="20"/>
        </w:rPr>
        <w:t xml:space="preserve">Data Platform Blueprint v1.0 </w:t>
      </w:r>
      <w:r>
        <w:rPr>
          <w:sz w:val="20"/>
          <w:szCs w:val="20"/>
        </w:rPr>
        <w:t xml:space="preserve">→ §2 derivations; the Medallion architecture; SAS VIYA positioned as a consumer (not a DQ tool); MITA policy constraints (classification).</w:t>
      </w:r>
    </w:p>
    <w:p>
      <w:pPr>
        <w:pStyle w:val="ListParagraph"/>
        <w:numPr>
          <w:ilvl w:val="0"/>
          <w:numId w:val="2"/>
        </w:numPr>
        <w:spacing w:after="50"/>
      </w:pPr>
      <w:r>
        <w:rPr>
          <w:b/>
          <w:bCs/>
          <w:sz w:val="20"/>
          <w:szCs w:val="20"/>
        </w:rPr>
        <w:t xml:space="preserve">Note for the Record, 9 June 2026 (SAS for DQ) </w:t>
      </w:r>
      <w:r>
        <w:rPr>
          <w:sz w:val="20"/>
          <w:szCs w:val="20"/>
        </w:rPr>
        <w:t xml:space="preserve">→ DQ-7 (SAS is not a DQ tool; settled on the record).</w:t>
      </w:r>
    </w:p>
    <w:p>
      <w:pPr>
        <w:pStyle w:val="ListParagraph"/>
        <w:numPr>
          <w:ilvl w:val="0"/>
          <w:numId w:val="2"/>
        </w:numPr>
        <w:spacing w:after="50"/>
      </w:pPr>
      <w:r>
        <w:rPr>
          <w:b/>
          <w:bCs/>
          <w:sz w:val="20"/>
          <w:szCs w:val="20"/>
        </w:rPr>
        <w:t xml:space="preserve">Capacity-Building Workshop (15 June 2026) </w:t>
      </w:r>
      <w:r>
        <w:rPr>
          <w:sz w:val="20"/>
          <w:szCs w:val="20"/>
        </w:rPr>
        <w:t xml:space="preserve">→ §7 roles and the team's KPI scorecard are the operational face of this framework.</w:t>
      </w:r>
    </w:p>
    <w:p>
      <w:pPr>
        <w:pStyle w:val="ListParagraph"/>
        <w:numPr>
          <w:ilvl w:val="0"/>
          <w:numId w:val="2"/>
        </w:numPr>
        <w:spacing w:after="50"/>
      </w:pPr>
      <w:r>
        <w:rPr>
          <w:b/>
          <w:bCs/>
          <w:sz w:val="20"/>
          <w:szCs w:val="20"/>
        </w:rPr>
        <w:t xml:space="preserve">Prerequisites memo to the Commissioner </w:t>
      </w:r>
      <w:r>
        <w:rPr>
          <w:sz w:val="20"/>
          <w:szCs w:val="20"/>
        </w:rPr>
        <w:t xml:space="preserve">→ §8 precondition / O7 (the binding constraint on starting DQ-0).</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2"/>
      </w:pBdr>
      <w:spacing w:before="60"/>
      <w:jc w:val="center"/>
    </w:pPr>
    <w:r>
      <w:rPr>
        <w:color w:val="909090"/>
        <w:sz w:val="15"/>
        <w:szCs w:val="15"/>
      </w:rPr>
      <w:t xml:space="preserve">Confidential · IMF STX design · Page </w:t>
    </w:r>
    <w:r>
      <w:rPr>
        <w:color w:val="909090"/>
        <w:sz w:val="15"/>
        <w:szCs w:val="15"/>
      </w:rPr>
      <w:fldChar w:fldCharType="begin"/>
      <w:instrText xml:space="preserve">PAGE</w:instrText>
      <w:fldChar w:fldCharType="separate"/>
      <w:fldChar w:fldCharType="end"/>
    </w:r>
    <w:r>
      <w:rPr>
        <w:color w:val="909090"/>
        <w:sz w:val="15"/>
        <w:szCs w:val="15"/>
      </w:rPr>
      <w:t xml:space="preserve"> of </w:t>
    </w:r>
    <w:r>
      <w:rPr>
        <w:color w:val="90909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2"/>
      </w:pBdr>
      <w:spacing w:after="0"/>
      <w:jc w:val="right"/>
    </w:pPr>
    <w:r>
      <w:rPr>
        <w:color w:val="909090"/>
        <w:sz w:val="15"/>
        <w:szCs w:val="15"/>
      </w:rPr>
      <w:t xml:space="preserve">MTCA Data Quality Framework · v0.1 · 15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0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70" w:before="1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562c262a85277e692d51d26a03361ee0a1054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MTCA Data Quality Framework v0.1</dc:title>
  <dc:creator>IMF FAD STX</dc:creator>
  <cp:lastModifiedBy>Un-named</cp:lastModifiedBy>
  <cp:revision>1</cp:revision>
  <dcterms:created xsi:type="dcterms:W3CDTF">2026-06-15T06:31:46.071Z</dcterms:created>
  <dcterms:modified xsi:type="dcterms:W3CDTF">2026-06-15T06:31:46.071Z</dcterms:modified>
</cp:coreProperties>
</file>

<file path=docProps/custom.xml><?xml version="1.0" encoding="utf-8"?>
<Properties xmlns="http://schemas.openxmlformats.org/officeDocument/2006/custom-properties" xmlns:vt="http://schemas.openxmlformats.org/officeDocument/2006/docPropsVTypes"/>
</file>