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C5DB" w14:textId="77777777" w:rsidR="00FD6975" w:rsidRPr="00FD6975" w:rsidRDefault="00FD6975" w:rsidP="00FD69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Here is a comprehensive analysis of the sources and microbiology of abdominal abscesses and the guideline-recommended antibiotic regimens.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---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Common Sources of Intra-Abdominal Abscess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Abdominal abscesses most frequently arise from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perforation or infection of gastrointestinal and hepatobiliary structures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 The most common sources include: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Appendicitis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— perforated appendicitis is one of the leading causes, particularly in community-acquired infections.</w:t>
      </w:r>
      <w:hyperlink r:id="rId5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[1]</w:t>
        </w:r>
      </w:hyperlink>
      <w:hyperlink r:id="rId6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Cholecystitis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— complicated cholecystitis with perforation or biliary infection accounts for a large proportion of cases (36% in one series).</w:t>
      </w:r>
      <w:hyperlink r:id="rId7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Colonic perforation/diverticulitis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— perforated diverticulitis is a major source, especially in older adults, and tends to harbor more resistant organisms.</w:t>
      </w:r>
      <w:hyperlink r:id="rId8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[1]</w:t>
        </w:r>
      </w:hyperlink>
      <w:hyperlink r:id="rId9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[3]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Postoperative complications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— 10–28% of patients undergoing surgery for Crohn's disease present with intra-abdominal abscess; hepatobiliary surgery can also lead to abscess formation (up to 25% of hepatectomies).</w:t>
      </w:r>
      <w:hyperlink r:id="rId10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[4]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Pyogenic liver abscess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— the most common visceral abscess, accounting for nearly half of all visceral and &gt;10% of all intra-abdominal abscesses. These arise from biliary infection (direct spread, ~50% of cases) or hematogenous seeding from appendicitis, diverticulitis, or even dental infections.</w:t>
      </w:r>
      <w:hyperlink r:id="rId11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[4]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Penetrating or blunt abdominal trauma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</w:t>
      </w:r>
      <w:hyperlink r:id="rId12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---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Microbiology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These infections are characteristically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polymicrobial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, reflecting enteric flora, with the pathogen profile varying by source (proximal vs. distal GI) and setting (community vs. healthcare-associated).</w:t>
      </w:r>
      <w:hyperlink r:id="rId13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[5]</w:t>
        </w:r>
      </w:hyperlink>
      <w:hyperlink r:id="rId14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[6]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Community-acquired infections: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Gram-negative aerobes: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Escherichia coli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(dominant, ~46% of isolates),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Klebsiella pneumoniae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(~10%), other Enterobacteriaceae</w:t>
      </w:r>
      <w:hyperlink r:id="rId15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[5]</w:t>
        </w:r>
      </w:hyperlink>
      <w:hyperlink r:id="rId16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Anaerobes: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Bacteroides fragilis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group (predominant anaerobe),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Peptostreptococcus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spp.,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Clostridium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spp. — more prevalent with distal GI sources</w:t>
      </w:r>
      <w:hyperlink r:id="rId17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[5]</w:t>
        </w:r>
      </w:hyperlink>
      <w:hyperlink r:id="rId18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[6]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Gram-positive aerobes: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Streptococcus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(especially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S. anginosus/milleri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group),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Enterococcus faecalis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(~9%)</w:t>
      </w:r>
      <w:hyperlink r:id="rId19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[5]</w:t>
        </w:r>
      </w:hyperlink>
      <w:hyperlink r:id="rId20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Healthcare-associated infections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shift toward more resistant organisms:</w:t>
      </w:r>
      <w:hyperlink r:id="rId21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[5]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 Increased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Enterobacter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spp.,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Pseudomonas aeruginosa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,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Acinetobacter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spp.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 Higher prevalence of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Enterococcus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spp. (including VRE) and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Staphylococcus aureus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(including MRSA)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 Greater incidence of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Candida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spp., especially after prior broad-spectrum antibiotics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 ESBL-producing Enterobacteriaceae are increasingly common even in community-acquired infections (30% of gram-negatives in one recent series)</w:t>
      </w:r>
      <w:hyperlink r:id="rId22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---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Empiric Antibiotic Regimens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The Surgical Infection Society (SIS) guidelines stratify empiric therapy by patient risk and acquisition setting:</w:t>
      </w:r>
      <w:hyperlink r:id="rId23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[5]</w:t>
        </w:r>
      </w:hyperlink>
      <w:hyperlink r:id="rId24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[7]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326"/>
        <w:gridCol w:w="3185"/>
        <w:gridCol w:w="1195"/>
      </w:tblGrid>
      <w:tr w:rsidR="00FD6975" w:rsidRPr="00FD6975" w14:paraId="5BE73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49D0" w14:textId="77777777" w:rsidR="00FD6975" w:rsidRPr="00FD6975" w:rsidRDefault="00FD6975" w:rsidP="00FD6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Patient Category</w:t>
            </w:r>
          </w:p>
        </w:tc>
        <w:tc>
          <w:tcPr>
            <w:tcW w:w="0" w:type="auto"/>
            <w:vAlign w:val="center"/>
            <w:hideMark/>
          </w:tcPr>
          <w:p w14:paraId="3FE26F94" w14:textId="77777777" w:rsidR="00FD6975" w:rsidRPr="00FD6975" w:rsidRDefault="00FD6975" w:rsidP="00FD6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Preferred Regimens</w:t>
            </w:r>
          </w:p>
        </w:tc>
        <w:tc>
          <w:tcPr>
            <w:tcW w:w="0" w:type="auto"/>
            <w:vAlign w:val="center"/>
            <w:hideMark/>
          </w:tcPr>
          <w:p w14:paraId="6CDF5163" w14:textId="77777777" w:rsidR="00FD6975" w:rsidRPr="00FD6975" w:rsidRDefault="00FD6975" w:rsidP="00FD6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14:paraId="4E422DE3" w14:textId="77777777" w:rsidR="00FD6975" w:rsidRPr="00FD6975" w:rsidRDefault="00FD6975" w:rsidP="00FD6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References</w:t>
            </w:r>
          </w:p>
        </w:tc>
      </w:tr>
      <w:tr w:rsidR="00FD6975" w:rsidRPr="00FD6975" w14:paraId="0D969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6F8F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Lower-risk, community-acquired</w:t>
            </w:r>
          </w:p>
        </w:tc>
        <w:tc>
          <w:tcPr>
            <w:tcW w:w="0" w:type="auto"/>
            <w:vAlign w:val="center"/>
            <w:hideMark/>
          </w:tcPr>
          <w:p w14:paraId="480093BF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Ceftriaxone + metronidazole; or ertapenem monotherapy</w:t>
            </w:r>
          </w:p>
        </w:tc>
        <w:tc>
          <w:tcPr>
            <w:tcW w:w="0" w:type="auto"/>
            <w:vAlign w:val="center"/>
            <w:hideMark/>
          </w:tcPr>
          <w:p w14:paraId="5930D536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Ciprofloxacin + metronidazole (β-lactam allergy); moxifloxacin monotherapy</w:t>
            </w:r>
          </w:p>
        </w:tc>
        <w:tc>
          <w:tcPr>
            <w:tcW w:w="0" w:type="auto"/>
            <w:vAlign w:val="center"/>
            <w:hideMark/>
          </w:tcPr>
          <w:p w14:paraId="417055C1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hyperlink r:id="rId25" w:history="1">
              <w:r w:rsidRPr="00FD6975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[1]</w:t>
              </w:r>
            </w:hyperlink>
          </w:p>
        </w:tc>
      </w:tr>
      <w:tr w:rsidR="00FD6975" w:rsidRPr="00FD6975" w14:paraId="0D242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DEED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Higher-risk, community-acquired</w:t>
            </w:r>
          </w:p>
        </w:tc>
        <w:tc>
          <w:tcPr>
            <w:tcW w:w="0" w:type="auto"/>
            <w:vAlign w:val="center"/>
            <w:hideMark/>
          </w:tcPr>
          <w:p w14:paraId="615708CE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Piperacillin-tazobactam; imipenem-cilastatin; meropenem; or cefepime + metronidazole</w:t>
            </w:r>
          </w:p>
        </w:tc>
        <w:tc>
          <w:tcPr>
            <w:tcW w:w="0" w:type="auto"/>
            <w:vAlign w:val="center"/>
            <w:hideMark/>
          </w:tcPr>
          <w:p w14:paraId="62F9B774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Ceftazidime + metronidazole; add ampicillin or vancomycin for enterococcal coverage if not using pip-tazo or imipenem</w:t>
            </w:r>
          </w:p>
        </w:tc>
        <w:tc>
          <w:tcPr>
            <w:tcW w:w="0" w:type="auto"/>
            <w:vAlign w:val="center"/>
            <w:hideMark/>
          </w:tcPr>
          <w:p w14:paraId="20FFB735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hyperlink r:id="rId26" w:history="1">
              <w:r w:rsidRPr="00FD6975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[1]</w:t>
              </w:r>
            </w:hyperlink>
          </w:p>
        </w:tc>
      </w:tr>
      <w:tr w:rsidR="00FD6975" w:rsidRPr="00FD6975" w14:paraId="2F1D1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C49F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Healthcare-associated</w:t>
            </w:r>
          </w:p>
        </w:tc>
        <w:tc>
          <w:tcPr>
            <w:tcW w:w="0" w:type="auto"/>
            <w:vAlign w:val="center"/>
            <w:hideMark/>
          </w:tcPr>
          <w:p w14:paraId="60E5D71C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Piperacillin-tazobactam (± vancomycin/linezolid); or meropenem + ampicillin for MDRO risk</w:t>
            </w:r>
          </w:p>
        </w:tc>
        <w:tc>
          <w:tcPr>
            <w:tcW w:w="0" w:type="auto"/>
            <w:vAlign w:val="center"/>
            <w:hideMark/>
          </w:tcPr>
          <w:p w14:paraId="6C7A34B8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Ceftazidime-avibactam + metronidazole (for ESBL/resistant organisms)</w:t>
            </w:r>
          </w:p>
        </w:tc>
        <w:tc>
          <w:tcPr>
            <w:tcW w:w="0" w:type="auto"/>
            <w:vAlign w:val="center"/>
            <w:hideMark/>
          </w:tcPr>
          <w:p w14:paraId="27457819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hyperlink r:id="rId27" w:history="1">
              <w:r w:rsidRPr="00FD6975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[2]</w:t>
              </w:r>
            </w:hyperlink>
            <w:r w:rsidRPr="00FD69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 </w:t>
            </w:r>
            <w:hyperlink r:id="rId28" w:history="1">
              <w:r w:rsidRPr="00FD6975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[3]</w:t>
              </w:r>
            </w:hyperlink>
          </w:p>
        </w:tc>
      </w:tr>
      <w:tr w:rsidR="00FD6975" w:rsidRPr="00FD6975" w14:paraId="5F1A2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8BA4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β-Lactam allergy</w:t>
            </w:r>
          </w:p>
        </w:tc>
        <w:tc>
          <w:tcPr>
            <w:tcW w:w="0" w:type="auto"/>
            <w:vAlign w:val="center"/>
            <w:hideMark/>
          </w:tcPr>
          <w:p w14:paraId="2AE0BB91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Aztreonam + metronidazole + vancomycin</w:t>
            </w:r>
          </w:p>
        </w:tc>
        <w:tc>
          <w:tcPr>
            <w:tcW w:w="0" w:type="auto"/>
            <w:vAlign w:val="center"/>
            <w:hideMark/>
          </w:tcPr>
          <w:p w14:paraId="0A886ADE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D697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Fluoroquinolone + metronidazole (lower-risk only)</w:t>
            </w:r>
          </w:p>
        </w:tc>
        <w:tc>
          <w:tcPr>
            <w:tcW w:w="0" w:type="auto"/>
            <w:vAlign w:val="center"/>
            <w:hideMark/>
          </w:tcPr>
          <w:p w14:paraId="2E787B2D" w14:textId="77777777" w:rsidR="00FD6975" w:rsidRPr="00FD6975" w:rsidRDefault="00FD6975" w:rsidP="00FD69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hyperlink r:id="rId29" w:history="1">
              <w:r w:rsidRPr="00FD6975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[1]</w:t>
              </w:r>
            </w:hyperlink>
          </w:p>
        </w:tc>
      </w:tr>
    </w:tbl>
    <w:p w14:paraId="0A4FDA79" w14:textId="5EE2D511" w:rsidR="00FD6975" w:rsidRPr="00FD6975" w:rsidRDefault="00FD6975" w:rsidP="00FD69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Key pharmacologic considerations: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Piperacillin-tazobactam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demonstrated the highest abscess penetration ratio (median CIAA/Cplasma of 2) in a prospective study, with 75–80% pharmacodynamic target achievement, comparable to meropenem.</w:t>
      </w:r>
      <w:hyperlink r:id="rId30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[10]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 A network meta-analysis of 45 RCTs (14,267 patients) found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cefepime + metronidazole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to be the most effective regimen overall for complicated IAI, with lower all-cause mortality than tigecycline.</w:t>
      </w:r>
      <w:hyperlink r:id="rId31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[11]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Empiric antifungal therapy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is generally not recommended, except in critically ill patients with upper GI perforations where </w:t>
      </w:r>
      <w:r w:rsidRPr="00FD69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Candida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peritonitis risk is high.</w:t>
      </w:r>
      <w:hyperlink r:id="rId32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[5]</w:t>
        </w:r>
      </w:hyperlink>
      <w:hyperlink r:id="rId33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[8]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---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Duration of Therapy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The landmark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STOP-IT trial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(NEJM, 2015) demonstrated that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 days of antibiotics after adequate source control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produced equivalent outcomes to a traditional ~8-day course (composite endpoint of SSI, recurrent IAI, or death: 21.8% vs. 22.3%).</w:t>
      </w:r>
      <w:hyperlink r:id="rId34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[12]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“In this randomized study involving patients with complicated intraabdominal infections, a fixed duration of 4 days of antibiotic treatment resulted in outcomes that were similar to those of a traditional, longer course that was based on resolution of physiological abnormalities, and the shorter course was associated with significantly fewer days of antibiotic exposure.” — Robert G. Sawyer, M.D., et al.University of Virginia Health System and other institutions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The STOP-IT findings were consistent across subgroups including higher illness severity, healthcare-associated infections, and different source control methods: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FD6975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"https://storage.googleapis.com/nejm-multimedia/cms/10.1056/NEJMoa1411162/asset/8442a517-af92-43b0-a431-94a32311bbda/assets/images/large/NEJMoa1411162_f3.jpg" \* MERGEFORMATINET </w:instrText>
      </w:r>
      <w:r w:rsidRPr="00FD6975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D697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5D660AD" wp14:editId="2A0F18D9">
            <wp:extent cx="5943600" cy="4527550"/>
            <wp:effectExtent l="0" t="0" r="0" b="6350"/>
            <wp:docPr id="74943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6975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Figure 3 Primary Composite Outcome in Key Subgroups. undefined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Current guideline recommendations for duration:</w:t>
      </w:r>
      <w:hyperlink r:id="rId36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[5]</w:t>
        </w:r>
      </w:hyperlink>
      <w:hyperlink r:id="rId37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[7]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Adequate source control achieved: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≤4 days (96 hours)</w:t>
      </w:r>
      <w:hyperlink r:id="rId38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[5]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 control not possible: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5–7 days, with reassessment for intervention</w:t>
      </w:r>
      <w:hyperlink r:id="rId39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[5]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Critically ill patients (ICU):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≤8 days after source control (2024 SIS update)</w:t>
      </w:r>
      <w:hyperlink r:id="rId40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[7]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Secondary bacteremia from IAI: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≤7 days if source controlled and no longer bacteremic</w:t>
      </w:r>
      <w:hyperlink r:id="rId41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[5]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 </w:t>
      </w: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Uncomplicated IAI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 (e.g., non-perforated appendicitis/cholecystitis): ≤24 hours postoperatively</w:t>
      </w:r>
      <w:hyperlink r:id="rId42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[5]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---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 xml:space="preserve">Would you like to explore the specific management approach for ESBL-producing </w:t>
      </w:r>
      <w:r w:rsidRPr="00FD6975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or multidrug-resistant organisms in intra-abdominal infections, including carbapenem-sparing strategies?</w:t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347D0111" w14:textId="77777777" w:rsidR="00FD6975" w:rsidRPr="00FD6975" w:rsidRDefault="00FD6975" w:rsidP="00FD6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69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References</w:t>
      </w:r>
    </w:p>
    <w:p w14:paraId="3A9EA9FD" w14:textId="77777777" w:rsidR="00FD6975" w:rsidRPr="00FD6975" w:rsidRDefault="00FD6975" w:rsidP="00FD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43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Management of Intra-Abdominal Sepsis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Nichols RL. The American Journal of Medicine. 1986;80(6B):204-9. doi:10.1016/0002-9343(86)90502-4.</w:t>
      </w:r>
    </w:p>
    <w:p w14:paraId="73EC2D51" w14:textId="77777777" w:rsidR="00FD6975" w:rsidRPr="00FD6975" w:rsidRDefault="00FD6975" w:rsidP="00FD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44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Aetiologic Agents and Resistance Rates in Community-Acquired Complicated Intra-Abdominal Infections: Where Are We Locally?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Ozturk E, Akdemir I, Ontas E, et al. Diagnostic Microbiology and Infectious Disease. 2025;113(4):117023. doi:10.1016/j.diagmicrobio.2025.117023.</w:t>
      </w:r>
    </w:p>
    <w:p w14:paraId="46937788" w14:textId="77777777" w:rsidR="00FD6975" w:rsidRPr="00FD6975" w:rsidRDefault="00FD6975" w:rsidP="00FD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45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Appropriateness of Ceftriaxone and Metronidazole as Empirical Therapy in Managing Complicated Intra-Abdominal Infection-Experience From Western Health, Australia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Tan A, Rouse M, Kew N, et al. PeerJ. 2018;6:e5383. doi:10.7717/peerj.5383.</w:t>
      </w:r>
    </w:p>
    <w:p w14:paraId="225D8708" w14:textId="77777777" w:rsidR="00FD6975" w:rsidRPr="00FD6975" w:rsidRDefault="00FD6975" w:rsidP="00FD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46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Gastrointestinal Surgical Emergencies Textbook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Ashley E. Aaron, Andrea Amabile, Ciro Andolfi, et al. American College of Surgeons (2021).</w:t>
      </w:r>
    </w:p>
    <w:p w14:paraId="79120396" w14:textId="77777777" w:rsidR="00FD6975" w:rsidRPr="00FD6975" w:rsidRDefault="00FD6975" w:rsidP="00FD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47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Surgical Infection Society Revised Guidelines on the Management of Intra-Abdominal Infection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Mazuski JE, Tessier JM, May AK, et al. Surgical Infections. 2017;18(1):1-76. doi:10.1089/sur.2016.261.</w:t>
      </w:r>
    </w:p>
    <w:p w14:paraId="43208ED9" w14:textId="77777777" w:rsidR="00FD6975" w:rsidRPr="00FD6975" w:rsidRDefault="00FD6975" w:rsidP="00FD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48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Microbiology and Management of Abdominal Infections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Brook I. Digestive Diseases and Sciences. 2008;53(10):2585-91. doi:10.1007/s10620-007-0194-6.</w:t>
      </w:r>
    </w:p>
    <w:p w14:paraId="5314F053" w14:textId="77777777" w:rsidR="00FD6975" w:rsidRPr="00FD6975" w:rsidRDefault="00FD6975" w:rsidP="00FD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49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Surgical Infection Society Guidelines on the Management of Intra-Abdominal Infection: 2024 Update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Huston JM, Barie PS, Dellinger EP, et al. Surgical Infections. 2024;25(6):419-435. doi:10.1089/sur.2024.137.</w:t>
      </w:r>
    </w:p>
    <w:p w14:paraId="655483A8" w14:textId="77777777" w:rsidR="00FD6975" w:rsidRPr="00FD6975" w:rsidRDefault="00FD6975" w:rsidP="00FD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50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Fever and Infections in Surgical Intensive Care: An American Association for the Surgery of Trauma Critical Care Committee Clinical Consensus Document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Nohra E, Appelbaum RD, Farrell MS, et al. Trauma Surgery &amp; Acute Care Open. 2024;9(1):e001303. doi:10.1136/tsaco-2023-001303.</w:t>
      </w:r>
    </w:p>
    <w:p w14:paraId="764BA642" w14:textId="77777777" w:rsidR="00FD6975" w:rsidRPr="00FD6975" w:rsidRDefault="00FD6975" w:rsidP="00FD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51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Management of Intra-Abdominal Infections From a Global Perspective: 2017 WSES Guidelines for Management of Intra-Abdominal Infections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Sartelli M, Chichom-Mefire A, Labricciosa FM, et al. World Journal of Emergency Surgery : WJES. 2017;12:29. doi:10.1186/s13017-017-0141-6.</w:t>
      </w:r>
    </w:p>
    <w:p w14:paraId="4F363733" w14:textId="77777777" w:rsidR="00FD6975" w:rsidRPr="00FD6975" w:rsidRDefault="00FD6975" w:rsidP="00FD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52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Antibacterial and Antifungal Drug Concentrations in Intra-Abdominal Abscesses: A Prospective Clinical Study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Cancela Costa A, Grass F, Andres Cano I, et al. Antimicrobial Agents and Chemotherapy. 2025;69(1):e0117824. doi:10.1128/aac.01178-24.</w:t>
      </w:r>
    </w:p>
    <w:p w14:paraId="6DF077B7" w14:textId="77777777" w:rsidR="00FD6975" w:rsidRPr="00FD6975" w:rsidRDefault="00FD6975" w:rsidP="00FD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53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Efficacy, Safety, and Tolerability of Antimicrobial Agents for Complicated Intra-Abdominal Infection: A Systematic Review and Network Meta-Analysis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Kong W, Deng T, Li S, Shu Y, Wu Y. BMC Infectious Diseases. 2023;23(1):256. doi:10.1186/s12879-023-08209-9.</w:t>
      </w:r>
    </w:p>
    <w:p w14:paraId="3D2D9FAA" w14:textId="77777777" w:rsidR="00FD6975" w:rsidRPr="00FD6975" w:rsidRDefault="00FD6975" w:rsidP="00FD6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54" w:history="1">
        <w:r w:rsidRPr="00FD69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Trial of Short-Course Antimicrobial Therapy for Intraabdominal Infection</w:t>
        </w:r>
      </w:hyperlink>
      <w:r w:rsidRPr="00FD69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Sawyer RG, Claridge JA, Nathens AB, et al. The New England Journal of Medicine. 2015;372(21):1996-2005. doi:10.1056/NEJMoa1411162.</w:t>
      </w:r>
    </w:p>
    <w:p w14:paraId="1A239980" w14:textId="77777777" w:rsidR="004634DC" w:rsidRDefault="004634DC"/>
    <w:sectPr w:rsidR="00463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8146D"/>
    <w:multiLevelType w:val="multilevel"/>
    <w:tmpl w:val="A01E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05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75"/>
    <w:rsid w:val="00002B23"/>
    <w:rsid w:val="00003498"/>
    <w:rsid w:val="000102C0"/>
    <w:rsid w:val="00013A76"/>
    <w:rsid w:val="0003799C"/>
    <w:rsid w:val="0004574E"/>
    <w:rsid w:val="00052AF9"/>
    <w:rsid w:val="0005419B"/>
    <w:rsid w:val="00095383"/>
    <w:rsid w:val="000B368C"/>
    <w:rsid w:val="000C6278"/>
    <w:rsid w:val="00113300"/>
    <w:rsid w:val="00123516"/>
    <w:rsid w:val="001322DA"/>
    <w:rsid w:val="001354BC"/>
    <w:rsid w:val="00140C2F"/>
    <w:rsid w:val="00144D90"/>
    <w:rsid w:val="00146FA6"/>
    <w:rsid w:val="001572F6"/>
    <w:rsid w:val="0016264F"/>
    <w:rsid w:val="001A35EC"/>
    <w:rsid w:val="001A7664"/>
    <w:rsid w:val="001B0B51"/>
    <w:rsid w:val="001C0759"/>
    <w:rsid w:val="001C0DCF"/>
    <w:rsid w:val="001C30E2"/>
    <w:rsid w:val="001D3053"/>
    <w:rsid w:val="001D58DA"/>
    <w:rsid w:val="00215704"/>
    <w:rsid w:val="00216EC9"/>
    <w:rsid w:val="00217B1F"/>
    <w:rsid w:val="00261802"/>
    <w:rsid w:val="00266801"/>
    <w:rsid w:val="0028266C"/>
    <w:rsid w:val="00297C6F"/>
    <w:rsid w:val="002A187D"/>
    <w:rsid w:val="0030189C"/>
    <w:rsid w:val="00323F6A"/>
    <w:rsid w:val="003372D8"/>
    <w:rsid w:val="003406BD"/>
    <w:rsid w:val="00354F17"/>
    <w:rsid w:val="003558D0"/>
    <w:rsid w:val="003568F4"/>
    <w:rsid w:val="00392610"/>
    <w:rsid w:val="003A70BB"/>
    <w:rsid w:val="003C71F2"/>
    <w:rsid w:val="003E75E3"/>
    <w:rsid w:val="003F3408"/>
    <w:rsid w:val="003F7C69"/>
    <w:rsid w:val="0040446C"/>
    <w:rsid w:val="0041660E"/>
    <w:rsid w:val="004277A8"/>
    <w:rsid w:val="00441612"/>
    <w:rsid w:val="004634DC"/>
    <w:rsid w:val="004663ED"/>
    <w:rsid w:val="0047618D"/>
    <w:rsid w:val="004A0A27"/>
    <w:rsid w:val="004A4289"/>
    <w:rsid w:val="004B175A"/>
    <w:rsid w:val="004B29AA"/>
    <w:rsid w:val="004B4363"/>
    <w:rsid w:val="004B6EE4"/>
    <w:rsid w:val="004B703E"/>
    <w:rsid w:val="004C69FE"/>
    <w:rsid w:val="004F24AA"/>
    <w:rsid w:val="00500A2F"/>
    <w:rsid w:val="00505548"/>
    <w:rsid w:val="00511BF8"/>
    <w:rsid w:val="0052236C"/>
    <w:rsid w:val="00556F1A"/>
    <w:rsid w:val="0056683C"/>
    <w:rsid w:val="00567DF9"/>
    <w:rsid w:val="00575488"/>
    <w:rsid w:val="00576D3F"/>
    <w:rsid w:val="00585C96"/>
    <w:rsid w:val="00586B99"/>
    <w:rsid w:val="005B6525"/>
    <w:rsid w:val="005B7FC3"/>
    <w:rsid w:val="005C13C9"/>
    <w:rsid w:val="005C4750"/>
    <w:rsid w:val="005C5E31"/>
    <w:rsid w:val="005D1FD9"/>
    <w:rsid w:val="006039F3"/>
    <w:rsid w:val="00614001"/>
    <w:rsid w:val="006143C8"/>
    <w:rsid w:val="00631B17"/>
    <w:rsid w:val="006345B0"/>
    <w:rsid w:val="00654D7E"/>
    <w:rsid w:val="006810E1"/>
    <w:rsid w:val="006A12AD"/>
    <w:rsid w:val="006C0EC9"/>
    <w:rsid w:val="006F7C17"/>
    <w:rsid w:val="0071465F"/>
    <w:rsid w:val="007709C4"/>
    <w:rsid w:val="00780009"/>
    <w:rsid w:val="00787C40"/>
    <w:rsid w:val="00790059"/>
    <w:rsid w:val="007A28A7"/>
    <w:rsid w:val="007B634F"/>
    <w:rsid w:val="007D2003"/>
    <w:rsid w:val="007E3A92"/>
    <w:rsid w:val="008061EA"/>
    <w:rsid w:val="008063F8"/>
    <w:rsid w:val="00812D92"/>
    <w:rsid w:val="00813042"/>
    <w:rsid w:val="008175B5"/>
    <w:rsid w:val="0084117F"/>
    <w:rsid w:val="00865EC4"/>
    <w:rsid w:val="00873640"/>
    <w:rsid w:val="00876E4F"/>
    <w:rsid w:val="00881FEC"/>
    <w:rsid w:val="00883504"/>
    <w:rsid w:val="00884E94"/>
    <w:rsid w:val="00886DF9"/>
    <w:rsid w:val="008A0804"/>
    <w:rsid w:val="008A2F42"/>
    <w:rsid w:val="008D1F1E"/>
    <w:rsid w:val="008E142C"/>
    <w:rsid w:val="00946D99"/>
    <w:rsid w:val="009524C2"/>
    <w:rsid w:val="009641BF"/>
    <w:rsid w:val="009653A4"/>
    <w:rsid w:val="00975917"/>
    <w:rsid w:val="00983700"/>
    <w:rsid w:val="009A2023"/>
    <w:rsid w:val="009A75E3"/>
    <w:rsid w:val="009B3754"/>
    <w:rsid w:val="009D2CB1"/>
    <w:rsid w:val="009D74B4"/>
    <w:rsid w:val="00A067F5"/>
    <w:rsid w:val="00A267F2"/>
    <w:rsid w:val="00A3219A"/>
    <w:rsid w:val="00A37C8C"/>
    <w:rsid w:val="00A437AE"/>
    <w:rsid w:val="00A951DA"/>
    <w:rsid w:val="00A96B8A"/>
    <w:rsid w:val="00AC2CEE"/>
    <w:rsid w:val="00AD69E4"/>
    <w:rsid w:val="00B03575"/>
    <w:rsid w:val="00B31218"/>
    <w:rsid w:val="00B652FB"/>
    <w:rsid w:val="00B76839"/>
    <w:rsid w:val="00B83D0E"/>
    <w:rsid w:val="00B87581"/>
    <w:rsid w:val="00BB28DD"/>
    <w:rsid w:val="00BB77B5"/>
    <w:rsid w:val="00BD4A2D"/>
    <w:rsid w:val="00BF7092"/>
    <w:rsid w:val="00C21BC5"/>
    <w:rsid w:val="00C343C6"/>
    <w:rsid w:val="00C43EB9"/>
    <w:rsid w:val="00C602E4"/>
    <w:rsid w:val="00C63233"/>
    <w:rsid w:val="00C640CA"/>
    <w:rsid w:val="00C70163"/>
    <w:rsid w:val="00C762E1"/>
    <w:rsid w:val="00C85401"/>
    <w:rsid w:val="00CD525C"/>
    <w:rsid w:val="00CE09A1"/>
    <w:rsid w:val="00CF78BC"/>
    <w:rsid w:val="00CF7C51"/>
    <w:rsid w:val="00D11702"/>
    <w:rsid w:val="00D11AEC"/>
    <w:rsid w:val="00D17995"/>
    <w:rsid w:val="00D2433B"/>
    <w:rsid w:val="00D51D6F"/>
    <w:rsid w:val="00D57C7A"/>
    <w:rsid w:val="00DB4F53"/>
    <w:rsid w:val="00DB695A"/>
    <w:rsid w:val="00DC00E0"/>
    <w:rsid w:val="00DD303E"/>
    <w:rsid w:val="00DE29F2"/>
    <w:rsid w:val="00DF0ADC"/>
    <w:rsid w:val="00DF1D7C"/>
    <w:rsid w:val="00DF2B83"/>
    <w:rsid w:val="00E22276"/>
    <w:rsid w:val="00E6473E"/>
    <w:rsid w:val="00E70990"/>
    <w:rsid w:val="00E9588E"/>
    <w:rsid w:val="00E97E3E"/>
    <w:rsid w:val="00EC306D"/>
    <w:rsid w:val="00EF32AA"/>
    <w:rsid w:val="00F04674"/>
    <w:rsid w:val="00F22CBD"/>
    <w:rsid w:val="00F467CF"/>
    <w:rsid w:val="00F7513E"/>
    <w:rsid w:val="00F76654"/>
    <w:rsid w:val="00FA2BC3"/>
    <w:rsid w:val="00FA4238"/>
    <w:rsid w:val="00FB7E49"/>
    <w:rsid w:val="00FC123D"/>
    <w:rsid w:val="00FD07A0"/>
    <w:rsid w:val="00FD48EF"/>
    <w:rsid w:val="00FD6975"/>
    <w:rsid w:val="00FE5C66"/>
    <w:rsid w:val="00FF2958"/>
    <w:rsid w:val="00FF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6CD32A"/>
  <w15:chartTrackingRefBased/>
  <w15:docId w15:val="{B59FD86E-1828-AF45-B8E1-43E0A78A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6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6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6975"/>
    <w:rPr>
      <w:b/>
      <w:bCs/>
    </w:rPr>
  </w:style>
  <w:style w:type="character" w:customStyle="1" w:styleId="apple-converted-space">
    <w:name w:val="apple-converted-space"/>
    <w:basedOn w:val="DefaultParagraphFont"/>
    <w:rsid w:val="00FD6975"/>
  </w:style>
  <w:style w:type="character" w:styleId="Hyperlink">
    <w:name w:val="Hyperlink"/>
    <w:basedOn w:val="DefaultParagraphFont"/>
    <w:uiPriority w:val="99"/>
    <w:semiHidden/>
    <w:unhideWhenUsed/>
    <w:rsid w:val="00FD697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D69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ebertpub.com/doi/10.1089/sur.2016.261?url_ver=Z39.88-2003&amp;rfr_id=ori:rid:crossref.org&amp;rfr_dat=cr_pub%20%200pubmed" TargetMode="External"/><Relationship Id="rId18" Type="http://schemas.openxmlformats.org/officeDocument/2006/relationships/hyperlink" Target="https://pubmed.ncbi.nlm.nih.gov/18288616" TargetMode="External"/><Relationship Id="rId26" Type="http://schemas.openxmlformats.org/officeDocument/2006/relationships/hyperlink" Target="https://pubmed.ncbi.nlm.nih.gov/3524217" TargetMode="External"/><Relationship Id="rId39" Type="http://schemas.openxmlformats.org/officeDocument/2006/relationships/hyperlink" Target="https://www.liebertpub.com/doi/10.1089/sur.2016.261?url_ver=Z39.88-2003&amp;rfr_id=ori:rid:crossref.org&amp;rfr_dat=cr_pub%20%200pubmed" TargetMode="External"/><Relationship Id="rId21" Type="http://schemas.openxmlformats.org/officeDocument/2006/relationships/hyperlink" Target="https://www.liebertpub.com/doi/10.1089/sur.2016.261?url_ver=Z39.88-2003&amp;rfr_id=ori:rid:crossref.org&amp;rfr_dat=cr_pub%20%200pubmed" TargetMode="External"/><Relationship Id="rId34" Type="http://schemas.openxmlformats.org/officeDocument/2006/relationships/hyperlink" Target="https://www.nejm.org/doi/full/10.1056/NEJMoa1411162" TargetMode="External"/><Relationship Id="rId42" Type="http://schemas.openxmlformats.org/officeDocument/2006/relationships/hyperlink" Target="https://www.liebertpub.com/doi/10.1089/sur.2016.261?url_ver=Z39.88-2003&amp;rfr_id=ori:rid:crossref.org&amp;rfr_dat=cr_pub%20%200pubmed" TargetMode="External"/><Relationship Id="rId47" Type="http://schemas.openxmlformats.org/officeDocument/2006/relationships/hyperlink" Target="https://www.liebertpub.com/doi/10.1089/sur.2016.261?url_ver=Z39.88-2003&amp;rfr_id=ori:rid:crossref.org&amp;rfr_dat=cr_pub%20%200pubmed" TargetMode="External"/><Relationship Id="rId50" Type="http://schemas.openxmlformats.org/officeDocument/2006/relationships/hyperlink" Target="https://www.ncbi.nlm.nih.gov/pmc/articles/PMC11149120/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pubmed.ncbi.nlm.nih.gov/40743634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med.ncbi.nlm.nih.gov/40743634" TargetMode="External"/><Relationship Id="rId29" Type="http://schemas.openxmlformats.org/officeDocument/2006/relationships/hyperlink" Target="https://pubmed.ncbi.nlm.nih.gov/3524217" TargetMode="External"/><Relationship Id="rId11" Type="http://schemas.openxmlformats.org/officeDocument/2006/relationships/hyperlink" Target="https://www.facs.org/media/o1gazfwy/2021_ms_gisemanual_final_01_22.pdf" TargetMode="External"/><Relationship Id="rId24" Type="http://schemas.openxmlformats.org/officeDocument/2006/relationships/hyperlink" Target="https://www.liebertpub.com/doi/10.1089/sur.2024.137?url_ver=Z39.88-2003&amp;rfr_id=ori:rid:crossref.org&amp;rfr_dat=cr_pub%20%200pubmed" TargetMode="External"/><Relationship Id="rId32" Type="http://schemas.openxmlformats.org/officeDocument/2006/relationships/hyperlink" Target="https://www.liebertpub.com/doi/10.1089/sur.2016.261?url_ver=Z39.88-2003&amp;rfr_id=ori:rid:crossref.org&amp;rfr_dat=cr_pub%20%200pubmed" TargetMode="External"/><Relationship Id="rId37" Type="http://schemas.openxmlformats.org/officeDocument/2006/relationships/hyperlink" Target="https://www.liebertpub.com/doi/10.1089/sur.2024.137?url_ver=Z39.88-2003&amp;rfr_id=ori:rid:crossref.org&amp;rfr_dat=cr_pub%20%200pubmed" TargetMode="External"/><Relationship Id="rId40" Type="http://schemas.openxmlformats.org/officeDocument/2006/relationships/hyperlink" Target="https://www.liebertpub.com/doi/10.1089/sur.2024.137?url_ver=Z39.88-2003&amp;rfr_id=ori:rid:crossref.org&amp;rfr_dat=cr_pub%20%200pubmed" TargetMode="External"/><Relationship Id="rId45" Type="http://schemas.openxmlformats.org/officeDocument/2006/relationships/hyperlink" Target="https://pubmed.ncbi.nlm.nih.gov/30128188" TargetMode="External"/><Relationship Id="rId53" Type="http://schemas.openxmlformats.org/officeDocument/2006/relationships/hyperlink" Target="https://pubmed.ncbi.nlm.nih.gov/37085768" TargetMode="External"/><Relationship Id="rId5" Type="http://schemas.openxmlformats.org/officeDocument/2006/relationships/hyperlink" Target="https://pubmed.ncbi.nlm.nih.gov/3524217" TargetMode="External"/><Relationship Id="rId10" Type="http://schemas.openxmlformats.org/officeDocument/2006/relationships/hyperlink" Target="https://www.facs.org/media/o1gazfwy/2021_ms_gisemanual_final_01_22.pdf" TargetMode="External"/><Relationship Id="rId19" Type="http://schemas.openxmlformats.org/officeDocument/2006/relationships/hyperlink" Target="https://www.liebertpub.com/doi/10.1089/sur.2016.261?url_ver=Z39.88-2003&amp;rfr_id=ori:rid:crossref.org&amp;rfr_dat=cr_pub%20%200pubmed" TargetMode="External"/><Relationship Id="rId31" Type="http://schemas.openxmlformats.org/officeDocument/2006/relationships/hyperlink" Target="https://pubmed.ncbi.nlm.nih.gov/37085768" TargetMode="External"/><Relationship Id="rId44" Type="http://schemas.openxmlformats.org/officeDocument/2006/relationships/hyperlink" Target="https://pubmed.ncbi.nlm.nih.gov/40743634" TargetMode="External"/><Relationship Id="rId52" Type="http://schemas.openxmlformats.org/officeDocument/2006/relationships/hyperlink" Target="https://pubmed.ncbi.nlm.nih.gov/396361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0128188" TargetMode="External"/><Relationship Id="rId14" Type="http://schemas.openxmlformats.org/officeDocument/2006/relationships/hyperlink" Target="https://pubmed.ncbi.nlm.nih.gov/18288616" TargetMode="External"/><Relationship Id="rId22" Type="http://schemas.openxmlformats.org/officeDocument/2006/relationships/hyperlink" Target="https://pubmed.ncbi.nlm.nih.gov/40743634" TargetMode="External"/><Relationship Id="rId27" Type="http://schemas.openxmlformats.org/officeDocument/2006/relationships/hyperlink" Target="https://pubmed.ncbi.nlm.nih.gov/40743634" TargetMode="External"/><Relationship Id="rId30" Type="http://schemas.openxmlformats.org/officeDocument/2006/relationships/hyperlink" Target="https://pubmed.ncbi.nlm.nih.gov/39636126" TargetMode="External"/><Relationship Id="rId35" Type="http://schemas.openxmlformats.org/officeDocument/2006/relationships/image" Target="media/image1.jpeg"/><Relationship Id="rId43" Type="http://schemas.openxmlformats.org/officeDocument/2006/relationships/hyperlink" Target="https://pubmed.ncbi.nlm.nih.gov/3524217" TargetMode="External"/><Relationship Id="rId48" Type="http://schemas.openxmlformats.org/officeDocument/2006/relationships/hyperlink" Target="https://pubmed.ncbi.nlm.nih.gov/18288616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pubmed.ncbi.nlm.nih.gov/3524217" TargetMode="External"/><Relationship Id="rId51" Type="http://schemas.openxmlformats.org/officeDocument/2006/relationships/hyperlink" Target="https://www.ncbi.nlm.nih.gov/pmc/articles/PMC5504840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ubmed.ncbi.nlm.nih.gov/3524217" TargetMode="External"/><Relationship Id="rId17" Type="http://schemas.openxmlformats.org/officeDocument/2006/relationships/hyperlink" Target="https://www.liebertpub.com/doi/10.1089/sur.2016.261?url_ver=Z39.88-2003&amp;rfr_id=ori:rid:crossref.org&amp;rfr_dat=cr_pub%20%200pubmed" TargetMode="External"/><Relationship Id="rId25" Type="http://schemas.openxmlformats.org/officeDocument/2006/relationships/hyperlink" Target="https://pubmed.ncbi.nlm.nih.gov/3524217" TargetMode="External"/><Relationship Id="rId33" Type="http://schemas.openxmlformats.org/officeDocument/2006/relationships/hyperlink" Target="https://www.ncbi.nlm.nih.gov/pmc/articles/PMC11149120/" TargetMode="External"/><Relationship Id="rId38" Type="http://schemas.openxmlformats.org/officeDocument/2006/relationships/hyperlink" Target="https://www.liebertpub.com/doi/10.1089/sur.2016.261?url_ver=Z39.88-2003&amp;rfr_id=ori:rid:crossref.org&amp;rfr_dat=cr_pub%20%200pubmed" TargetMode="External"/><Relationship Id="rId46" Type="http://schemas.openxmlformats.org/officeDocument/2006/relationships/hyperlink" Target="https://www.facs.org/media/o1gazfwy/2021_ms_gisemanual_final_01_22.pdf" TargetMode="External"/><Relationship Id="rId20" Type="http://schemas.openxmlformats.org/officeDocument/2006/relationships/hyperlink" Target="https://pubmed.ncbi.nlm.nih.gov/40743634" TargetMode="External"/><Relationship Id="rId41" Type="http://schemas.openxmlformats.org/officeDocument/2006/relationships/hyperlink" Target="https://www.liebertpub.com/doi/10.1089/sur.2016.261?url_ver=Z39.88-2003&amp;rfr_id=ori:rid:crossref.org&amp;rfr_dat=cr_pub%20%200pubmed" TargetMode="External"/><Relationship Id="rId54" Type="http://schemas.openxmlformats.org/officeDocument/2006/relationships/hyperlink" Target="https://www.nejm.org/doi/full/10.1056/NEJMoa141116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40743634" TargetMode="External"/><Relationship Id="rId15" Type="http://schemas.openxmlformats.org/officeDocument/2006/relationships/hyperlink" Target="https://www.liebertpub.com/doi/10.1089/sur.2016.261?url_ver=Z39.88-2003&amp;rfr_id=ori:rid:crossref.org&amp;rfr_dat=cr_pub%20%200pubmed" TargetMode="External"/><Relationship Id="rId23" Type="http://schemas.openxmlformats.org/officeDocument/2006/relationships/hyperlink" Target="https://www.liebertpub.com/doi/10.1089/sur.2016.261?url_ver=Z39.88-2003&amp;rfr_id=ori:rid:crossref.org&amp;rfr_dat=cr_pub%20%200pubmed" TargetMode="External"/><Relationship Id="rId28" Type="http://schemas.openxmlformats.org/officeDocument/2006/relationships/hyperlink" Target="https://pubmed.ncbi.nlm.nih.gov/30128188" TargetMode="External"/><Relationship Id="rId36" Type="http://schemas.openxmlformats.org/officeDocument/2006/relationships/hyperlink" Target="https://www.liebertpub.com/doi/10.1089/sur.2016.261?url_ver=Z39.88-2003&amp;rfr_id=ori:rid:crossref.org&amp;rfr_dat=cr_pub%20%200pubmed" TargetMode="External"/><Relationship Id="rId49" Type="http://schemas.openxmlformats.org/officeDocument/2006/relationships/hyperlink" Target="https://www.liebertpub.com/doi/10.1089/sur.2024.137?url_ver=Z39.88-2003&amp;rfr_id=ori:rid:crossref.org&amp;rfr_dat=cr_pub%20%200pubm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1015</Words>
  <Characters>7253</Characters>
  <Application>Microsoft Office Word</Application>
  <DocSecurity>0</DocSecurity>
  <Lines>208</Lines>
  <Paragraphs>35</Paragraphs>
  <ScaleCrop>false</ScaleCrop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Arepally</dc:creator>
  <cp:keywords/>
  <dc:description/>
  <cp:lastModifiedBy>Aravind Arepally</cp:lastModifiedBy>
  <cp:revision>1</cp:revision>
  <dcterms:created xsi:type="dcterms:W3CDTF">2026-05-01T22:38:00Z</dcterms:created>
  <dcterms:modified xsi:type="dcterms:W3CDTF">2026-05-01T22:39:00Z</dcterms:modified>
</cp:coreProperties>
</file>