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Õpetaja töölaud ja otsustuskiht (Decision Layer)</w:t>
        <w:br/>
        <w:t>Isiku läbivaatuse õpivahend</w:t>
      </w:r>
    </w:p>
    <w:p/>
    <w:p>
      <w:r>
        <w:rPr>
          <w:b/>
        </w:rPr>
        <w:t>1. Eesmärk</w:t>
        <w:br/>
      </w:r>
    </w:p>
    <w:p>
      <w:r>
        <w:t>Kirjeldada, kuidas õpetaja kasutab süsteemi kogutud andmeid (monitoring + analytics), et teha didaktilisi otsuseid, anda tagasisidet ja suunata õppimist.</w:t>
      </w:r>
    </w:p>
    <w:p>
      <w:r>
        <w:rPr>
          <w:b/>
        </w:rPr>
        <w:br/>
        <w:t>2. Põhimõtted</w:t>
        <w:br/>
      </w:r>
    </w:p>
    <w:p>
      <w:r>
        <w:t>Õpetaja ei vaja toorlogisid, vaid tähenduslikke vaateid.</w:t>
      </w:r>
    </w:p>
    <w:p>
      <w:r>
        <w:t>Fookus on mustritel, mitte üksikjuhtumitel.</w:t>
      </w:r>
    </w:p>
    <w:p>
      <w:r>
        <w:t>Süsteem peab toetama otsustamist, mitte ainult andmete kuvamist.</w:t>
      </w:r>
    </w:p>
    <w:p>
      <w:r>
        <w:t>AI ei asenda õpetajat, vaid toetab teda.</w:t>
      </w:r>
    </w:p>
    <w:p>
      <w:r>
        <w:rPr>
          <w:b/>
        </w:rPr>
        <w:br/>
        <w:t>3. Õpetaja vaated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t>Vaade</w:t>
            </w:r>
          </w:p>
        </w:tc>
        <w:tc>
          <w:tcPr>
            <w:tcW w:type="dxa" w:w="3060"/>
          </w:tcPr>
          <w:p>
            <w:r>
              <w:t>Mida näitab</w:t>
            </w:r>
          </w:p>
        </w:tc>
        <w:tc>
          <w:tcPr>
            <w:tcW w:type="dxa" w:w="3060"/>
          </w:tcPr>
          <w:p>
            <w:r>
              <w:t>Otsus</w:t>
            </w:r>
          </w:p>
        </w:tc>
        <w:tc>
          <w:tcPr>
            <w:tcW w:type="dxa" w:w="3060"/>
          </w:tcPr>
          <w:p>
            <w:r>
              <w:t>Miks vajalik</w:t>
            </w:r>
          </w:p>
        </w:tc>
      </w:tr>
      <w:tr>
        <w:tc>
          <w:tcPr>
            <w:tcW w:type="dxa" w:w="3060"/>
          </w:tcPr>
          <w:p>
            <w:r>
              <w:t>Sammuanalüüs</w:t>
            </w:r>
          </w:p>
        </w:tc>
        <w:tc>
          <w:tcPr>
            <w:tcW w:type="dxa" w:w="3060"/>
          </w:tcPr>
          <w:p>
            <w:r>
              <w:t>kus õppijad takerduvad</w:t>
            </w:r>
          </w:p>
        </w:tc>
        <w:tc>
          <w:tcPr>
            <w:tcW w:type="dxa" w:w="3060"/>
          </w:tcPr>
          <w:p>
            <w:r>
              <w:t>muuta juhiseid</w:t>
            </w:r>
          </w:p>
        </w:tc>
        <w:tc>
          <w:tcPr>
            <w:tcW w:type="dxa" w:w="3060"/>
          </w:tcPr>
          <w:p>
            <w:r>
              <w:t>parandab õppeprotsessi</w:t>
            </w:r>
          </w:p>
        </w:tc>
      </w:tr>
      <w:tr>
        <w:tc>
          <w:tcPr>
            <w:tcW w:type="dxa" w:w="3060"/>
          </w:tcPr>
          <w:p>
            <w:r>
              <w:t>Vigade muster</w:t>
            </w:r>
          </w:p>
        </w:tc>
        <w:tc>
          <w:tcPr>
            <w:tcW w:type="dxa" w:w="3060"/>
          </w:tcPr>
          <w:p>
            <w:r>
              <w:t>korduvad vead</w:t>
            </w:r>
          </w:p>
        </w:tc>
        <w:tc>
          <w:tcPr>
            <w:tcW w:type="dxa" w:w="3060"/>
          </w:tcPr>
          <w:p>
            <w:r>
              <w:t>täpsustada õpetust</w:t>
            </w:r>
          </w:p>
        </w:tc>
        <w:tc>
          <w:tcPr>
            <w:tcW w:type="dxa" w:w="3060"/>
          </w:tcPr>
          <w:p>
            <w:r>
              <w:t>vähendab süsteemseid eksimusi</w:t>
            </w:r>
          </w:p>
        </w:tc>
      </w:tr>
      <w:tr>
        <w:tc>
          <w:tcPr>
            <w:tcW w:type="dxa" w:w="3060"/>
          </w:tcPr>
          <w:p>
            <w:r>
              <w:t>AI hoiatused</w:t>
            </w:r>
          </w:p>
        </w:tc>
        <w:tc>
          <w:tcPr>
            <w:tcW w:type="dxa" w:w="3060"/>
          </w:tcPr>
          <w:p>
            <w:r>
              <w:t>inference warningud</w:t>
            </w:r>
          </w:p>
        </w:tc>
        <w:tc>
          <w:tcPr>
            <w:tcW w:type="dxa" w:w="3060"/>
          </w:tcPr>
          <w:p>
            <w:r>
              <w:t>selgitada mõtlemist</w:t>
            </w:r>
          </w:p>
        </w:tc>
        <w:tc>
          <w:tcPr>
            <w:tcW w:type="dxa" w:w="3060"/>
          </w:tcPr>
          <w:p>
            <w:r>
              <w:t>toetab didaktikat</w:t>
            </w:r>
          </w:p>
        </w:tc>
      </w:tr>
      <w:tr>
        <w:tc>
          <w:tcPr>
            <w:tcW w:type="dxa" w:w="3060"/>
          </w:tcPr>
          <w:p>
            <w:r>
              <w:t>Progress</w:t>
            </w:r>
          </w:p>
        </w:tc>
        <w:tc>
          <w:tcPr>
            <w:tcW w:type="dxa" w:w="3060"/>
          </w:tcPr>
          <w:p>
            <w:r>
              <w:t>kes lõpetab / katkestab</w:t>
            </w:r>
          </w:p>
        </w:tc>
        <w:tc>
          <w:tcPr>
            <w:tcW w:type="dxa" w:w="3060"/>
          </w:tcPr>
          <w:p>
            <w:r>
              <w:t>anda individuaalset tuge</w:t>
            </w:r>
          </w:p>
        </w:tc>
        <w:tc>
          <w:tcPr>
            <w:tcW w:type="dxa" w:w="3060"/>
          </w:tcPr>
          <w:p>
            <w:r>
              <w:t>parandab õpitulemusi</w:t>
            </w:r>
          </w:p>
        </w:tc>
      </w:tr>
    </w:tbl>
    <w:p>
      <w:r>
        <w:rPr>
          <w:b/>
        </w:rPr>
        <w:br/>
        <w:t>4. Näidisotsused</w:t>
        <w:br/>
      </w:r>
    </w:p>
    <w:p>
      <w:r>
        <w:t>Kui inference warningud on kõrged → lisada juhiseid vaatlus vs järeldus teemal</w:t>
      </w:r>
    </w:p>
    <w:p>
      <w:r>
        <w:t>Kui drop-off on kõrge → lihtsustada UI või muuta sammude järjekorda</w:t>
      </w:r>
    </w:p>
    <w:p>
      <w:r>
        <w:t>Kui validation error kordub → muuta vormi või juhiseid</w:t>
      </w:r>
    </w:p>
    <w:p>
      <w:r>
        <w:t>Kui ajakulu on liiga suur → optimeerida workflow</w:t>
      </w:r>
    </w:p>
    <w:p>
      <w:r>
        <w:rPr>
          <w:b/>
        </w:rPr>
        <w:br/>
        <w:t>5. Kommentaarid</w:t>
        <w:br/>
      </w:r>
    </w:p>
    <w:p>
      <w:r>
        <w:t>See kiht muudab kogu süsteemi õppevahendiks. Ilma õpetaja vaadeta jääks analüütika passiivseks. Õpetaja töölaud on koht, kus andmetest saab otsus.</w:t>
      </w:r>
    </w:p>
    <w:p>
      <w:r>
        <w:rPr>
          <w:b/>
        </w:rPr>
        <w:br/>
        <w:t>6. Süsteemi küpsushinnang</w:t>
        <w:br/>
      </w:r>
    </w:p>
    <w:p>
      <w:r>
        <w:t>Käesoleva hetke põhjal on süsteem jõudnud väga kõrgele küpsustasemele. Olemas on arhitektuur, andmemudel, API, workflow, traceability, testimine, QA, monitoring, analüütika ja otsustuskiht.</w:t>
      </w:r>
    </w:p>
    <w:p>
      <w:r>
        <w:t>Hinnanguline küpsus: 9.8 / 10</w:t>
        <w:br/>
        <w:br/>
        <w:t>Tase: peaaegu production-ready õppeplatvorm</w:t>
      </w:r>
    </w:p>
    <w:p>
      <w:r>
        <w:t>Puuduv viimane kiht on peamiselt operatiivne rakendamine:</w:t>
        <w:br/>
        <w:t>- automaatsete testide päris käivitamine</w:t>
        <w:br/>
        <w:t>- reaalne monitoring dashboard</w:t>
        <w:br/>
        <w:t>- kasutajate peal valideerimine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