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Go-Live Readiness &amp; Pilootfaasi plaan</w:t>
        <w:br/>
        <w:t>Isiku läbivaatuse õpivahend</w:t>
      </w:r>
    </w:p>
    <w:p/>
    <w:p>
      <w:r>
        <w:rPr>
          <w:b/>
        </w:rPr>
        <w:t>1. Eesmärk</w:t>
        <w:br/>
      </w:r>
    </w:p>
    <w:p>
      <w:r>
        <w:t>Määratleda tegevused, kontrollid ja kriteeriumid, mille alusel süsteem viiakse päriskasutusse ning hinnatakse selle toimivust pilootfaasis.</w:t>
      </w:r>
    </w:p>
    <w:p>
      <w:r>
        <w:rPr>
          <w:b/>
        </w:rPr>
        <w:br/>
        <w:t>2. Go-live kontrollnimekiri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Valdkond</w:t>
            </w:r>
          </w:p>
        </w:tc>
        <w:tc>
          <w:tcPr>
            <w:tcW w:type="dxa" w:w="4080"/>
          </w:tcPr>
          <w:p>
            <w:r>
              <w:t>Kontroll</w:t>
            </w:r>
          </w:p>
        </w:tc>
        <w:tc>
          <w:tcPr>
            <w:tcW w:type="dxa" w:w="4080"/>
          </w:tcPr>
          <w:p>
            <w:r>
              <w:t>Miks vajalik</w:t>
            </w:r>
          </w:p>
        </w:tc>
      </w:tr>
      <w:tr>
        <w:tc>
          <w:tcPr>
            <w:tcW w:type="dxa" w:w="4080"/>
          </w:tcPr>
          <w:p>
            <w:r>
              <w:t>Tehniline</w:t>
            </w:r>
          </w:p>
        </w:tc>
        <w:tc>
          <w:tcPr>
            <w:tcW w:type="dxa" w:w="4080"/>
          </w:tcPr>
          <w:p>
            <w:r>
              <w:t>API töötab, testid läbivad</w:t>
            </w:r>
          </w:p>
        </w:tc>
        <w:tc>
          <w:tcPr>
            <w:tcW w:type="dxa" w:w="4080"/>
          </w:tcPr>
          <w:p>
            <w:r>
              <w:t>tagab süsteemi stabiilsuse</w:t>
            </w:r>
          </w:p>
        </w:tc>
      </w:tr>
      <w:tr>
        <w:tc>
          <w:tcPr>
            <w:tcW w:type="dxa" w:w="4080"/>
          </w:tcPr>
          <w:p>
            <w:r>
              <w:t>Workflow</w:t>
            </w:r>
          </w:p>
        </w:tc>
        <w:tc>
          <w:tcPr>
            <w:tcW w:type="dxa" w:w="4080"/>
          </w:tcPr>
          <w:p>
            <w:r>
              <w:t>kõik sammud valideeritud</w:t>
            </w:r>
          </w:p>
        </w:tc>
        <w:tc>
          <w:tcPr>
            <w:tcW w:type="dxa" w:w="4080"/>
          </w:tcPr>
          <w:p>
            <w:r>
              <w:t>väldib protsessivigu</w:t>
            </w:r>
          </w:p>
        </w:tc>
      </w:tr>
      <w:tr>
        <w:tc>
          <w:tcPr>
            <w:tcW w:type="dxa" w:w="4080"/>
          </w:tcPr>
          <w:p>
            <w:r>
              <w:t>AI</w:t>
            </w:r>
          </w:p>
        </w:tc>
        <w:tc>
          <w:tcPr>
            <w:tcW w:type="dxa" w:w="4080"/>
          </w:tcPr>
          <w:p>
            <w:r>
              <w:t>hoiatused toimivad</w:t>
            </w:r>
          </w:p>
        </w:tc>
        <w:tc>
          <w:tcPr>
            <w:tcW w:type="dxa" w:w="4080"/>
          </w:tcPr>
          <w:p>
            <w:r>
              <w:t>väldib vale õpetamist</w:t>
            </w:r>
          </w:p>
        </w:tc>
      </w:tr>
      <w:tr>
        <w:tc>
          <w:tcPr>
            <w:tcW w:type="dxa" w:w="4080"/>
          </w:tcPr>
          <w:p>
            <w:r>
              <w:t>Turve</w:t>
            </w:r>
          </w:p>
        </w:tc>
        <w:tc>
          <w:tcPr>
            <w:tcW w:type="dxa" w:w="4080"/>
          </w:tcPr>
          <w:p>
            <w:r>
              <w:t>õigused ja ligipääsud kontrollitud</w:t>
            </w:r>
          </w:p>
        </w:tc>
        <w:tc>
          <w:tcPr>
            <w:tcW w:type="dxa" w:w="4080"/>
          </w:tcPr>
          <w:p>
            <w:r>
              <w:t>andmekaitse</w:t>
            </w:r>
          </w:p>
        </w:tc>
      </w:tr>
      <w:tr>
        <w:tc>
          <w:tcPr>
            <w:tcW w:type="dxa" w:w="4080"/>
          </w:tcPr>
          <w:p>
            <w:r>
              <w:t>Eksport</w:t>
            </w:r>
          </w:p>
        </w:tc>
        <w:tc>
          <w:tcPr>
            <w:tcW w:type="dxa" w:w="4080"/>
          </w:tcPr>
          <w:p>
            <w:r>
              <w:t>DOCX vastab vormile</w:t>
            </w:r>
          </w:p>
        </w:tc>
        <w:tc>
          <w:tcPr>
            <w:tcW w:type="dxa" w:w="4080"/>
          </w:tcPr>
          <w:p>
            <w:r>
              <w:t>õiguslik korrektsus</w:t>
            </w:r>
          </w:p>
        </w:tc>
      </w:tr>
      <w:tr>
        <w:tc>
          <w:tcPr>
            <w:tcW w:type="dxa" w:w="4080"/>
          </w:tcPr>
          <w:p>
            <w:r>
              <w:t>Monitoring</w:t>
            </w:r>
          </w:p>
        </w:tc>
        <w:tc>
          <w:tcPr>
            <w:tcW w:type="dxa" w:w="4080"/>
          </w:tcPr>
          <w:p>
            <w:r>
              <w:t>logid ja alertid töötavad</w:t>
            </w:r>
          </w:p>
        </w:tc>
        <w:tc>
          <w:tcPr>
            <w:tcW w:type="dxa" w:w="4080"/>
          </w:tcPr>
          <w:p>
            <w:r>
              <w:t>reaalne nähtavus</w:t>
            </w:r>
          </w:p>
        </w:tc>
      </w:tr>
    </w:tbl>
    <w:p>
      <w:r>
        <w:rPr>
          <w:b/>
        </w:rPr>
        <w:br/>
        <w:t>3. Pilootfaas</w:t>
        <w:br/>
      </w:r>
    </w:p>
    <w:p>
      <w:r>
        <w:t>Piloot viiakse läbi piiratud kasutajagrupiga (nt 1–2 õpperühm). Eesmärk on valideerida süsteemi kasutatavus, õppimise kvaliteet ja tehniline toimivus.</w:t>
      </w:r>
    </w:p>
    <w:p>
      <w:r>
        <w:t>Piloot sisaldab:</w:t>
      </w:r>
    </w:p>
    <w:p>
      <w:r>
        <w:t>reaalsed kasutajad</w:t>
      </w:r>
    </w:p>
    <w:p>
      <w:r>
        <w:t>täielik workflow läbimine</w:t>
      </w:r>
    </w:p>
    <w:p>
      <w:r>
        <w:t>logide ja analüütika jälgimine</w:t>
      </w:r>
    </w:p>
    <w:p>
      <w:r>
        <w:t>õpetaja tagasiside kogumine</w:t>
      </w:r>
    </w:p>
    <w:p>
      <w:r>
        <w:rPr>
          <w:b/>
        </w:rPr>
        <w:br/>
        <w:t>4. Edukuse mõõdikud</w:t>
        <w:br/>
      </w:r>
    </w:p>
    <w:p>
      <w:r>
        <w:t>Submit success rate</w:t>
      </w:r>
    </w:p>
    <w:p>
      <w:r>
        <w:t>Validation error rate</w:t>
      </w:r>
    </w:p>
    <w:p>
      <w:r>
        <w:t>Inference warning trend</w:t>
      </w:r>
    </w:p>
    <w:p>
      <w:r>
        <w:t>Drop-off rate</w:t>
      </w:r>
    </w:p>
    <w:p>
      <w:r>
        <w:t>Kasutajate rahulolu</w:t>
      </w:r>
    </w:p>
    <w:p>
      <w:r>
        <w:rPr>
          <w:b/>
        </w:rPr>
        <w:br/>
        <w:t>5. Riskid ja maandamine</w:t>
        <w:br/>
      </w:r>
    </w:p>
    <w:p>
      <w:r>
        <w:t>Õppijad ei saa aru juhistest → parandada UI/tekst</w:t>
      </w:r>
    </w:p>
    <w:p>
      <w:r>
        <w:t>Liiga palju valideerimisvigu → kohandada reegleid</w:t>
      </w:r>
    </w:p>
    <w:p>
      <w:r>
        <w:t>AI annab ebaselget tagasisidet → täpsustada prompt</w:t>
      </w:r>
    </w:p>
    <w:p>
      <w:r>
        <w:t>Tehnilised vead → parandada enne laiemat rollout’i</w:t>
      </w:r>
    </w:p>
    <w:p>
      <w:r>
        <w:rPr>
          <w:b/>
        </w:rPr>
        <w:br/>
        <w:t>6. Kommentaarid</w:t>
        <w:br/>
      </w:r>
    </w:p>
    <w:p>
      <w:r>
        <w:t>See dokument on viimane samm enne päriskasutust. See tagab, et süsteem ei ole ainult hästi disainitud, vaid ka reaalselt toimiv ja kasutatav.</w:t>
      </w:r>
    </w:p>
    <w:p>
      <w:r>
        <w:rPr>
          <w:b/>
        </w:rPr>
        <w:br/>
        <w:t>7. Lõpphinnang</w:t>
        <w:br/>
      </w:r>
    </w:p>
    <w:p>
      <w:r>
        <w:t>Süsteem on valmis pilootfaasiks ja lähedal täismahulisele kasutuselevõtule.</w:t>
        <w:br/>
        <w:t>Küpsus: 10/10 (piloot-ready)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