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WiFi CSI Sensing for Speech- and Hearing-Impaired Smart Homes</w:t>
      </w:r>
    </w:p>
    <w:p>
      <w:pPr>
        <w:spacing w:after="40"/>
        <w:jc w:val="center"/>
      </w:pPr>
      <w:r>
        <w:rPr>
          <w:b w:val="0"/>
          <w:i w:val="0"/>
          <w:sz w:val="28"/>
        </w:rPr>
        <w:t>Technical Direction and Execution Plan</w:t>
      </w:r>
    </w:p>
    <w:p>
      <w:pPr>
        <w:spacing w:after="40"/>
        <w:jc w:val="center"/>
      </w:pPr>
      <w:r>
        <w:rPr>
          <w:b w:val="0"/>
          <w:i/>
          <w:sz w:val="20"/>
        </w:rPr>
        <w:t>Team 67  ·  Dept. of CSE, Amrita Vishwa Vidyapeetham  ·  Guide: Ms. Nalinadevi K</w:t>
      </w:r>
    </w:p>
    <w:p>
      <w:pPr>
        <w:spacing w:after="280"/>
        <w:jc w:val="center"/>
      </w:pPr>
      <w:r>
        <w:rPr>
          <w:b w:val="0"/>
          <w:i/>
          <w:sz w:val="20"/>
        </w:rPr>
        <w:t>Prepared 22 July 2026  ·  Covers July 2026 → January 2027</w:t>
      </w:r>
    </w:p>
    <w:p>
      <w:pPr>
        <w:pStyle w:val="Heading1"/>
      </w:pPr>
      <w:r>
        <w:t>1. The Short Answer</w:t>
      </w:r>
    </w:p>
    <w:p>
      <w:r>
        <w:rPr>
          <w:b/>
          <w:i w:val="0"/>
        </w:rPr>
        <w:t xml:space="preserve">Is the USRP OK? </w:t>
      </w:r>
      <w:r>
        <w:rPr>
          <w:b w:val="0"/>
          <w:i w:val="0"/>
        </w:rPr>
        <w:t xml:space="preserve">Yes — your guide is right, but with one correction that changes everything. The USRP is not your problem. </w:t>
      </w:r>
      <w:r>
        <w:rPr>
          <w:b/>
          <w:i w:val="0"/>
        </w:rPr>
        <w:t>Your transmitter is.</w:t>
      </w:r>
    </w:p>
    <w:p>
      <w:r>
        <w:rPr>
          <w:b w:val="0"/>
          <w:i w:val="0"/>
        </w:rPr>
        <w:t>Every serious result you have chased has been blocked by the same thing: you are passively sniffing a link you do not control (a MacBook talking to an Android hotspot). The paper you referenced does not do this. It uses two USRPs — one as a controlled transmitter that emits packets at a fixed rate, one as receiver. That single architectural difference is the source of the variable packet rate, the undecodable 802.11n frames, the rotating MACs, the drifting channel, and — as of today's test — the collapse of your models on a new recording session.</w:t>
      </w:r>
    </w:p>
    <w:tbl>
      <w:tblPr>
        <w:tblStyle w:val="TableGrid"/>
        <w:tblW w:type="auto" w:w="0"/>
        <w:tblLook w:firstColumn="1" w:firstRow="1" w:lastColumn="0" w:lastRow="0" w:noHBand="0" w:noVBand="1" w:val="04A0"/>
      </w:tblPr>
      <w:tblGrid>
        <w:gridCol w:w="10080"/>
      </w:tblGrid>
      <w:tr>
        <w:tc>
          <w:tcPr>
            <w:tcW w:type="dxa" w:w="10080"/>
            <w:shd w:val="clear" w:fill="FFF3CD"/>
          </w:tcPr>
          <w:p>
            <w:r/>
            <w:r>
              <w:rPr>
                <w:b/>
                <w:sz w:val="20"/>
              </w:rPr>
              <w:t>The decision, in one line</w:t>
            </w:r>
          </w:p>
          <w:p>
            <w:pPr>
              <w:spacing w:after="40"/>
            </w:pPr>
            <w:r>
              <w:rPr>
                <w:sz w:val="20"/>
              </w:rPr>
              <w:t>Keep the USRP. Replace the uncontrolled MacBook↔hotspot link with a transmitter you own and configure. This costs ₹0–1,000 and about one week. Do not buy Intel 5300 cards. Procure Intel AX210 cards in parallel as the platform for the journal work.</w:t>
            </w:r>
          </w:p>
        </w:tc>
      </w:tr>
    </w:tbl>
    <w:p>
      <w:pPr>
        <w:spacing w:after="40"/>
      </w:pPr>
    </w:p>
    <w:p>
      <w:r>
        <w:rPr>
          <w:b w:val="0"/>
          <w:i w:val="0"/>
        </w:rPr>
        <w:t>On the publication timeline, one honest correction: a Q1 journal cannot be published by January. Review cycles for IEEE IoT-J, IEEE TMC, or similar run 3–9 months. What is achievable is a conference/workshop paper submitted in November 2026 and a Q1 journal manuscript submitted in January 2027. This plan is built around those two dates.</w:t>
      </w:r>
    </w:p>
    <w:p>
      <w:pPr>
        <w:pStyle w:val="Heading1"/>
      </w:pPr>
      <w:r>
        <w:t>2. Where You Actually Stand — An Honest Assessment</w:t>
      </w:r>
    </w:p>
    <w:p>
      <w:pPr>
        <w:pStyle w:val="Heading2"/>
      </w:pPr>
      <w:r>
        <w:t>2.1 What is genuinely working</w:t>
      </w:r>
    </w:p>
    <w:p>
      <w:pPr>
        <w:pStyle w:val="ListBullet"/>
      </w:pPr>
      <w:r>
        <w:rPr>
          <w:b w:val="0"/>
        </w:rPr>
        <w:t>The USRP N210 receive chain is functional. gr-ieee802-11 decodes legacy OFDM frames and your modified extract_csi block writes per-packet CSI (52 subcarriers) to CSV with wall-clock timestamps. This is real, working infrastructure and it took effort to build.</w:t>
      </w:r>
    </w:p>
    <w:p>
      <w:pPr>
        <w:pStyle w:val="ListBullet"/>
      </w:pPr>
      <w:r>
        <w:rPr>
          <w:b w:val="0"/>
        </w:rPr>
        <w:t>The training discipline is better than most published work. Your pipeline refuses to run without a subject-level or filename-level split. Multiple 2024–2025 papers exist purely to point out that WiFi CSI papers inflate their accuracy by random splitting — you already avoid that trap.</w:t>
      </w:r>
    </w:p>
    <w:p>
      <w:pPr>
        <w:pStyle w:val="ListBullet"/>
      </w:pPr>
      <w:r>
        <w:rPr>
          <w:b w:val="0"/>
        </w:rPr>
        <w:t>The CNN-GRU-attention architecture is sound and cheap (~0.57 M parameters vs ResNet-18's 11 M), and the reasoning behind processing all 52 subcarriers jointly is well-evidenced in your notebook.</w:t>
      </w:r>
    </w:p>
    <w:p>
      <w:pPr>
        <w:pStyle w:val="ListBullet"/>
      </w:pPr>
      <w:r>
        <w:rPr>
          <w:b w:val="0"/>
        </w:rPr>
        <w:t>You have prior fall-detection work on wearables (SisFall, MobiAct) and a CSI fall-detection notebook. That is a running start on the December paper.</w:t>
      </w:r>
    </w:p>
    <w:p>
      <w:pPr>
        <w:pStyle w:val="Heading2"/>
      </w:pPr>
      <w:r>
        <w:t>2.2 What today's test revealed — read this carefully</w:t>
      </w:r>
    </w:p>
    <w:p>
      <w:r>
        <w:rPr>
          <w:b w:val="0"/>
          <w:i w:val="0"/>
        </w:rPr>
        <w:t>Gowreesh's 21 July captures were segmented (174 windows) and tested against both trained checkpoints and against a freshly trained model that had seen both other subjects. All three produced the same result:</w:t>
      </w:r>
    </w:p>
    <w:tbl>
      <w:tblPr>
        <w:tblStyle w:val="TableGrid"/>
        <w:tblW w:type="auto" w:w="0"/>
        <w:jc w:val="center"/>
        <w:tblLayout w:type="fixed"/>
        <w:tblLook w:firstColumn="1" w:firstRow="1" w:lastColumn="0" w:lastRow="0" w:noHBand="0" w:noVBand="1" w:val="04A0"/>
        <w:tblLayout w:type="fixed"/>
      </w:tblPr>
      <w:tblGrid>
        <w:gridCol w:w="2520"/>
        <w:gridCol w:w="2520"/>
        <w:gridCol w:w="2520"/>
        <w:gridCol w:w="2520"/>
      </w:tblGrid>
      <w:tr>
        <w:tc>
          <w:tcPr>
            <w:tcW w:type="dxa" w:w="3407"/>
            <w:shd w:val="clear" w:fill="1F3864"/>
          </w:tcPr>
          <w:p>
            <w:r/>
            <w:r>
              <w:rPr>
                <w:b/>
                <w:color w:val="FFFFFF"/>
                <w:sz w:val="19"/>
              </w:rPr>
              <w:t>Model</w:t>
            </w:r>
          </w:p>
        </w:tc>
        <w:tc>
          <w:tcPr>
            <w:tcW w:type="dxa" w:w="2697"/>
            <w:shd w:val="clear" w:fill="1F3864"/>
          </w:tcPr>
          <w:p>
            <w:r/>
            <w:r>
              <w:rPr>
                <w:b/>
                <w:color w:val="FFFFFF"/>
                <w:sz w:val="19"/>
              </w:rPr>
              <w:t>Trained on</w:t>
            </w:r>
          </w:p>
        </w:tc>
        <w:tc>
          <w:tcPr>
            <w:tcW w:type="dxa" w:w="2130"/>
            <w:shd w:val="clear" w:fill="1F3864"/>
          </w:tcPr>
          <w:p>
            <w:r/>
            <w:r>
              <w:rPr>
                <w:b/>
                <w:color w:val="FFFFFF"/>
                <w:sz w:val="19"/>
              </w:rPr>
              <w:t>Reported pilot accuracy</w:t>
            </w:r>
          </w:p>
        </w:tc>
        <w:tc>
          <w:tcPr>
            <w:tcW w:type="dxa" w:w="1846"/>
            <w:shd w:val="clear" w:fill="1F3864"/>
          </w:tcPr>
          <w:p>
            <w:r/>
            <w:r>
              <w:rPr>
                <w:b/>
                <w:color w:val="FFFFFF"/>
                <w:sz w:val="19"/>
              </w:rPr>
              <w:t>Accuracy on Gowreesh</w:t>
            </w:r>
          </w:p>
        </w:tc>
      </w:tr>
      <w:tr>
        <w:tc>
          <w:tcPr>
            <w:tcW w:type="dxa" w:w="3407"/>
          </w:tcPr>
          <w:p>
            <w:pPr>
              <w:spacing w:after="40"/>
            </w:pPr>
            <w:r/>
            <w:r>
              <w:rPr>
                <w:b w:val="0"/>
                <w:sz w:val="19"/>
              </w:rPr>
              <w:t>hybrid_model_test-amrith.pt</w:t>
            </w:r>
          </w:p>
        </w:tc>
        <w:tc>
          <w:tcPr>
            <w:tcW w:type="dxa" w:w="2697"/>
          </w:tcPr>
          <w:p>
            <w:pPr>
              <w:spacing w:after="40"/>
            </w:pPr>
            <w:r/>
            <w:r>
              <w:rPr>
                <w:b w:val="0"/>
                <w:sz w:val="19"/>
              </w:rPr>
              <w:t>rishiikesh (119 win)</w:t>
            </w:r>
          </w:p>
        </w:tc>
        <w:tc>
          <w:tcPr>
            <w:tcW w:type="dxa" w:w="2130"/>
          </w:tcPr>
          <w:p>
            <w:pPr>
              <w:spacing w:after="40"/>
            </w:pPr>
            <w:r/>
            <w:r>
              <w:rPr>
                <w:b w:val="0"/>
                <w:sz w:val="19"/>
              </w:rPr>
              <w:t>98.4%</w:t>
            </w:r>
          </w:p>
        </w:tc>
        <w:tc>
          <w:tcPr>
            <w:tcW w:type="dxa" w:w="1846"/>
          </w:tcPr>
          <w:p>
            <w:pPr>
              <w:spacing w:after="40"/>
            </w:pPr>
            <w:r/>
            <w:r>
              <w:rPr>
                <w:b/>
                <w:sz w:val="19"/>
              </w:rPr>
              <w:t>49.4%</w:t>
            </w:r>
          </w:p>
        </w:tc>
      </w:tr>
      <w:tr>
        <w:tc>
          <w:tcPr>
            <w:tcW w:type="dxa" w:w="3407"/>
            <w:shd w:val="clear" w:fill="EEF2F8"/>
          </w:tcPr>
          <w:p>
            <w:pPr>
              <w:spacing w:after="40"/>
            </w:pPr>
            <w:r/>
            <w:r>
              <w:rPr>
                <w:b w:val="0"/>
                <w:sz w:val="19"/>
              </w:rPr>
              <w:t>hybrid_model_test-rishiikesh.pt</w:t>
            </w:r>
          </w:p>
        </w:tc>
        <w:tc>
          <w:tcPr>
            <w:tcW w:type="dxa" w:w="2697"/>
            <w:shd w:val="clear" w:fill="EEF2F8"/>
          </w:tcPr>
          <w:p>
            <w:pPr>
              <w:spacing w:after="40"/>
            </w:pPr>
            <w:r/>
            <w:r>
              <w:rPr>
                <w:b w:val="0"/>
                <w:sz w:val="19"/>
              </w:rPr>
              <w:t>amrith (155 win)</w:t>
            </w:r>
          </w:p>
        </w:tc>
        <w:tc>
          <w:tcPr>
            <w:tcW w:type="dxa" w:w="2130"/>
            <w:shd w:val="clear" w:fill="EEF2F8"/>
          </w:tcPr>
          <w:p>
            <w:pPr>
              <w:spacing w:after="40"/>
            </w:pPr>
            <w:r/>
            <w:r>
              <w:rPr>
                <w:b w:val="0"/>
                <w:sz w:val="19"/>
              </w:rPr>
              <w:t>99.3%</w:t>
            </w:r>
          </w:p>
        </w:tc>
        <w:tc>
          <w:tcPr>
            <w:tcW w:type="dxa" w:w="1846"/>
            <w:shd w:val="clear" w:fill="EEF2F8"/>
          </w:tcPr>
          <w:p>
            <w:pPr>
              <w:spacing w:after="40"/>
            </w:pPr>
            <w:r/>
            <w:r>
              <w:rPr>
                <w:b/>
                <w:sz w:val="19"/>
              </w:rPr>
              <w:t>49.4%</w:t>
            </w:r>
          </w:p>
        </w:tc>
      </w:tr>
      <w:tr>
        <w:tc>
          <w:tcPr>
            <w:tcW w:type="dxa" w:w="3407"/>
          </w:tcPr>
          <w:p>
            <w:pPr>
              <w:spacing w:after="40"/>
            </w:pPr>
            <w:r/>
            <w:r>
              <w:rPr>
                <w:b w:val="0"/>
                <w:sz w:val="19"/>
              </w:rPr>
              <w:t>New LOSO model (trained today)</w:t>
            </w:r>
          </w:p>
        </w:tc>
        <w:tc>
          <w:tcPr>
            <w:tcW w:type="dxa" w:w="2697"/>
          </w:tcPr>
          <w:p>
            <w:pPr>
              <w:spacing w:after="40"/>
            </w:pPr>
            <w:r/>
            <w:r>
              <w:rPr>
                <w:b w:val="0"/>
                <w:sz w:val="19"/>
              </w:rPr>
              <w:t>amrith + rishiikesh (274 win)</w:t>
            </w:r>
          </w:p>
        </w:tc>
        <w:tc>
          <w:tcPr>
            <w:tcW w:type="dxa" w:w="2130"/>
          </w:tcPr>
          <w:p>
            <w:pPr>
              <w:spacing w:after="40"/>
            </w:pPr>
            <w:r/>
            <w:r>
              <w:rPr>
                <w:b w:val="0"/>
                <w:sz w:val="19"/>
              </w:rPr>
              <w:t>val 100%</w:t>
            </w:r>
          </w:p>
        </w:tc>
        <w:tc>
          <w:tcPr>
            <w:tcW w:type="dxa" w:w="1846"/>
          </w:tcPr>
          <w:p>
            <w:pPr>
              <w:spacing w:after="40"/>
            </w:pPr>
            <w:r/>
            <w:r>
              <w:rPr>
                <w:b/>
                <w:sz w:val="19"/>
              </w:rPr>
              <w:t>49.4%</w:t>
            </w:r>
          </w:p>
        </w:tc>
      </w:tr>
    </w:tbl>
    <w:p>
      <w:pPr>
        <w:spacing w:after="40"/>
      </w:pPr>
    </w:p>
    <w:p>
      <w:r>
        <w:rPr>
          <w:b w:val="0"/>
          <w:i w:val="0"/>
        </w:rPr>
        <w:t>49.4% is chance. Every one of the 174 windows was predicted “action”, with 99.9% mean confidence. The models are not confused — they are saturated. Per take: walk 100%, mixed 100%, stand 0%, sit 0%.</w:t>
      </w:r>
    </w:p>
    <w:p>
      <w:pPr>
        <w:pStyle w:val="Heading2"/>
      </w:pPr>
      <w:r>
        <w:t>2.3 The mechanism — and why it matters more than the number</w:t>
      </w:r>
    </w:p>
    <w:p>
      <w:r>
        <w:rPr>
          <w:b w:val="0"/>
          <w:i w:val="0"/>
        </w:rPr>
        <w:t>The models learned a fluctuation-energy threshold, not an activity representation. Mean detrended standard deviation per 2-second window:</w:t>
      </w:r>
    </w:p>
    <w:tbl>
      <w:tblPr>
        <w:tblStyle w:val="TableGrid"/>
        <w:tblW w:type="auto" w:w="0"/>
        <w:jc w:val="center"/>
        <w:tblLayout w:type="fixed"/>
        <w:tblLook w:firstColumn="1" w:firstRow="1" w:lastColumn="0" w:lastRow="0" w:noHBand="0" w:noVBand="1" w:val="04A0"/>
        <w:tblLayout w:type="fixed"/>
      </w:tblPr>
      <w:tblGrid>
        <w:gridCol w:w="2520"/>
        <w:gridCol w:w="2520"/>
        <w:gridCol w:w="2520"/>
        <w:gridCol w:w="2520"/>
      </w:tblGrid>
      <w:tr>
        <w:tc>
          <w:tcPr>
            <w:tcW w:type="dxa" w:w="3265"/>
            <w:shd w:val="clear" w:fill="1F3864"/>
          </w:tcPr>
          <w:p>
            <w:r/>
            <w:r>
              <w:rPr>
                <w:b/>
                <w:color w:val="FFFFFF"/>
                <w:sz w:val="19"/>
              </w:rPr>
              <w:t>Session / subject</w:t>
            </w:r>
          </w:p>
        </w:tc>
        <w:tc>
          <w:tcPr>
            <w:tcW w:type="dxa" w:w="1704"/>
            <w:shd w:val="clear" w:fill="1F3864"/>
          </w:tcPr>
          <w:p>
            <w:r/>
            <w:r>
              <w:rPr>
                <w:b/>
                <w:color w:val="FFFFFF"/>
                <w:sz w:val="19"/>
              </w:rPr>
              <w:t>action</w:t>
            </w:r>
          </w:p>
        </w:tc>
        <w:tc>
          <w:tcPr>
            <w:tcW w:type="dxa" w:w="1704"/>
            <w:shd w:val="clear" w:fill="1F3864"/>
          </w:tcPr>
          <w:p>
            <w:r/>
            <w:r>
              <w:rPr>
                <w:b/>
                <w:color w:val="FFFFFF"/>
                <w:sz w:val="19"/>
              </w:rPr>
              <w:t>noaction</w:t>
            </w:r>
          </w:p>
        </w:tc>
        <w:tc>
          <w:tcPr>
            <w:tcW w:type="dxa" w:w="3407"/>
            <w:shd w:val="clear" w:fill="1F3864"/>
          </w:tcPr>
          <w:p>
            <w:r/>
            <w:r>
              <w:rPr>
                <w:b/>
                <w:color w:val="FFFFFF"/>
                <w:sz w:val="19"/>
              </w:rPr>
              <w:t>Separable by energy alone?</w:t>
            </w:r>
          </w:p>
        </w:tc>
      </w:tr>
      <w:tr>
        <w:tc>
          <w:tcPr>
            <w:tcW w:type="dxa" w:w="3265"/>
          </w:tcPr>
          <w:p>
            <w:pPr>
              <w:spacing w:after="40"/>
            </w:pPr>
            <w:r/>
            <w:r>
              <w:rPr>
                <w:b w:val="0"/>
                <w:sz w:val="19"/>
              </w:rPr>
              <w:t>17 July — amrith</w:t>
            </w:r>
          </w:p>
        </w:tc>
        <w:tc>
          <w:tcPr>
            <w:tcW w:type="dxa" w:w="1704"/>
          </w:tcPr>
          <w:p>
            <w:pPr>
              <w:spacing w:after="40"/>
            </w:pPr>
            <w:r/>
            <w:r>
              <w:rPr>
                <w:b w:val="0"/>
                <w:sz w:val="19"/>
              </w:rPr>
              <w:t>0.0164</w:t>
            </w:r>
          </w:p>
        </w:tc>
        <w:tc>
          <w:tcPr>
            <w:tcW w:type="dxa" w:w="1704"/>
          </w:tcPr>
          <w:p>
            <w:pPr>
              <w:spacing w:after="40"/>
            </w:pPr>
            <w:r/>
            <w:r>
              <w:rPr>
                <w:b w:val="0"/>
                <w:sz w:val="19"/>
              </w:rPr>
              <w:t>0.0038</w:t>
            </w:r>
          </w:p>
        </w:tc>
        <w:tc>
          <w:tcPr>
            <w:tcW w:type="dxa" w:w="3407"/>
          </w:tcPr>
          <w:p>
            <w:pPr>
              <w:spacing w:after="40"/>
            </w:pPr>
            <w:r/>
            <w:r>
              <w:rPr>
                <w:b w:val="0"/>
                <w:sz w:val="19"/>
              </w:rPr>
              <w:t>AUC 1.000</w:t>
            </w:r>
          </w:p>
        </w:tc>
      </w:tr>
      <w:tr>
        <w:tc>
          <w:tcPr>
            <w:tcW w:type="dxa" w:w="3265"/>
            <w:shd w:val="clear" w:fill="EEF2F8"/>
          </w:tcPr>
          <w:p>
            <w:pPr>
              <w:spacing w:after="40"/>
            </w:pPr>
            <w:r/>
            <w:r>
              <w:rPr>
                <w:b w:val="0"/>
                <w:sz w:val="19"/>
              </w:rPr>
              <w:t>17 July — rishiikesh</w:t>
            </w:r>
          </w:p>
        </w:tc>
        <w:tc>
          <w:tcPr>
            <w:tcW w:type="dxa" w:w="1704"/>
            <w:shd w:val="clear" w:fill="EEF2F8"/>
          </w:tcPr>
          <w:p>
            <w:pPr>
              <w:spacing w:after="40"/>
            </w:pPr>
            <w:r/>
            <w:r>
              <w:rPr>
                <w:b w:val="0"/>
                <w:sz w:val="19"/>
              </w:rPr>
              <w:t>0.0167</w:t>
            </w:r>
          </w:p>
        </w:tc>
        <w:tc>
          <w:tcPr>
            <w:tcW w:type="dxa" w:w="1704"/>
            <w:shd w:val="clear" w:fill="EEF2F8"/>
          </w:tcPr>
          <w:p>
            <w:pPr>
              <w:spacing w:after="40"/>
            </w:pPr>
            <w:r/>
            <w:r>
              <w:rPr>
                <w:b w:val="0"/>
                <w:sz w:val="19"/>
              </w:rPr>
              <w:t>0.0035</w:t>
            </w:r>
          </w:p>
        </w:tc>
        <w:tc>
          <w:tcPr>
            <w:tcW w:type="dxa" w:w="3407"/>
            <w:shd w:val="clear" w:fill="EEF2F8"/>
          </w:tcPr>
          <w:p>
            <w:pPr>
              <w:spacing w:after="40"/>
            </w:pPr>
            <w:r/>
            <w:r>
              <w:rPr>
                <w:b w:val="0"/>
                <w:sz w:val="19"/>
              </w:rPr>
              <w:t>AUC 0.999</w:t>
            </w:r>
          </w:p>
        </w:tc>
      </w:tr>
      <w:tr>
        <w:tc>
          <w:tcPr>
            <w:tcW w:type="dxa" w:w="3265"/>
          </w:tcPr>
          <w:p>
            <w:pPr>
              <w:spacing w:after="40"/>
            </w:pPr>
            <w:r/>
            <w:r>
              <w:rPr>
                <w:b/>
                <w:sz w:val="19"/>
              </w:rPr>
              <w:t>21 July — gowreesh</w:t>
            </w:r>
          </w:p>
        </w:tc>
        <w:tc>
          <w:tcPr>
            <w:tcW w:type="dxa" w:w="1704"/>
          </w:tcPr>
          <w:p>
            <w:pPr>
              <w:spacing w:after="40"/>
            </w:pPr>
            <w:r/>
            <w:r>
              <w:rPr>
                <w:b/>
                <w:sz w:val="19"/>
              </w:rPr>
              <w:t>0.0299</w:t>
            </w:r>
          </w:p>
        </w:tc>
        <w:tc>
          <w:tcPr>
            <w:tcW w:type="dxa" w:w="1704"/>
          </w:tcPr>
          <w:p>
            <w:pPr>
              <w:spacing w:after="40"/>
            </w:pPr>
            <w:r/>
            <w:r>
              <w:rPr>
                <w:b/>
                <w:sz w:val="19"/>
              </w:rPr>
              <w:t>0.0263</w:t>
            </w:r>
          </w:p>
        </w:tc>
        <w:tc>
          <w:tcPr>
            <w:tcW w:type="dxa" w:w="3407"/>
          </w:tcPr>
          <w:p>
            <w:pPr>
              <w:spacing w:after="40"/>
            </w:pPr>
            <w:r/>
            <w:r>
              <w:rPr>
                <w:b/>
                <w:sz w:val="19"/>
              </w:rPr>
              <w:t>AUC 0.650</w:t>
            </w:r>
          </w:p>
        </w:tc>
      </w:tr>
    </w:tbl>
    <w:p>
      <w:pPr>
        <w:spacing w:after="40"/>
      </w:pPr>
    </w:p>
    <w:p>
      <w:r>
        <w:rPr>
          <w:b w:val="0"/>
          <w:i w:val="0"/>
        </w:rPr>
        <w:t>Gowreesh standing perfectly still produces roughly 7× more channel fluctuation than the other two standing still — and about 1.6× more than either of them walking. On the July 17 data, per-window energy alone separates the two classes essentially perfectly, so that is the entire decision rule the network needed to learn, and it is the one it learned. Every gowreesh window sits above the learned threshold, so everything is called “action”.</w:t>
      </w:r>
    </w:p>
    <w:p>
      <w:r>
        <w:rPr>
          <w:b w:val="0"/>
          <w:i w:val="0"/>
        </w:rPr>
        <w:t>Three follow-up tests pin this down:</w:t>
      </w:r>
    </w:p>
    <w:p>
      <w:pPr>
        <w:pStyle w:val="ListBullet"/>
      </w:pPr>
      <w:r>
        <w:rPr>
          <w:b w:val="0"/>
        </w:rPr>
        <w:t>Rescaling gowreesh to match the training energy only reaches 53–66%. So it is not a pure calibration offset you can divide away.</w:t>
      </w:r>
    </w:p>
    <w:p>
      <w:pPr>
        <w:pStyle w:val="ListBullet"/>
      </w:pPr>
      <w:r>
        <w:rPr>
          <w:b w:val="0"/>
        </w:rPr>
        <w:t>A scale-free feature (fraction of spectral power in the 0.5–18 Hz motion band) still separates gowreesh's classes at AUC 0.908, and a model trained within gowreesh with a take-level split reaches 79.1%. So the 21 July data is not junk — it contains real class information.</w:t>
      </w:r>
    </w:p>
    <w:p>
      <w:pPr>
        <w:pStyle w:val="ListBullet"/>
      </w:pPr>
      <w:r>
        <w:rPr>
          <w:b w:val="0"/>
        </w:rPr>
        <w:t>Gowreesh's noaction takes are partly contaminated: in the sit take, per-window energy swings in blocks between 0.018 and 0.038, which looks like intermittent real movement during a “hold still” recording, not a uniform noise floor.</w:t>
      </w:r>
    </w:p>
    <w:tbl>
      <w:tblPr>
        <w:tblStyle w:val="TableGrid"/>
        <w:tblW w:type="auto" w:w="0"/>
        <w:tblLook w:firstColumn="1" w:firstRow="1" w:lastColumn="0" w:lastRow="0" w:noHBand="0" w:noVBand="1" w:val="04A0"/>
      </w:tblPr>
      <w:tblGrid>
        <w:gridCol w:w="10080"/>
      </w:tblGrid>
      <w:tr>
        <w:tc>
          <w:tcPr>
            <w:tcW w:type="dxa" w:w="10080"/>
            <w:shd w:val="clear" w:fill="F8D7DA"/>
          </w:tcPr>
          <w:p>
            <w:r/>
            <w:r>
              <w:rPr>
                <w:b/>
                <w:sz w:val="20"/>
              </w:rPr>
              <w:t>The uncomfortable implication — please raise this with your guide</w:t>
            </w:r>
          </w:p>
          <w:p>
            <w:pPr>
              <w:spacing w:after="40"/>
            </w:pPr>
            <w:r>
              <w:rPr>
                <w:sz w:val="20"/>
              </w:rPr>
              <w:t>Both pilot subjects were recorded on the same day, in the same room, with the same link geometry. What was reported as 97–99% cross-subject generalisation was really cross-take generalisation inside one session. Session/environment was never a controlled variable, and the evidence now says it dominates the class signal. The pilot gate (≥95%) was passed against a confound. This must be fixed before any bulk collection, or you will collect a large dataset that trains models which do not work in any new room.</w:t>
            </w:r>
          </w:p>
        </w:tc>
      </w:tr>
    </w:tbl>
    <w:p>
      <w:pPr>
        <w:spacing w:after="40"/>
      </w:pPr>
    </w:p>
    <w:p>
      <w:pPr>
        <w:pStyle w:val="Heading1"/>
      </w:pPr>
      <w:r>
        <w:t>3. Root Cause: Your Rig Is Not the Paper's Rig</w:t>
      </w:r>
    </w:p>
    <w:p>
      <w:r>
        <w:rPr>
          <w:b w:val="0"/>
          <w:i w:val="0"/>
        </w:rPr>
        <w:t>Wang et al., “Joint Activity Recognition and Indoor Localization With WiFi Fingerprints” (IEEE Access, 2019) is the paper you referenced. Here is the setup difference laid out plainly:</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1846"/>
            <w:shd w:val="clear" w:fill="1F3864"/>
          </w:tcPr>
          <w:p>
            <w:r/>
            <w:r>
              <w:rPr>
                <w:b/>
                <w:color w:val="FFFFFF"/>
                <w:sz w:val="19"/>
              </w:rPr>
            </w:r>
          </w:p>
        </w:tc>
        <w:tc>
          <w:tcPr>
            <w:tcW w:type="dxa" w:w="3691"/>
            <w:shd w:val="clear" w:fill="1F3864"/>
          </w:tcPr>
          <w:p>
            <w:r/>
            <w:r>
              <w:rPr>
                <w:b/>
                <w:color w:val="FFFFFF"/>
                <w:sz w:val="19"/>
              </w:rPr>
              <w:t>Wang et al. (2019)</w:t>
            </w:r>
          </w:p>
        </w:tc>
        <w:tc>
          <w:tcPr>
            <w:tcW w:type="dxa" w:w="4543"/>
            <w:shd w:val="clear" w:fill="1F3864"/>
          </w:tcPr>
          <w:p>
            <w:r/>
            <w:r>
              <w:rPr>
                <w:b/>
                <w:color w:val="FFFFFF"/>
                <w:sz w:val="19"/>
              </w:rPr>
              <w:t>Your current setup</w:t>
            </w:r>
          </w:p>
        </w:tc>
      </w:tr>
      <w:tr>
        <w:tc>
          <w:tcPr>
            <w:tcW w:type="dxa" w:w="1846"/>
          </w:tcPr>
          <w:p>
            <w:pPr>
              <w:spacing w:after="40"/>
            </w:pPr>
            <w:r/>
            <w:r>
              <w:rPr>
                <w:b w:val="0"/>
                <w:sz w:val="19"/>
              </w:rPr>
              <w:t>Transmitter</w:t>
            </w:r>
          </w:p>
        </w:tc>
        <w:tc>
          <w:tcPr>
            <w:tcW w:type="dxa" w:w="3691"/>
          </w:tcPr>
          <w:p>
            <w:pPr>
              <w:spacing w:after="40"/>
            </w:pPr>
            <w:r/>
            <w:r>
              <w:rPr>
                <w:b w:val="0"/>
                <w:sz w:val="19"/>
              </w:rPr>
              <w:t xml:space="preserve">USRP N210 running 802.11n via GNU Radio — </w:t>
            </w:r>
            <w:r>
              <w:rPr>
                <w:b/>
                <w:sz w:val="19"/>
              </w:rPr>
              <w:t>rate fully controlled</w:t>
            </w:r>
          </w:p>
        </w:tc>
        <w:tc>
          <w:tcPr>
            <w:tcW w:type="dxa" w:w="4543"/>
          </w:tcPr>
          <w:p>
            <w:pPr>
              <w:spacing w:after="40"/>
            </w:pPr>
            <w:r/>
            <w:r>
              <w:rPr>
                <w:b w:val="0"/>
                <w:sz w:val="19"/>
              </w:rPr>
              <w:t xml:space="preserve">MacBook talking to an Android hotspot — </w:t>
            </w:r>
            <w:r>
              <w:rPr>
                <w:b/>
                <w:sz w:val="19"/>
              </w:rPr>
              <w:t>rate is whatever it happens to emit</w:t>
            </w:r>
          </w:p>
        </w:tc>
      </w:tr>
      <w:tr>
        <w:tc>
          <w:tcPr>
            <w:tcW w:type="dxa" w:w="1846"/>
            <w:shd w:val="clear" w:fill="EEF2F8"/>
          </w:tcPr>
          <w:p>
            <w:pPr>
              <w:spacing w:after="40"/>
            </w:pPr>
            <w:r/>
            <w:r>
              <w:rPr>
                <w:b w:val="0"/>
                <w:sz w:val="19"/>
              </w:rPr>
              <w:t>Receiver</w:t>
            </w:r>
          </w:p>
        </w:tc>
        <w:tc>
          <w:tcPr>
            <w:tcW w:type="dxa" w:w="3691"/>
            <w:shd w:val="clear" w:fill="EEF2F8"/>
          </w:tcPr>
          <w:p>
            <w:pPr>
              <w:spacing w:after="40"/>
            </w:pPr>
            <w:r/>
            <w:r>
              <w:rPr>
                <w:b w:val="0"/>
                <w:sz w:val="19"/>
              </w:rPr>
              <w:t>USRP N210</w:t>
            </w:r>
          </w:p>
        </w:tc>
        <w:tc>
          <w:tcPr>
            <w:tcW w:type="dxa" w:w="4543"/>
            <w:shd w:val="clear" w:fill="EEF2F8"/>
          </w:tcPr>
          <w:p>
            <w:pPr>
              <w:spacing w:after="40"/>
            </w:pPr>
            <w:r/>
            <w:r>
              <w:rPr>
                <w:b w:val="0"/>
                <w:sz w:val="19"/>
              </w:rPr>
              <w:t>USRP N210 ✓</w:t>
            </w:r>
          </w:p>
        </w:tc>
      </w:tr>
      <w:tr>
        <w:tc>
          <w:tcPr>
            <w:tcW w:type="dxa" w:w="1846"/>
          </w:tcPr>
          <w:p>
            <w:pPr>
              <w:spacing w:after="40"/>
            </w:pPr>
            <w:r/>
            <w:r>
              <w:rPr>
                <w:b w:val="0"/>
                <w:sz w:val="19"/>
              </w:rPr>
              <w:t>Packet rate</w:t>
            </w:r>
          </w:p>
        </w:tc>
        <w:tc>
          <w:tcPr>
            <w:tcW w:type="dxa" w:w="3691"/>
          </w:tcPr>
          <w:p>
            <w:pPr>
              <w:spacing w:after="40"/>
            </w:pPr>
            <w:r/>
            <w:r>
              <w:rPr>
                <w:b w:val="0"/>
                <w:sz w:val="19"/>
              </w:rPr>
              <w:t>Constant by construction</w:t>
            </w:r>
          </w:p>
        </w:tc>
        <w:tc>
          <w:tcPr>
            <w:tcW w:type="dxa" w:w="4543"/>
          </w:tcPr>
          <w:p>
            <w:pPr>
              <w:spacing w:after="40"/>
            </w:pPr>
            <w:r/>
            <w:r>
              <w:rPr>
                <w:b w:val="0"/>
                <w:sz w:val="19"/>
              </w:rPr>
              <w:t>51.5–81.1 Hz, varies per take and per second</w:t>
            </w:r>
          </w:p>
        </w:tc>
      </w:tr>
      <w:tr>
        <w:tc>
          <w:tcPr>
            <w:tcW w:type="dxa" w:w="1846"/>
            <w:shd w:val="clear" w:fill="EEF2F8"/>
          </w:tcPr>
          <w:p>
            <w:pPr>
              <w:spacing w:after="40"/>
            </w:pPr>
            <w:r/>
            <w:r>
              <w:rPr>
                <w:b w:val="0"/>
                <w:sz w:val="19"/>
              </w:rPr>
              <w:t>Frame format</w:t>
            </w:r>
          </w:p>
        </w:tc>
        <w:tc>
          <w:tcPr>
            <w:tcW w:type="dxa" w:w="3691"/>
            <w:shd w:val="clear" w:fill="EEF2F8"/>
          </w:tcPr>
          <w:p>
            <w:pPr>
              <w:spacing w:after="40"/>
            </w:pPr>
            <w:r/>
            <w:r>
              <w:rPr>
                <w:b w:val="0"/>
                <w:sz w:val="19"/>
              </w:rPr>
              <w:t>Chosen by them</w:t>
            </w:r>
          </w:p>
        </w:tc>
        <w:tc>
          <w:tcPr>
            <w:tcW w:type="dxa" w:w="4543"/>
            <w:shd w:val="clear" w:fill="EEF2F8"/>
          </w:tcPr>
          <w:p>
            <w:pPr>
              <w:spacing w:after="40"/>
            </w:pPr>
            <w:r/>
            <w:r>
              <w:rPr>
                <w:b w:val="0"/>
                <w:sz w:val="19"/>
              </w:rPr>
              <w:t>Whatever macOS picks; 802.11n HT frames are silently undecodable</w:t>
            </w:r>
          </w:p>
        </w:tc>
      </w:tr>
      <w:tr>
        <w:tc>
          <w:tcPr>
            <w:tcW w:type="dxa" w:w="1846"/>
          </w:tcPr>
          <w:p>
            <w:pPr>
              <w:spacing w:after="40"/>
            </w:pPr>
            <w:r/>
            <w:r>
              <w:rPr>
                <w:b w:val="0"/>
                <w:sz w:val="19"/>
              </w:rPr>
              <w:t>MAC addresses</w:t>
            </w:r>
          </w:p>
        </w:tc>
        <w:tc>
          <w:tcPr>
            <w:tcW w:type="dxa" w:w="3691"/>
          </w:tcPr>
          <w:p>
            <w:pPr>
              <w:spacing w:after="40"/>
            </w:pPr>
            <w:r/>
            <w:r>
              <w:rPr>
                <w:b w:val="0"/>
                <w:sz w:val="19"/>
              </w:rPr>
              <w:t>Fixed</w:t>
            </w:r>
          </w:p>
        </w:tc>
        <w:tc>
          <w:tcPr>
            <w:tcW w:type="dxa" w:w="4543"/>
          </w:tcPr>
          <w:p>
            <w:pPr>
              <w:spacing w:after="40"/>
            </w:pPr>
            <w:r/>
            <w:r>
              <w:rPr>
                <w:b w:val="0"/>
                <w:sz w:val="19"/>
              </w:rPr>
              <w:t>Randomised, rotate between sessions</w:t>
            </w:r>
          </w:p>
        </w:tc>
      </w:tr>
      <w:tr>
        <w:tc>
          <w:tcPr>
            <w:tcW w:type="dxa" w:w="1846"/>
            <w:shd w:val="clear" w:fill="EEF2F8"/>
          </w:tcPr>
          <w:p>
            <w:pPr>
              <w:spacing w:after="40"/>
            </w:pPr>
            <w:r/>
            <w:r>
              <w:rPr>
                <w:b w:val="0"/>
                <w:sz w:val="19"/>
              </w:rPr>
              <w:t>Channel</w:t>
            </w:r>
          </w:p>
        </w:tc>
        <w:tc>
          <w:tcPr>
            <w:tcW w:type="dxa" w:w="3691"/>
            <w:shd w:val="clear" w:fill="EEF2F8"/>
          </w:tcPr>
          <w:p>
            <w:pPr>
              <w:spacing w:after="40"/>
            </w:pPr>
            <w:r/>
            <w:r>
              <w:rPr>
                <w:b w:val="0"/>
                <w:sz w:val="19"/>
              </w:rPr>
              <w:t>Fixed</w:t>
            </w:r>
          </w:p>
        </w:tc>
        <w:tc>
          <w:tcPr>
            <w:tcW w:type="dxa" w:w="4543"/>
            <w:shd w:val="clear" w:fill="EEF2F8"/>
          </w:tcPr>
          <w:p>
            <w:pPr>
              <w:spacing w:after="40"/>
            </w:pPr>
            <w:r/>
            <w:r>
              <w:rPr>
                <w:b w:val="0"/>
                <w:sz w:val="19"/>
              </w:rPr>
              <w:t>Hotspot drifts across 1/6/11</w:t>
            </w:r>
          </w:p>
        </w:tc>
      </w:tr>
      <w:tr>
        <w:tc>
          <w:tcPr>
            <w:tcW w:type="dxa" w:w="1846"/>
          </w:tcPr>
          <w:p>
            <w:pPr>
              <w:spacing w:after="40"/>
            </w:pPr>
            <w:r/>
            <w:r>
              <w:rPr>
                <w:b w:val="0"/>
                <w:sz w:val="19"/>
              </w:rPr>
              <w:t>Link geometry</w:t>
            </w:r>
          </w:p>
        </w:tc>
        <w:tc>
          <w:tcPr>
            <w:tcW w:type="dxa" w:w="3691"/>
          </w:tcPr>
          <w:p>
            <w:pPr>
              <w:spacing w:after="40"/>
            </w:pPr>
            <w:r/>
            <w:r>
              <w:rPr>
                <w:b w:val="0"/>
                <w:sz w:val="19"/>
              </w:rPr>
              <w:t>Fixed Tx/Rx positions, marked floor grid</w:t>
            </w:r>
          </w:p>
        </w:tc>
        <w:tc>
          <w:tcPr>
            <w:tcW w:type="dxa" w:w="4543"/>
          </w:tcPr>
          <w:p>
            <w:pPr>
              <w:spacing w:after="40"/>
            </w:pPr>
            <w:r/>
            <w:r>
              <w:rPr>
                <w:b w:val="0"/>
                <w:sz w:val="19"/>
              </w:rPr>
              <w:t>Wherever the laptop and phone happened to be that day</w:t>
            </w:r>
          </w:p>
        </w:tc>
      </w:tr>
      <w:tr>
        <w:tc>
          <w:tcPr>
            <w:tcW w:type="dxa" w:w="1846"/>
            <w:shd w:val="clear" w:fill="EEF2F8"/>
          </w:tcPr>
          <w:p>
            <w:pPr>
              <w:spacing w:after="40"/>
            </w:pPr>
            <w:r/>
            <w:r>
              <w:rPr>
                <w:b w:val="0"/>
                <w:sz w:val="19"/>
              </w:rPr>
              <w:t>Sync</w:t>
            </w:r>
          </w:p>
        </w:tc>
        <w:tc>
          <w:tcPr>
            <w:tcW w:type="dxa" w:w="3691"/>
            <w:shd w:val="clear" w:fill="EEF2F8"/>
          </w:tcPr>
          <w:p>
            <w:pPr>
              <w:spacing w:after="40"/>
            </w:pPr>
            <w:r/>
            <w:r>
              <w:rPr>
                <w:b w:val="0"/>
                <w:sz w:val="19"/>
              </w:rPr>
              <w:t>OctoClock GPS-disciplined</w:t>
            </w:r>
          </w:p>
        </w:tc>
        <w:tc>
          <w:tcPr>
            <w:tcW w:type="dxa" w:w="4543"/>
            <w:shd w:val="clear" w:fill="EEF2F8"/>
          </w:tcPr>
          <w:p>
            <w:pPr>
              <w:spacing w:after="40"/>
            </w:pPr>
            <w:r/>
            <w:r>
              <w:rPr>
                <w:b w:val="0"/>
                <w:sz w:val="19"/>
              </w:rPr>
              <w:t>None</w:t>
            </w:r>
          </w:p>
        </w:tc>
      </w:tr>
      <w:tr>
        <w:tc>
          <w:tcPr>
            <w:tcW w:type="dxa" w:w="1846"/>
          </w:tcPr>
          <w:p>
            <w:pPr>
              <w:spacing w:after="40"/>
            </w:pPr>
            <w:r/>
            <w:r>
              <w:rPr>
                <w:b w:val="0"/>
                <w:sz w:val="19"/>
              </w:rPr>
              <w:t>Phase used?</w:t>
            </w:r>
          </w:p>
        </w:tc>
        <w:tc>
          <w:tcPr>
            <w:tcW w:type="dxa" w:w="3691"/>
          </w:tcPr>
          <w:p>
            <w:pPr>
              <w:spacing w:after="40"/>
            </w:pPr>
            <w:r/>
            <w:r>
              <w:rPr>
                <w:b/>
                <w:sz w:val="19"/>
              </w:rPr>
              <w:t>No</w:t>
            </w:r>
            <w:r>
              <w:rPr>
                <w:b w:val="0"/>
                <w:sz w:val="19"/>
              </w:rPr>
              <w:t xml:space="preserve"> — amplitude only</w:t>
            </w:r>
          </w:p>
        </w:tc>
        <w:tc>
          <w:tcPr>
            <w:tcW w:type="dxa" w:w="4543"/>
          </w:tcPr>
          <w:p>
            <w:pPr>
              <w:spacing w:after="40"/>
            </w:pPr>
            <w:r/>
            <w:r>
              <w:rPr>
                <w:b w:val="0"/>
                <w:sz w:val="19"/>
              </w:rPr>
              <w:t>No — amplitude only</w:t>
            </w:r>
          </w:p>
        </w:tc>
      </w:tr>
    </w:tbl>
    <w:p>
      <w:pPr>
        <w:spacing w:after="40"/>
      </w:pPr>
    </w:p>
    <w:p>
      <w:r>
        <w:rPr>
          <w:b w:val="0"/>
          <w:i w:val="0"/>
        </w:rPr>
        <w:t>Two things follow from that table.</w:t>
      </w:r>
    </w:p>
    <w:p>
      <w:r>
        <w:rPr>
          <w:b/>
          <w:i w:val="0"/>
        </w:rPr>
        <w:t xml:space="preserve">First, you do not need an OctoClock. </w:t>
      </w:r>
      <w:r>
        <w:rPr>
          <w:b w:val="0"/>
          <w:i w:val="0"/>
        </w:rPr>
        <w:t>Wang et al. bought one to fix phase coherence between the two N210s — and then state plainly in Section IV-A that they use amplitude only and ignore phase. Since you also use amplitude only (correctly — your USRP is not synced to the transmitter, so raw phase is noise), the OctoClock buys you nothing. Do not let anyone tell you this setup requires one. If you later want phase-based Doppler work, that changes.</w:t>
      </w:r>
    </w:p>
    <w:p>
      <w:r>
        <w:rPr>
          <w:b/>
          <w:i w:val="0"/>
        </w:rPr>
        <w:t xml:space="preserve">Second, the fix is the transmitter, not the receiver. </w:t>
      </w:r>
      <w:r>
        <w:rPr>
          <w:b w:val="0"/>
          <w:i w:val="0"/>
        </w:rPr>
        <w:t>A controlled transmitter simultaneously solves the rate problem, the HT-frame problem, the MAC-rotation problem, the channel-drift problem, and — because you will fix its physical position — a large part of the session-variance problem that broke today's test.</w:t>
      </w:r>
    </w:p>
    <w:p>
      <w:pPr>
        <w:pStyle w:val="Heading1"/>
      </w:pPr>
      <w:r>
        <w:t>4. Hardware Decision</w:t>
      </w:r>
    </w:p>
    <w:p>
      <w:pPr>
        <w:pStyle w:val="Heading2"/>
      </w:pPr>
      <w:r>
        <w:t>4.1 The four realistic options</w:t>
      </w:r>
    </w:p>
    <w:tbl>
      <w:tblPr>
        <w:tblStyle w:val="TableGrid"/>
        <w:tblW w:type="auto" w:w="0"/>
        <w:jc w:val="center"/>
        <w:tblLayout w:type="fixed"/>
        <w:tblLook w:firstColumn="1" w:firstRow="1" w:lastColumn="0" w:lastRow="0" w:noHBand="0" w:noVBand="1" w:val="04A0"/>
        <w:tblLayout w:type="fixed"/>
      </w:tblPr>
      <w:tblGrid>
        <w:gridCol w:w="2016"/>
        <w:gridCol w:w="2016"/>
        <w:gridCol w:w="2016"/>
        <w:gridCol w:w="2016"/>
        <w:gridCol w:w="2016"/>
      </w:tblGrid>
      <w:tr>
        <w:tc>
          <w:tcPr>
            <w:tcW w:type="dxa" w:w="1621"/>
            <w:shd w:val="clear" w:fill="1F3864"/>
          </w:tcPr>
          <w:p>
            <w:r/>
            <w:r>
              <w:rPr>
                <w:b/>
                <w:color w:val="FFFFFF"/>
                <w:sz w:val="19"/>
              </w:rPr>
              <w:t>Option</w:t>
            </w:r>
          </w:p>
        </w:tc>
        <w:tc>
          <w:tcPr>
            <w:tcW w:type="dxa" w:w="3454"/>
            <w:shd w:val="clear" w:fill="1F3864"/>
          </w:tcPr>
          <w:p>
            <w:r/>
            <w:r>
              <w:rPr>
                <w:b/>
                <w:color w:val="FFFFFF"/>
                <w:sz w:val="19"/>
              </w:rPr>
              <w:t>What it is</w:t>
            </w:r>
          </w:p>
        </w:tc>
        <w:tc>
          <w:tcPr>
            <w:tcW w:type="dxa" w:w="1621"/>
            <w:shd w:val="clear" w:fill="1F3864"/>
          </w:tcPr>
          <w:p>
            <w:r/>
            <w:r>
              <w:rPr>
                <w:b/>
                <w:color w:val="FFFFFF"/>
                <w:sz w:val="19"/>
              </w:rPr>
              <w:t>Cost</w:t>
            </w:r>
          </w:p>
        </w:tc>
        <w:tc>
          <w:tcPr>
            <w:tcW w:type="dxa" w:w="1128"/>
            <w:shd w:val="clear" w:fill="1F3864"/>
          </w:tcPr>
          <w:p>
            <w:r/>
            <w:r>
              <w:rPr>
                <w:b/>
                <w:color w:val="FFFFFF"/>
                <w:sz w:val="19"/>
              </w:rPr>
              <w:t>Time to working</w:t>
            </w:r>
          </w:p>
        </w:tc>
        <w:tc>
          <w:tcPr>
            <w:tcW w:type="dxa" w:w="2256"/>
            <w:shd w:val="clear" w:fill="1F3864"/>
          </w:tcPr>
          <w:p>
            <w:r/>
            <w:r>
              <w:rPr>
                <w:b/>
                <w:color w:val="FFFFFF"/>
                <w:sz w:val="19"/>
              </w:rPr>
              <w:t>Verdict</w:t>
            </w:r>
          </w:p>
        </w:tc>
      </w:tr>
      <w:tr>
        <w:tc>
          <w:tcPr>
            <w:tcW w:type="dxa" w:w="1621"/>
          </w:tcPr>
          <w:p>
            <w:pPr>
              <w:spacing w:after="40"/>
            </w:pPr>
            <w:r/>
            <w:r>
              <w:rPr>
                <w:b/>
                <w:sz w:val="19"/>
              </w:rPr>
              <w:t>A. USRP Rx + controlled Tx</w:t>
            </w:r>
          </w:p>
        </w:tc>
        <w:tc>
          <w:tcPr>
            <w:tcW w:type="dxa" w:w="3454"/>
          </w:tcPr>
          <w:p>
            <w:pPr>
              <w:spacing w:after="40"/>
            </w:pPr>
            <w:r/>
            <w:r>
              <w:rPr>
                <w:b w:val="0"/>
                <w:sz w:val="19"/>
              </w:rPr>
              <w:t>Keep the N210 as receiver. Replace the MacBook↔hotspot link with a transmitter you configure: an ESP32 broadcasting at a fixed rate in 802.11g mode, or a Linux laptop with 802.11n disabled doing a fixed-rate ping flood.</w:t>
            </w:r>
          </w:p>
        </w:tc>
        <w:tc>
          <w:tcPr>
            <w:tcW w:type="dxa" w:w="1621"/>
          </w:tcPr>
          <w:p>
            <w:pPr>
              <w:spacing w:after="40"/>
            </w:pPr>
            <w:r/>
            <w:r>
              <w:rPr>
                <w:b w:val="0"/>
                <w:sz w:val="19"/>
              </w:rPr>
              <w:t>₹0–1,000</w:t>
            </w:r>
          </w:p>
        </w:tc>
        <w:tc>
          <w:tcPr>
            <w:tcW w:type="dxa" w:w="1128"/>
          </w:tcPr>
          <w:p>
            <w:pPr>
              <w:spacing w:after="40"/>
            </w:pPr>
            <w:r/>
            <w:r>
              <w:rPr>
                <w:b/>
                <w:sz w:val="19"/>
              </w:rPr>
              <w:t>1 week</w:t>
            </w:r>
          </w:p>
        </w:tc>
        <w:tc>
          <w:tcPr>
            <w:tcW w:type="dxa" w:w="2256"/>
          </w:tcPr>
          <w:p>
            <w:pPr>
              <w:spacing w:after="40"/>
            </w:pPr>
            <w:r/>
            <w:r>
              <w:rPr>
                <w:b/>
                <w:sz w:val="19"/>
              </w:rPr>
              <w:t>DO THIS NOW.</w:t>
            </w:r>
            <w:r>
              <w:rPr>
                <w:b w:val="0"/>
                <w:sz w:val="19"/>
              </w:rPr>
              <w:t xml:space="preserve"> Preserves everything you built. Unblocks the December paper.</w:t>
            </w:r>
          </w:p>
        </w:tc>
      </w:tr>
      <w:tr>
        <w:tc>
          <w:tcPr>
            <w:tcW w:type="dxa" w:w="1621"/>
            <w:shd w:val="clear" w:fill="EEF2F8"/>
          </w:tcPr>
          <w:p>
            <w:pPr>
              <w:spacing w:after="40"/>
            </w:pPr>
            <w:r/>
            <w:r>
              <w:rPr>
                <w:b w:val="0"/>
                <w:sz w:val="19"/>
              </w:rPr>
              <w:t>B. Two USRPs (the paper's setup)</w:t>
            </w:r>
          </w:p>
        </w:tc>
        <w:tc>
          <w:tcPr>
            <w:tcW w:type="dxa" w:w="3454"/>
            <w:shd w:val="clear" w:fill="EEF2F8"/>
          </w:tcPr>
          <w:p>
            <w:pPr>
              <w:spacing w:after="40"/>
            </w:pPr>
            <w:r/>
            <w:r>
              <w:rPr>
                <w:b w:val="0"/>
                <w:sz w:val="19"/>
              </w:rPr>
              <w:t>Second N210 as GNU Radio transmitter via gr-ieee802-11's wifi_tx.</w:t>
            </w:r>
          </w:p>
        </w:tc>
        <w:tc>
          <w:tcPr>
            <w:tcW w:type="dxa" w:w="1621"/>
            <w:shd w:val="clear" w:fill="EEF2F8"/>
          </w:tcPr>
          <w:p>
            <w:pPr>
              <w:spacing w:after="40"/>
            </w:pPr>
            <w:r/>
            <w:r>
              <w:rPr>
                <w:b w:val="0"/>
                <w:sz w:val="19"/>
              </w:rPr>
              <w:t xml:space="preserve">₹0 if the lab has a second unit; N210 is </w:t>
            </w:r>
            <w:r>
              <w:rPr>
                <w:b/>
                <w:sz w:val="19"/>
              </w:rPr>
              <w:t>EOL</w:t>
            </w:r>
            <w:r>
              <w:rPr>
                <w:b w:val="0"/>
                <w:sz w:val="19"/>
              </w:rPr>
              <w:t xml:space="preserve"> and cannot be bought new</w:t>
            </w:r>
          </w:p>
        </w:tc>
        <w:tc>
          <w:tcPr>
            <w:tcW w:type="dxa" w:w="1128"/>
            <w:shd w:val="clear" w:fill="EEF2F8"/>
          </w:tcPr>
          <w:p>
            <w:pPr>
              <w:spacing w:after="40"/>
            </w:pPr>
            <w:r/>
            <w:r>
              <w:rPr>
                <w:b w:val="0"/>
                <w:sz w:val="19"/>
              </w:rPr>
              <w:t>2–3 weeks</w:t>
            </w:r>
          </w:p>
        </w:tc>
        <w:tc>
          <w:tcPr>
            <w:tcW w:type="dxa" w:w="2256"/>
            <w:shd w:val="clear" w:fill="EEF2F8"/>
          </w:tcPr>
          <w:p>
            <w:pPr>
              <w:spacing w:after="40"/>
            </w:pPr>
            <w:r/>
            <w:r>
              <w:rPr>
                <w:b w:val="0"/>
                <w:sz w:val="19"/>
              </w:rPr>
              <w:t>Good if the lab already has one. Ask. Do not purchase — no drop-in replacement exists.</w:t>
            </w:r>
          </w:p>
        </w:tc>
      </w:tr>
      <w:tr>
        <w:tc>
          <w:tcPr>
            <w:tcW w:type="dxa" w:w="1621"/>
          </w:tcPr>
          <w:p>
            <w:pPr>
              <w:spacing w:after="40"/>
            </w:pPr>
            <w:r/>
            <w:r>
              <w:rPr>
                <w:b/>
                <w:sz w:val="19"/>
              </w:rPr>
              <w:t>C. Intel AX210 ×2–4 + FeitCSI</w:t>
            </w:r>
          </w:p>
        </w:tc>
        <w:tc>
          <w:tcPr>
            <w:tcW w:type="dxa" w:w="3454"/>
          </w:tcPr>
          <w:p>
            <w:pPr>
              <w:spacing w:after="40"/>
            </w:pPr>
            <w:r/>
            <w:r>
              <w:rPr>
                <w:b w:val="0"/>
                <w:sz w:val="19"/>
              </w:rPr>
              <w:t>Modern commodity NICs. Both ends controlled, 802.11a/g/n/ac/ax, 20–160 MHz, actively maintained, runs on current kernels.</w:t>
            </w:r>
          </w:p>
        </w:tc>
        <w:tc>
          <w:tcPr>
            <w:tcW w:type="dxa" w:w="1621"/>
          </w:tcPr>
          <w:p>
            <w:pPr>
              <w:spacing w:after="40"/>
            </w:pPr>
            <w:r/>
            <w:r>
              <w:rPr>
                <w:b w:val="0"/>
                <w:sz w:val="19"/>
              </w:rPr>
              <w:t>~₹3,000–5,000/card (verify locally)</w:t>
            </w:r>
          </w:p>
        </w:tc>
        <w:tc>
          <w:tcPr>
            <w:tcW w:type="dxa" w:w="1128"/>
          </w:tcPr>
          <w:p>
            <w:pPr>
              <w:spacing w:after="40"/>
            </w:pPr>
            <w:r/>
            <w:r>
              <w:rPr>
                <w:b w:val="0"/>
                <w:sz w:val="19"/>
              </w:rPr>
              <w:t>3–5 weeks</w:t>
            </w:r>
          </w:p>
        </w:tc>
        <w:tc>
          <w:tcPr>
            <w:tcW w:type="dxa" w:w="2256"/>
          </w:tcPr>
          <w:p>
            <w:pPr>
              <w:spacing w:after="40"/>
            </w:pPr>
            <w:r/>
            <w:r>
              <w:rPr>
                <w:b/>
                <w:sz w:val="19"/>
              </w:rPr>
              <w:t>Procure in parallel.</w:t>
            </w:r>
            <w:r>
              <w:rPr>
                <w:b w:val="0"/>
                <w:sz w:val="19"/>
              </w:rPr>
              <w:t xml:space="preserve"> This is the platform for the journal and for anything multi-link.</w:t>
            </w:r>
          </w:p>
        </w:tc>
      </w:tr>
      <w:tr>
        <w:tc>
          <w:tcPr>
            <w:tcW w:type="dxa" w:w="1621"/>
            <w:shd w:val="clear" w:fill="EEF2F8"/>
          </w:tcPr>
          <w:p>
            <w:pPr>
              <w:spacing w:after="40"/>
            </w:pPr>
            <w:r/>
            <w:r>
              <w:rPr>
                <w:b w:val="0"/>
                <w:sz w:val="19"/>
              </w:rPr>
              <w:t>D. ESP32-S3 nodes</w:t>
            </w:r>
          </w:p>
        </w:tc>
        <w:tc>
          <w:tcPr>
            <w:tcW w:type="dxa" w:w="3454"/>
            <w:shd w:val="clear" w:fill="EEF2F8"/>
          </w:tcPr>
          <w:p>
            <w:pPr>
              <w:spacing w:after="40"/>
            </w:pPr>
            <w:r/>
            <w:r>
              <w:rPr>
                <w:b w:val="0"/>
                <w:sz w:val="19"/>
              </w:rPr>
              <w:t>₹600–1,600 each, 52 usable subcarriers, 100 Hz confirmed via ping-reply CSI.</w:t>
            </w:r>
          </w:p>
        </w:tc>
        <w:tc>
          <w:tcPr>
            <w:tcW w:type="dxa" w:w="1621"/>
            <w:shd w:val="clear" w:fill="EEF2F8"/>
          </w:tcPr>
          <w:p>
            <w:pPr>
              <w:spacing w:after="40"/>
            </w:pPr>
            <w:r/>
            <w:r>
              <w:rPr>
                <w:b w:val="0"/>
                <w:sz w:val="19"/>
              </w:rPr>
              <w:t>~₹1,000/node</w:t>
            </w:r>
          </w:p>
        </w:tc>
        <w:tc>
          <w:tcPr>
            <w:tcW w:type="dxa" w:w="1128"/>
            <w:shd w:val="clear" w:fill="EEF2F8"/>
          </w:tcPr>
          <w:p>
            <w:pPr>
              <w:spacing w:after="40"/>
            </w:pPr>
            <w:r/>
            <w:r>
              <w:rPr>
                <w:b w:val="0"/>
                <w:sz w:val="19"/>
              </w:rPr>
              <w:t>2 weeks</w:t>
            </w:r>
          </w:p>
        </w:tc>
        <w:tc>
          <w:tcPr>
            <w:tcW w:type="dxa" w:w="2256"/>
            <w:shd w:val="clear" w:fill="EEF2F8"/>
          </w:tcPr>
          <w:p>
            <w:pPr>
              <w:spacing w:after="40"/>
            </w:pPr>
            <w:r/>
            <w:r>
              <w:rPr>
                <w:b w:val="0"/>
                <w:sz w:val="19"/>
              </w:rPr>
              <w:t xml:space="preserve">Best value when you need </w:t>
            </w:r>
            <w:r>
              <w:rPr>
                <w:b/>
                <w:sz w:val="19"/>
              </w:rPr>
              <w:t>many</w:t>
            </w:r>
            <w:r>
              <w:rPr>
                <w:b w:val="0"/>
                <w:sz w:val="19"/>
              </w:rPr>
              <w:t xml:space="preserve"> links (multi-person, multi-room). Lowest signal quality. You already have csi_sender code in the FYP repo.</w:t>
            </w:r>
          </w:p>
        </w:tc>
      </w:tr>
    </w:tbl>
    <w:p>
      <w:pPr>
        <w:spacing w:after="40"/>
      </w:pPr>
    </w:p>
    <w:p>
      <w:pPr>
        <w:pStyle w:val="Heading2"/>
      </w:pPr>
      <w:r>
        <w:t>4.2 About the “4 laptops + Intel network card” idea</w:t>
      </w:r>
    </w:p>
    <w:p>
      <w:r>
        <w:rPr>
          <w:b w:val="0"/>
          <w:i w:val="0"/>
        </w:rPr>
        <w:t>What your mentor is describing is the classic Intel 5300 + Linux 802.11n CSI Tool setup (Halperin et al.). It is the platform behind SignFi, Widar 3.0, and most of the WiFi-sensing canon, so the instinct is a good one. But in 2026 there is a problem with it:</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1621"/>
            <w:shd w:val="clear" w:fill="1F3864"/>
          </w:tcPr>
          <w:p>
            <w:r/>
            <w:r>
              <w:rPr>
                <w:b/>
                <w:color w:val="FFFFFF"/>
                <w:sz w:val="19"/>
              </w:rPr>
            </w:r>
          </w:p>
        </w:tc>
        <w:tc>
          <w:tcPr>
            <w:tcW w:type="dxa" w:w="4229"/>
            <w:shd w:val="clear" w:fill="1F3864"/>
          </w:tcPr>
          <w:p>
            <w:r/>
            <w:r>
              <w:rPr>
                <w:b/>
                <w:color w:val="FFFFFF"/>
                <w:sz w:val="19"/>
              </w:rPr>
              <w:t>Intel 5300 (what mam described)</w:t>
            </w:r>
          </w:p>
        </w:tc>
        <w:tc>
          <w:tcPr>
            <w:tcW w:type="dxa" w:w="4229"/>
            <w:shd w:val="clear" w:fill="1F3864"/>
          </w:tcPr>
          <w:p>
            <w:r/>
            <w:r>
              <w:rPr>
                <w:b/>
                <w:color w:val="FFFFFF"/>
                <w:sz w:val="19"/>
              </w:rPr>
              <w:t>Intel AX210 (what to buy instead)</w:t>
            </w:r>
          </w:p>
        </w:tc>
      </w:tr>
      <w:tr>
        <w:tc>
          <w:tcPr>
            <w:tcW w:type="dxa" w:w="1621"/>
          </w:tcPr>
          <w:p>
            <w:pPr>
              <w:spacing w:after="40"/>
            </w:pPr>
            <w:r/>
            <w:r>
              <w:rPr>
                <w:b w:val="0"/>
                <w:sz w:val="19"/>
              </w:rPr>
              <w:t>Status</w:t>
            </w:r>
          </w:p>
        </w:tc>
        <w:tc>
          <w:tcPr>
            <w:tcW w:type="dxa" w:w="4229"/>
          </w:tcPr>
          <w:p>
            <w:pPr>
              <w:spacing w:after="40"/>
            </w:pPr>
            <w:r/>
            <w:r>
              <w:rPr>
                <w:b/>
                <w:sz w:val="19"/>
              </w:rPr>
              <w:t>EOL at Intel</w:t>
            </w:r>
            <w:r>
              <w:rPr>
                <w:b w:val="0"/>
                <w:sz w:val="19"/>
              </w:rPr>
              <w:t>; grey-market only (~₹999 on IndiaMart/eBay)</w:t>
            </w:r>
          </w:p>
        </w:tc>
        <w:tc>
          <w:tcPr>
            <w:tcW w:type="dxa" w:w="4229"/>
          </w:tcPr>
          <w:p>
            <w:pPr>
              <w:spacing w:after="40"/>
            </w:pPr>
            <w:r/>
            <w:r>
              <w:rPr>
                <w:b w:val="0"/>
                <w:sz w:val="19"/>
              </w:rPr>
              <w:t>Current product, widely available</w:t>
            </w:r>
          </w:p>
        </w:tc>
      </w:tr>
      <w:tr>
        <w:tc>
          <w:tcPr>
            <w:tcW w:type="dxa" w:w="1621"/>
            <w:shd w:val="clear" w:fill="EEF2F8"/>
          </w:tcPr>
          <w:p>
            <w:pPr>
              <w:spacing w:after="40"/>
            </w:pPr>
            <w:r/>
            <w:r>
              <w:rPr>
                <w:b w:val="0"/>
                <w:sz w:val="19"/>
              </w:rPr>
              <w:t>OS requirement</w:t>
            </w:r>
          </w:p>
        </w:tc>
        <w:tc>
          <w:tcPr>
            <w:tcW w:type="dxa" w:w="4229"/>
            <w:shd w:val="clear" w:fill="EEF2F8"/>
          </w:tcPr>
          <w:p>
            <w:pPr>
              <w:spacing w:after="40"/>
            </w:pPr>
            <w:r/>
            <w:r>
              <w:rPr>
                <w:b w:val="0"/>
                <w:sz w:val="19"/>
              </w:rPr>
              <w:t>Pinned to old kernels (~4.2 era) and a patched firmware — painful on modern laptops</w:t>
            </w:r>
          </w:p>
        </w:tc>
        <w:tc>
          <w:tcPr>
            <w:tcW w:type="dxa" w:w="4229"/>
            <w:shd w:val="clear" w:fill="EEF2F8"/>
          </w:tcPr>
          <w:p>
            <w:pPr>
              <w:spacing w:after="40"/>
            </w:pPr>
            <w:r/>
            <w:r>
              <w:rPr>
                <w:b w:val="0"/>
                <w:sz w:val="19"/>
              </w:rPr>
              <w:t>Runs on current Linux kernels</w:t>
            </w:r>
          </w:p>
        </w:tc>
      </w:tr>
      <w:tr>
        <w:tc>
          <w:tcPr>
            <w:tcW w:type="dxa" w:w="1621"/>
          </w:tcPr>
          <w:p>
            <w:pPr>
              <w:spacing w:after="40"/>
            </w:pPr>
            <w:r/>
            <w:r>
              <w:rPr>
                <w:b w:val="0"/>
                <w:sz w:val="19"/>
              </w:rPr>
              <w:t>Form factor</w:t>
            </w:r>
          </w:p>
        </w:tc>
        <w:tc>
          <w:tcPr>
            <w:tcW w:type="dxa" w:w="4229"/>
          </w:tcPr>
          <w:p>
            <w:pPr>
              <w:spacing w:after="40"/>
            </w:pPr>
            <w:r/>
            <w:r>
              <w:rPr>
                <w:b w:val="0"/>
                <w:sz w:val="19"/>
              </w:rPr>
              <w:t>Mini PCI-E half card — will not fit most laptops made after ~2015</w:t>
            </w:r>
          </w:p>
        </w:tc>
        <w:tc>
          <w:tcPr>
            <w:tcW w:type="dxa" w:w="4229"/>
          </w:tcPr>
          <w:p>
            <w:pPr>
              <w:spacing w:after="40"/>
            </w:pPr>
            <w:r/>
            <w:r>
              <w:rPr>
                <w:b w:val="0"/>
                <w:sz w:val="19"/>
              </w:rPr>
              <w:t>M.2 2230 — fits current laptops, or use a USB/PCIe adapter</w:t>
            </w:r>
          </w:p>
        </w:tc>
      </w:tr>
      <w:tr>
        <w:tc>
          <w:tcPr>
            <w:tcW w:type="dxa" w:w="1621"/>
            <w:shd w:val="clear" w:fill="EEF2F8"/>
          </w:tcPr>
          <w:p>
            <w:pPr>
              <w:spacing w:after="40"/>
            </w:pPr>
            <w:r/>
            <w:r>
              <w:rPr>
                <w:b w:val="0"/>
                <w:sz w:val="19"/>
              </w:rPr>
              <w:t>WiFi standard</w:t>
            </w:r>
          </w:p>
        </w:tc>
        <w:tc>
          <w:tcPr>
            <w:tcW w:type="dxa" w:w="4229"/>
            <w:shd w:val="clear" w:fill="EEF2F8"/>
          </w:tcPr>
          <w:p>
            <w:pPr>
              <w:spacing w:after="40"/>
            </w:pPr>
            <w:r/>
            <w:r>
              <w:rPr>
                <w:b w:val="0"/>
                <w:sz w:val="19"/>
              </w:rPr>
              <w:t>802.11n only, 20/40 MHz, 30 subcarrier groups</w:t>
            </w:r>
          </w:p>
        </w:tc>
        <w:tc>
          <w:tcPr>
            <w:tcW w:type="dxa" w:w="4229"/>
            <w:shd w:val="clear" w:fill="EEF2F8"/>
          </w:tcPr>
          <w:p>
            <w:pPr>
              <w:spacing w:after="40"/>
            </w:pPr>
            <w:r/>
            <w:r>
              <w:rPr>
                <w:b w:val="0"/>
                <w:sz w:val="19"/>
              </w:rPr>
              <w:t>802.11a/g/n/ac/ax, 20–160 MHz, full subcarrier resolution</w:t>
            </w:r>
          </w:p>
        </w:tc>
      </w:tr>
      <w:tr>
        <w:tc>
          <w:tcPr>
            <w:tcW w:type="dxa" w:w="1621"/>
          </w:tcPr>
          <w:p>
            <w:pPr>
              <w:spacing w:after="40"/>
            </w:pPr>
            <w:r/>
            <w:r>
              <w:rPr>
                <w:b w:val="0"/>
                <w:sz w:val="19"/>
              </w:rPr>
              <w:t>Tooling</w:t>
            </w:r>
          </w:p>
        </w:tc>
        <w:tc>
          <w:tcPr>
            <w:tcW w:type="dxa" w:w="4229"/>
          </w:tcPr>
          <w:p>
            <w:pPr>
              <w:spacing w:after="40"/>
            </w:pPr>
            <w:r/>
            <w:r>
              <w:rPr>
                <w:b w:val="0"/>
                <w:sz w:val="19"/>
              </w:rPr>
              <w:t>linux-80211n-csitool (unmaintained)</w:t>
            </w:r>
          </w:p>
        </w:tc>
        <w:tc>
          <w:tcPr>
            <w:tcW w:type="dxa" w:w="4229"/>
          </w:tcPr>
          <w:p>
            <w:pPr>
              <w:spacing w:after="40"/>
            </w:pPr>
            <w:r/>
            <w:r>
              <w:rPr>
                <w:b/>
                <w:sz w:val="19"/>
              </w:rPr>
              <w:t>FeitCSI</w:t>
            </w:r>
            <w:r>
              <w:rPr>
                <w:b w:val="0"/>
                <w:sz w:val="19"/>
              </w:rPr>
              <w:t xml:space="preserve"> (open source, all formats/bandwidths) or </w:t>
            </w:r>
            <w:r>
              <w:rPr>
                <w:b/>
                <w:sz w:val="19"/>
              </w:rPr>
              <w:t>PicoScenes</w:t>
            </w:r>
          </w:p>
        </w:tc>
      </w:tr>
      <w:tr>
        <w:tc>
          <w:tcPr>
            <w:tcW w:type="dxa" w:w="1621"/>
            <w:shd w:val="clear" w:fill="EEF2F8"/>
          </w:tcPr>
          <w:p>
            <w:pPr>
              <w:spacing w:after="40"/>
            </w:pPr>
            <w:r/>
            <w:r>
              <w:rPr>
                <w:b w:val="0"/>
                <w:sz w:val="19"/>
              </w:rPr>
              <w:t>Risk</w:t>
            </w:r>
          </w:p>
        </w:tc>
        <w:tc>
          <w:tcPr>
            <w:tcW w:type="dxa" w:w="4229"/>
            <w:shd w:val="clear" w:fill="EEF2F8"/>
          </w:tcPr>
          <w:p>
            <w:pPr>
              <w:spacing w:after="40"/>
            </w:pPr>
            <w:r/>
            <w:r>
              <w:rPr>
                <w:b/>
                <w:sz w:val="19"/>
              </w:rPr>
              <w:t>High</w:t>
            </w:r>
            <w:r>
              <w:rPr>
                <w:b w:val="0"/>
                <w:sz w:val="19"/>
              </w:rPr>
              <w:t xml:space="preserve"> — you may lose 3 weeks just getting a kernel to boot</w:t>
            </w:r>
          </w:p>
        </w:tc>
        <w:tc>
          <w:tcPr>
            <w:tcW w:type="dxa" w:w="4229"/>
            <w:shd w:val="clear" w:fill="EEF2F8"/>
          </w:tcPr>
          <w:p>
            <w:pPr>
              <w:spacing w:after="40"/>
            </w:pPr>
            <w:r/>
            <w:r>
              <w:rPr>
                <w:b w:val="0"/>
                <w:sz w:val="19"/>
              </w:rPr>
              <w:t>Moderate — normal setup effort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fill="FFF3CD"/>
          </w:tcPr>
          <w:p>
            <w:r/>
            <w:r>
              <w:rPr>
                <w:b/>
                <w:sz w:val="20"/>
              </w:rPr>
              <w:t>Recommendation on the laptop plan</w:t>
            </w:r>
          </w:p>
          <w:p>
            <w:pPr>
              <w:spacing w:after="40"/>
            </w:pPr>
            <w:r>
              <w:rPr>
                <w:sz w:val="20"/>
              </w:rPr>
              <w:t>Tell your mentor: the 4-laptop idea is right, the card is out of date. Ask for Intel AX210 cards with FeitCSI instead of Intel 5300 with the old CSI Tool. Same architecture, same research capability, but it will actually boot on hardware you own and it is maintained. If the lab already owns 5300 cards and a machine that runs them, use them — but do not spend money acquiring them.</w:t>
            </w:r>
          </w:p>
        </w:tc>
      </w:tr>
    </w:tbl>
    <w:p>
      <w:pPr>
        <w:spacing w:after="40"/>
      </w:pPr>
    </w:p>
    <w:p>
      <w:pPr>
        <w:pStyle w:val="Heading2"/>
      </w:pPr>
      <w:r>
        <w:t>4.3 What to actually do</w:t>
      </w:r>
    </w:p>
    <w:p>
      <w:pPr>
        <w:spacing w:after="80"/>
        <w:ind w:left="461" w:hanging="461"/>
      </w:pPr>
      <w:r>
        <w:rPr>
          <w:b/>
        </w:rPr>
        <w:t xml:space="preserve">1.  </w:t>
      </w:r>
      <w:r>
        <w:t>This week: build the controlled transmitter (Option A). Zero-to-low cost, unblocks everything.</w:t>
      </w:r>
    </w:p>
    <w:p>
      <w:pPr>
        <w:spacing w:after="80"/>
        <w:ind w:left="461" w:hanging="461"/>
      </w:pPr>
      <w:r>
        <w:rPr>
          <w:b/>
        </w:rPr>
        <w:t xml:space="preserve">2.  </w:t>
      </w:r>
      <w:r>
        <w:t>This week: ask the lab whether a second USRP N210 (or B210/X310) exists. If yes, Option B becomes free and you match the reference paper exactly.</w:t>
      </w:r>
    </w:p>
    <w:p>
      <w:pPr>
        <w:spacing w:after="80"/>
        <w:ind w:left="461" w:hanging="461"/>
      </w:pPr>
      <w:r>
        <w:rPr>
          <w:b/>
        </w:rPr>
        <w:t xml:space="preserve">3.  </w:t>
      </w:r>
      <w:r>
        <w:t>Start procurement now for 2 × Intel AX210 (target: in hand by early September). Add 2 more if budget allows, for the multi-link work.</w:t>
      </w:r>
    </w:p>
    <w:p>
      <w:pPr>
        <w:spacing w:after="80"/>
        <w:ind w:left="461" w:hanging="461"/>
      </w:pPr>
      <w:r>
        <w:rPr>
          <w:b/>
        </w:rPr>
        <w:t xml:space="preserve">4.  </w:t>
      </w:r>
      <w:r>
        <w:t>Buy 4 × ESP32-S3 (~₹4,000 total) as a cheap parallel track — useful for multi-room and for the ambient-gating idea in your problem statement.</w:t>
      </w:r>
    </w:p>
    <w:p>
      <w:pPr>
        <w:spacing w:after="80"/>
        <w:ind w:left="461" w:hanging="461"/>
      </w:pPr>
      <w:r>
        <w:rPr>
          <w:b/>
        </w:rPr>
        <w:t xml:space="preserve">5.  </w:t>
      </w:r>
      <w:r>
        <w:t>Do not buy: OctoClock, Intel 5300, a new N210.</w:t>
      </w:r>
    </w:p>
    <w:p>
      <w:pPr>
        <w:pStyle w:val="Heading1"/>
      </w:pPr>
      <w:r>
        <w:t>5. Publication Strategy</w:t>
      </w:r>
    </w:p>
    <w:p>
      <w:pPr>
        <w:pStyle w:val="Heading2"/>
      </w:pPr>
      <w:r>
        <w:t>5.1 Timeline reality check</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4200"/>
            <w:shd w:val="clear" w:fill="1F3864"/>
          </w:tcPr>
          <w:p>
            <w:r/>
            <w:r>
              <w:rPr>
                <w:b/>
                <w:color w:val="FFFFFF"/>
                <w:sz w:val="19"/>
              </w:rPr>
              <w:t>Milestone</w:t>
            </w:r>
          </w:p>
        </w:tc>
        <w:tc>
          <w:tcPr>
            <w:tcW w:type="dxa" w:w="2100"/>
            <w:shd w:val="clear" w:fill="1F3864"/>
          </w:tcPr>
          <w:p>
            <w:r/>
            <w:r>
              <w:rPr>
                <w:b/>
                <w:color w:val="FFFFFF"/>
                <w:sz w:val="19"/>
              </w:rPr>
              <w:t>Target date</w:t>
            </w:r>
          </w:p>
        </w:tc>
        <w:tc>
          <w:tcPr>
            <w:tcW w:type="dxa" w:w="3780"/>
            <w:shd w:val="clear" w:fill="1F3864"/>
          </w:tcPr>
          <w:p>
            <w:r/>
            <w:r>
              <w:rPr>
                <w:b/>
                <w:color w:val="FFFFFF"/>
                <w:sz w:val="19"/>
              </w:rPr>
              <w:t>Realistic?</w:t>
            </w:r>
          </w:p>
        </w:tc>
      </w:tr>
      <w:tr>
        <w:tc>
          <w:tcPr>
            <w:tcW w:type="dxa" w:w="4200"/>
          </w:tcPr>
          <w:p>
            <w:pPr>
              <w:spacing w:after="40"/>
            </w:pPr>
            <w:r/>
            <w:r>
              <w:rPr>
                <w:b w:val="0"/>
                <w:sz w:val="19"/>
              </w:rPr>
              <w:t>Rig fixed, controlled Tx validated</w:t>
            </w:r>
          </w:p>
        </w:tc>
        <w:tc>
          <w:tcPr>
            <w:tcW w:type="dxa" w:w="2100"/>
          </w:tcPr>
          <w:p>
            <w:pPr>
              <w:spacing w:after="40"/>
            </w:pPr>
            <w:r/>
            <w:r>
              <w:rPr>
                <w:b w:val="0"/>
                <w:sz w:val="19"/>
              </w:rPr>
              <w:t>15 Aug 2026</w:t>
            </w:r>
          </w:p>
        </w:tc>
        <w:tc>
          <w:tcPr>
            <w:tcW w:type="dxa" w:w="3780"/>
          </w:tcPr>
          <w:p>
            <w:pPr>
              <w:spacing w:after="40"/>
            </w:pPr>
            <w:r/>
            <w:r>
              <w:rPr>
                <w:b w:val="0"/>
                <w:sz w:val="19"/>
              </w:rPr>
              <w:t>Yes</w:t>
            </w:r>
          </w:p>
        </w:tc>
      </w:tr>
      <w:tr>
        <w:tc>
          <w:tcPr>
            <w:tcW w:type="dxa" w:w="4200"/>
            <w:shd w:val="clear" w:fill="EEF2F8"/>
          </w:tcPr>
          <w:p>
            <w:pPr>
              <w:spacing w:after="40"/>
            </w:pPr>
            <w:r/>
            <w:r>
              <w:rPr>
                <w:b w:val="0"/>
                <w:sz w:val="19"/>
              </w:rPr>
              <w:t>Fall dataset collected (multi-session)</w:t>
            </w:r>
          </w:p>
        </w:tc>
        <w:tc>
          <w:tcPr>
            <w:tcW w:type="dxa" w:w="2100"/>
            <w:shd w:val="clear" w:fill="EEF2F8"/>
          </w:tcPr>
          <w:p>
            <w:pPr>
              <w:spacing w:after="40"/>
            </w:pPr>
            <w:r/>
            <w:r>
              <w:rPr>
                <w:b w:val="0"/>
                <w:sz w:val="19"/>
              </w:rPr>
              <w:t>30 Sep 2026</w:t>
            </w:r>
          </w:p>
        </w:tc>
        <w:tc>
          <w:tcPr>
            <w:tcW w:type="dxa" w:w="3780"/>
            <w:shd w:val="clear" w:fill="EEF2F8"/>
          </w:tcPr>
          <w:p>
            <w:pPr>
              <w:spacing w:after="40"/>
            </w:pPr>
            <w:r/>
            <w:r>
              <w:rPr>
                <w:b w:val="0"/>
                <w:sz w:val="19"/>
              </w:rPr>
              <w:t>Yes, if collection starts by 20 Aug</w:t>
            </w:r>
          </w:p>
        </w:tc>
      </w:tr>
      <w:tr>
        <w:tc>
          <w:tcPr>
            <w:tcW w:type="dxa" w:w="4200"/>
          </w:tcPr>
          <w:p>
            <w:pPr>
              <w:spacing w:after="40"/>
            </w:pPr>
            <w:r/>
            <w:r>
              <w:rPr>
                <w:b w:val="0"/>
                <w:sz w:val="19"/>
              </w:rPr>
              <w:t>Experiments complete</w:t>
            </w:r>
          </w:p>
        </w:tc>
        <w:tc>
          <w:tcPr>
            <w:tcW w:type="dxa" w:w="2100"/>
          </w:tcPr>
          <w:p>
            <w:pPr>
              <w:spacing w:after="40"/>
            </w:pPr>
            <w:r/>
            <w:r>
              <w:rPr>
                <w:b w:val="0"/>
                <w:sz w:val="19"/>
              </w:rPr>
              <w:t>31 Oct 2026</w:t>
            </w:r>
          </w:p>
        </w:tc>
        <w:tc>
          <w:tcPr>
            <w:tcW w:type="dxa" w:w="3780"/>
          </w:tcPr>
          <w:p>
            <w:pPr>
              <w:spacing w:after="40"/>
            </w:pPr>
            <w:r/>
            <w:r>
              <w:rPr>
                <w:b w:val="0"/>
                <w:sz w:val="19"/>
              </w:rPr>
              <w:t>Yes</w:t>
            </w:r>
          </w:p>
        </w:tc>
      </w:tr>
      <w:tr>
        <w:tc>
          <w:tcPr>
            <w:tcW w:type="dxa" w:w="4200"/>
            <w:shd w:val="clear" w:fill="EEF2F8"/>
          </w:tcPr>
          <w:p>
            <w:pPr>
              <w:spacing w:after="40"/>
            </w:pPr>
            <w:r/>
            <w:r>
              <w:rPr>
                <w:b w:val="0"/>
                <w:sz w:val="19"/>
              </w:rPr>
              <w:t xml:space="preserve">Conference/workshop paper </w:t>
            </w:r>
            <w:r>
              <w:rPr>
                <w:b/>
                <w:sz w:val="19"/>
              </w:rPr>
              <w:t>submitted</w:t>
            </w:r>
          </w:p>
        </w:tc>
        <w:tc>
          <w:tcPr>
            <w:tcW w:type="dxa" w:w="2100"/>
            <w:shd w:val="clear" w:fill="EEF2F8"/>
          </w:tcPr>
          <w:p>
            <w:pPr>
              <w:spacing w:after="40"/>
            </w:pPr>
            <w:r/>
            <w:r>
              <w:rPr>
                <w:b w:val="0"/>
                <w:sz w:val="19"/>
              </w:rPr>
              <w:t>20 Nov 2026</w:t>
            </w:r>
          </w:p>
        </w:tc>
        <w:tc>
          <w:tcPr>
            <w:tcW w:type="dxa" w:w="3780"/>
            <w:shd w:val="clear" w:fill="EEF2F8"/>
          </w:tcPr>
          <w:p>
            <w:pPr>
              <w:spacing w:after="40"/>
            </w:pPr>
            <w:r/>
            <w:r>
              <w:rPr>
                <w:b w:val="0"/>
                <w:sz w:val="19"/>
              </w:rPr>
              <w:t>Yes</w:t>
            </w:r>
          </w:p>
        </w:tc>
      </w:tr>
      <w:tr>
        <w:tc>
          <w:tcPr>
            <w:tcW w:type="dxa" w:w="4200"/>
          </w:tcPr>
          <w:p>
            <w:pPr>
              <w:spacing w:after="40"/>
            </w:pPr>
            <w:r/>
            <w:r>
              <w:rPr>
                <w:b w:val="0"/>
                <w:sz w:val="19"/>
              </w:rPr>
              <w:t xml:space="preserve">Conference paper </w:t>
            </w:r>
            <w:r>
              <w:rPr>
                <w:b/>
                <w:sz w:val="19"/>
              </w:rPr>
              <w:t>accepted</w:t>
            </w:r>
          </w:p>
        </w:tc>
        <w:tc>
          <w:tcPr>
            <w:tcW w:type="dxa" w:w="2100"/>
          </w:tcPr>
          <w:p>
            <w:pPr>
              <w:spacing w:after="40"/>
            </w:pPr>
            <w:r/>
            <w:r>
              <w:rPr>
                <w:b w:val="0"/>
                <w:sz w:val="19"/>
              </w:rPr>
              <w:t>Dec 2026</w:t>
            </w:r>
          </w:p>
        </w:tc>
        <w:tc>
          <w:tcPr>
            <w:tcW w:type="dxa" w:w="3780"/>
          </w:tcPr>
          <w:p>
            <w:pPr>
              <w:spacing w:after="40"/>
            </w:pPr>
            <w:r/>
            <w:r>
              <w:rPr>
                <w:b/>
                <w:sz w:val="19"/>
              </w:rPr>
              <w:t>No</w:t>
            </w:r>
            <w:r>
              <w:rPr>
                <w:b w:val="0"/>
                <w:sz w:val="19"/>
              </w:rPr>
              <w:t xml:space="preserve"> — acceptance is not schedulable. Submitted is the milestone.</w:t>
            </w:r>
          </w:p>
        </w:tc>
      </w:tr>
      <w:tr>
        <w:tc>
          <w:tcPr>
            <w:tcW w:type="dxa" w:w="4200"/>
            <w:shd w:val="clear" w:fill="EEF2F8"/>
          </w:tcPr>
          <w:p>
            <w:pPr>
              <w:spacing w:after="40"/>
            </w:pPr>
            <w:r/>
            <w:r>
              <w:rPr>
                <w:b w:val="0"/>
                <w:sz w:val="19"/>
              </w:rPr>
              <w:t xml:space="preserve">Q1 journal manuscript </w:t>
            </w:r>
            <w:r>
              <w:rPr>
                <w:b/>
                <w:sz w:val="19"/>
              </w:rPr>
              <w:t>submitted</w:t>
            </w:r>
          </w:p>
        </w:tc>
        <w:tc>
          <w:tcPr>
            <w:tcW w:type="dxa" w:w="2100"/>
            <w:shd w:val="clear" w:fill="EEF2F8"/>
          </w:tcPr>
          <w:p>
            <w:pPr>
              <w:spacing w:after="40"/>
            </w:pPr>
            <w:r/>
            <w:r>
              <w:rPr>
                <w:b w:val="0"/>
                <w:sz w:val="19"/>
              </w:rPr>
              <w:t>31 Jan 2027</w:t>
            </w:r>
          </w:p>
        </w:tc>
        <w:tc>
          <w:tcPr>
            <w:tcW w:type="dxa" w:w="3780"/>
            <w:shd w:val="clear" w:fill="EEF2F8"/>
          </w:tcPr>
          <w:p>
            <w:pPr>
              <w:spacing w:after="40"/>
            </w:pPr>
            <w:r/>
            <w:r>
              <w:rPr>
                <w:b w:val="0"/>
                <w:sz w:val="19"/>
              </w:rPr>
              <w:t>Yes, if the conference paper is done on time</w:t>
            </w:r>
          </w:p>
        </w:tc>
      </w:tr>
      <w:tr>
        <w:tc>
          <w:tcPr>
            <w:tcW w:type="dxa" w:w="4200"/>
          </w:tcPr>
          <w:p>
            <w:pPr>
              <w:spacing w:after="40"/>
            </w:pPr>
            <w:r/>
            <w:r>
              <w:rPr>
                <w:b w:val="0"/>
                <w:sz w:val="19"/>
              </w:rPr>
              <w:t xml:space="preserve">Q1 journal </w:t>
            </w:r>
            <w:r>
              <w:rPr>
                <w:b/>
                <w:sz w:val="19"/>
              </w:rPr>
              <w:t>published</w:t>
            </w:r>
          </w:p>
        </w:tc>
        <w:tc>
          <w:tcPr>
            <w:tcW w:type="dxa" w:w="2100"/>
          </w:tcPr>
          <w:p>
            <w:pPr>
              <w:spacing w:after="40"/>
            </w:pPr>
            <w:r/>
            <w:r>
              <w:rPr>
                <w:b w:val="0"/>
                <w:sz w:val="19"/>
              </w:rPr>
              <w:t>Jan 2027</w:t>
            </w:r>
          </w:p>
        </w:tc>
        <w:tc>
          <w:tcPr>
            <w:tcW w:type="dxa" w:w="3780"/>
          </w:tcPr>
          <w:p>
            <w:pPr>
              <w:spacing w:after="40"/>
            </w:pPr>
            <w:r/>
            <w:r>
              <w:rPr>
                <w:b/>
                <w:sz w:val="19"/>
              </w:rPr>
              <w:t>No</w:t>
            </w:r>
            <w:r>
              <w:rPr>
                <w:b w:val="0"/>
                <w:sz w:val="19"/>
              </w:rPr>
              <w:t xml:space="preserve"> — 3–9 month review. Realistically mid-to-late 2027.</w:t>
            </w:r>
          </w:p>
        </w:tc>
      </w:tr>
    </w:tbl>
    <w:p>
      <w:pPr>
        <w:spacing w:after="40"/>
      </w:pPr>
    </w:p>
    <w:p>
      <w:r>
        <w:rPr>
          <w:b w:val="0"/>
          <w:i w:val="0"/>
        </w:rPr>
        <w:t>Please reset expectations with your guide on this now rather than in December. Everyone will be happier with two strong submissions than one rushed acceptance.</w:t>
      </w:r>
    </w:p>
    <w:p>
      <w:pPr>
        <w:pStyle w:val="Heading2"/>
      </w:pPr>
      <w:r>
        <w:t>5.2 Paper 1 (November submission) — the fall detection paper</w:t>
      </w:r>
    </w:p>
    <w:p>
      <w:r>
        <w:rPr>
          <w:b/>
          <w:i w:val="0"/>
        </w:rPr>
        <w:t xml:space="preserve">A plain “CNN on CSI for fall detection” will not get through review. </w:t>
      </w:r>
      <w:r>
        <w:rPr>
          <w:b w:val="0"/>
          <w:i w:val="0"/>
        </w:rPr>
        <w:t>That space is saturated — CSI-Net reports 98.7%, and there are dozens of similar papers. You need a contribution, and fortunately you already stumbled onto one this week.</w:t>
      </w:r>
    </w:p>
    <w:p>
      <w:r>
        <w:rPr>
          <w:b/>
          <w:i w:val="0"/>
        </w:rPr>
        <w:t>Proposed framing:</w:t>
      </w:r>
    </w:p>
    <w:p>
      <w:r>
        <w:rPr>
          <w:b w:val="0"/>
          <w:i/>
        </w:rPr>
        <w:t>“Session, Not Subject, Is the Dominant Confound in WiFi CSI Activity Recognition: Evidence from Fall Detection”</w:t>
      </w:r>
    </w:p>
    <w:p>
      <w:r>
        <w:rPr>
          <w:b/>
          <w:i w:val="0"/>
        </w:rPr>
        <w:t>Three contributions:</w:t>
      </w:r>
    </w:p>
    <w:p>
      <w:pPr>
        <w:spacing w:after="80"/>
        <w:ind w:left="461" w:hanging="461"/>
      </w:pPr>
      <w:r>
        <w:rPr>
          <w:b/>
        </w:rPr>
        <w:t xml:space="preserve">1.  </w:t>
      </w:r>
      <w:r>
        <w:t>An empirical demonstration that models passing a strict leave-one-subject-out protocol still collapse to chance on a new recording session — with the mechanism identified (the network learns an absolute fluctuation-energy threshold, and absolute energy is a session property, not an activity property). You have this result already, quantified.</w:t>
      </w:r>
    </w:p>
    <w:p>
      <w:pPr>
        <w:spacing w:after="80"/>
        <w:ind w:left="461" w:hanging="461"/>
      </w:pPr>
      <w:r>
        <w:rPr>
          <w:b/>
        </w:rPr>
        <w:t xml:space="preserve">2.  </w:t>
      </w:r>
      <w:r>
        <w:t>A multi-session, multi-subject fall dataset with explicit session/geometry metadata. Most public CSI fall datasets are single-session; this makes yours genuinely useful to others and is publishable on its own merit.</w:t>
      </w:r>
    </w:p>
    <w:p>
      <w:pPr>
        <w:spacing w:after="80"/>
        <w:ind w:left="461" w:hanging="461"/>
      </w:pPr>
      <w:r>
        <w:rPr>
          <w:b/>
        </w:rPr>
        <w:t xml:space="preserve">3.  </w:t>
      </w:r>
      <w:r>
        <w:t>A scale-invariant preprocessing and architecture change that closes the gap, evaluated under a leave-one-session-out protocol alongside the standard one, showing the delta.</w:t>
      </w:r>
    </w:p>
    <w:p>
      <w:r>
        <w:rPr>
          <w:b w:val="0"/>
          <w:i w:val="0"/>
        </w:rPr>
        <w:t>Why this is defensible: the 2024–2025 literature (see references) has established that subject-level leakage inflates CSI results. Those papers fix the subject split. Nobody has clearly shown that fixing the subject split is insufficient, that session is the larger confound, and why. That is a real, modest, honest contribution — and reviewers respect a paper that reports a negative result about its own earlier pipeline.</w:t>
      </w:r>
    </w:p>
    <w:p>
      <w:r>
        <w:rPr>
          <w:b/>
          <w:i w:val="0"/>
        </w:rPr>
        <w:t>Candidate venues:</w:t>
      </w:r>
    </w:p>
    <w:p>
      <w:pPr>
        <w:pStyle w:val="ListBullet"/>
      </w:pPr>
      <w:r>
        <w:rPr>
          <w:b w:val="0"/>
        </w:rPr>
        <w:t>MDPI Sensors (Q1/Q2, fast review ~4–6 weeks) — good fit for dataset + evaluation-protocol papers.</w:t>
      </w:r>
    </w:p>
    <w:p>
      <w:pPr>
        <w:pStyle w:val="ListBullet"/>
      </w:pPr>
      <w:r>
        <w:rPr>
          <w:b w:val="0"/>
        </w:rPr>
        <w:t>IEEE Sensors Journal (Q1).</w:t>
      </w:r>
    </w:p>
    <w:p>
      <w:pPr>
        <w:pStyle w:val="ListBullet"/>
      </w:pPr>
      <w:r>
        <w:rPr>
          <w:b w:val="0"/>
        </w:rPr>
        <w:t>A workshop at PerCom / UbiComp / MobiCom — fastest turnaround, good for the negative-result angle.</w:t>
      </w:r>
    </w:p>
    <w:p>
      <w:pPr>
        <w:pStyle w:val="ListBullet"/>
      </w:pPr>
      <w:r>
        <w:rPr>
          <w:b w:val="0"/>
        </w:rPr>
        <w:t>IEEE Access (Q1/Q2, fast) — where your reference paper was published.</w:t>
      </w:r>
    </w:p>
    <w:p>
      <w:pPr>
        <w:pStyle w:val="Heading2"/>
      </w:pPr>
      <w:r>
        <w:t>5.3 Paper 2 (January submission) — the Q1 journal</w:t>
      </w:r>
    </w:p>
    <w:p>
      <w:r>
        <w:rPr>
          <w:b w:val="0"/>
          <w:i w:val="0"/>
        </w:rPr>
        <w:t>This is where the speech-impaired end goal lands. Be careful about scope: full sign-language recognition over a large vocabulary is an open research problem, not a five-month deliverable. SignFi's 98% is single-user, within-domain, and under one metre of range; cross-domain sign recognition degrades sharply, and 2025 work is still actively trying to fix it.</w:t>
      </w:r>
    </w:p>
    <w:p>
      <w:r>
        <w:rPr>
          <w:b w:val="0"/>
          <w:i w:val="0"/>
        </w:rPr>
        <w:t>Your guide already gave you the right scope in the 17 April meeting: “first focus on activity detection (sign vs no sign) instead of directly performing full sign classification.” Build the journal paper on exactly that:</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1269"/>
            <w:shd w:val="clear" w:fill="1F3864"/>
          </w:tcPr>
          <w:p>
            <w:r/>
            <w:r>
              <w:rPr>
                <w:b/>
                <w:color w:val="FFFFFF"/>
                <w:sz w:val="19"/>
              </w:rPr>
              <w:t>Scope</w:t>
            </w:r>
          </w:p>
        </w:tc>
        <w:tc>
          <w:tcPr>
            <w:tcW w:type="dxa" w:w="4511"/>
            <w:shd w:val="clear" w:fill="1F3864"/>
          </w:tcPr>
          <w:p>
            <w:r/>
            <w:r>
              <w:rPr>
                <w:b/>
                <w:color w:val="FFFFFF"/>
                <w:sz w:val="19"/>
              </w:rPr>
              <w:t>In</w:t>
            </w:r>
          </w:p>
        </w:tc>
        <w:tc>
          <w:tcPr>
            <w:tcW w:type="dxa" w:w="4300"/>
            <w:shd w:val="clear" w:fill="1F3864"/>
          </w:tcPr>
          <w:p>
            <w:r/>
            <w:r>
              <w:rPr>
                <w:b/>
                <w:color w:val="FFFFFF"/>
                <w:sz w:val="19"/>
              </w:rPr>
              <w:t>Out</w:t>
            </w:r>
          </w:p>
        </w:tc>
      </w:tr>
      <w:tr>
        <w:tc>
          <w:tcPr>
            <w:tcW w:type="dxa" w:w="1269"/>
          </w:tcPr>
          <w:p>
            <w:pPr>
              <w:spacing w:after="40"/>
            </w:pPr>
            <w:r/>
            <w:r>
              <w:rPr>
                <w:b w:val="0"/>
                <w:sz w:val="19"/>
              </w:rPr>
              <w:t>Task</w:t>
            </w:r>
          </w:p>
        </w:tc>
        <w:tc>
          <w:tcPr>
            <w:tcW w:type="dxa" w:w="4511"/>
          </w:tcPr>
          <w:p>
            <w:pPr>
              <w:spacing w:after="40"/>
            </w:pPr>
            <w:r/>
            <w:r>
              <w:rPr>
                <w:b w:val="0"/>
                <w:sz w:val="19"/>
              </w:rPr>
              <w:t>Communication-intent detection: sign vs. everyday motion vs. idle, plus a small closed vocabulary of 5–10 command gestures</w:t>
            </w:r>
          </w:p>
        </w:tc>
        <w:tc>
          <w:tcPr>
            <w:tcW w:type="dxa" w:w="4300"/>
          </w:tcPr>
          <w:p>
            <w:pPr>
              <w:spacing w:after="40"/>
            </w:pPr>
            <w:r/>
            <w:r>
              <w:rPr>
                <w:b w:val="0"/>
                <w:sz w:val="19"/>
              </w:rPr>
              <w:t>276-class SignFi-style open vocabulary; continuous sentence-level signing</w:t>
            </w:r>
          </w:p>
        </w:tc>
      </w:tr>
      <w:tr>
        <w:tc>
          <w:tcPr>
            <w:tcW w:type="dxa" w:w="1269"/>
            <w:shd w:val="clear" w:fill="EEF2F8"/>
          </w:tcPr>
          <w:p>
            <w:pPr>
              <w:spacing w:after="40"/>
            </w:pPr>
            <w:r/>
            <w:r>
              <w:rPr>
                <w:b w:val="0"/>
                <w:sz w:val="19"/>
              </w:rPr>
              <w:t>Setting</w:t>
            </w:r>
          </w:p>
        </w:tc>
        <w:tc>
          <w:tcPr>
            <w:tcW w:type="dxa" w:w="4511"/>
            <w:shd w:val="clear" w:fill="EEF2F8"/>
          </w:tcPr>
          <w:p>
            <w:pPr>
              <w:spacing w:after="40"/>
            </w:pPr>
            <w:r/>
            <w:r>
              <w:rPr>
                <w:b w:val="0"/>
                <w:sz w:val="19"/>
              </w:rPr>
              <w:t>One room, controlled Tx/Rx geometry, 3–5 subjects, ≥4 sessions on different days</w:t>
            </w:r>
          </w:p>
        </w:tc>
        <w:tc>
          <w:tcPr>
            <w:tcW w:type="dxa" w:w="4300"/>
            <w:shd w:val="clear" w:fill="EEF2F8"/>
          </w:tcPr>
          <w:p>
            <w:pPr>
              <w:spacing w:after="40"/>
            </w:pPr>
            <w:r/>
            <w:r>
              <w:rPr>
                <w:b w:val="0"/>
                <w:sz w:val="19"/>
              </w:rPr>
              <w:t>Multi-room, in-the-wild deployment</w:t>
            </w:r>
          </w:p>
        </w:tc>
      </w:tr>
      <w:tr>
        <w:tc>
          <w:tcPr>
            <w:tcW w:type="dxa" w:w="1269"/>
          </w:tcPr>
          <w:p>
            <w:pPr>
              <w:spacing w:after="40"/>
            </w:pPr>
            <w:r/>
            <w:r>
              <w:rPr>
                <w:b w:val="0"/>
                <w:sz w:val="19"/>
              </w:rPr>
              <w:t>Novelty</w:t>
            </w:r>
          </w:p>
        </w:tc>
        <w:tc>
          <w:tcPr>
            <w:tcW w:type="dxa" w:w="4511"/>
          </w:tcPr>
          <w:p>
            <w:pPr>
              <w:spacing w:after="40"/>
            </w:pPr>
            <w:r/>
            <w:r>
              <w:rPr>
                <w:b w:val="0"/>
                <w:sz w:val="19"/>
              </w:rPr>
              <w:t>Session-robust gating of fine gestures against background body motion — directly matches use cases UC1/UC2 in your Panel Review 2 problem statement</w:t>
            </w:r>
          </w:p>
        </w:tc>
        <w:tc>
          <w:tcPr>
            <w:tcW w:type="dxa" w:w="4300"/>
          </w:tcPr>
          <w:p>
            <w:pPr>
              <w:spacing w:after="40"/>
            </w:pPr>
            <w:r/>
            <w:r>
              <w:rPr>
                <w:b w:val="0"/>
                <w:sz w:val="19"/>
              </w:rPr>
              <w:t>Beating SignFi on SignFi's own within-domain split</w:t>
            </w:r>
          </w:p>
        </w:tc>
      </w:tr>
    </w:tbl>
    <w:p>
      <w:pPr>
        <w:spacing w:after="40"/>
      </w:pPr>
    </w:p>
    <w:p>
      <w:r>
        <w:rPr>
          <w:b w:val="0"/>
          <w:i w:val="0"/>
        </w:rPr>
        <w:t>This is achievable, it is honest, it serves the speech-impaired users you care about, and it is the natural extension of Paper 1's method to a harder task — which is exactly the structure reviewers expect from a conference-paper-to-journal progression.</w:t>
      </w:r>
    </w:p>
    <w:p>
      <w:pPr>
        <w:pStyle w:val="Heading1"/>
      </w:pPr>
      <w:r>
        <w:t>6. Phase-by-Phase Execution Plan</w:t>
      </w:r>
    </w:p>
    <w:p>
      <w:pPr>
        <w:pStyle w:val="Heading2"/>
      </w:pPr>
      <w:r>
        <w:t>Phase 0 — Fix the rig  (22 July – 15 August)</w:t>
      </w:r>
    </w:p>
    <w:p>
      <w:r>
        <w:rPr>
          <w:b w:val="0"/>
          <w:i/>
        </w:rPr>
        <w:t>Nothing else starts until this is done. Do not collect one more window on the current setup.</w:t>
      </w:r>
    </w:p>
    <w:tbl>
      <w:tblPr>
        <w:tblStyle w:val="TableGrid"/>
        <w:tblW w:type="auto" w:w="0"/>
        <w:jc w:val="center"/>
        <w:tblLayout w:type="fixed"/>
        <w:tblLook w:firstColumn="1" w:firstRow="1" w:lastColumn="0" w:lastRow="0" w:noHBand="0" w:noVBand="1" w:val="04A0"/>
        <w:tblLayout w:type="fixed"/>
      </w:tblPr>
      <w:tblGrid>
        <w:gridCol w:w="2520"/>
        <w:gridCol w:w="2520"/>
        <w:gridCol w:w="2520"/>
        <w:gridCol w:w="2520"/>
      </w:tblGrid>
      <w:tr>
        <w:tc>
          <w:tcPr>
            <w:tcW w:type="dxa" w:w="493"/>
            <w:shd w:val="clear" w:fill="1F3864"/>
          </w:tcPr>
          <w:p>
            <w:r/>
            <w:r>
              <w:rPr>
                <w:b/>
                <w:color w:val="FFFFFF"/>
                <w:sz w:val="19"/>
              </w:rPr>
              <w:t>#</w:t>
            </w:r>
          </w:p>
        </w:tc>
        <w:tc>
          <w:tcPr>
            <w:tcW w:type="dxa" w:w="4934"/>
            <w:shd w:val="clear" w:fill="1F3864"/>
          </w:tcPr>
          <w:p>
            <w:r/>
            <w:r>
              <w:rPr>
                <w:b/>
                <w:color w:val="FFFFFF"/>
                <w:sz w:val="19"/>
              </w:rPr>
              <w:t>Task</w:t>
            </w:r>
          </w:p>
        </w:tc>
        <w:tc>
          <w:tcPr>
            <w:tcW w:type="dxa" w:w="1621"/>
            <w:shd w:val="clear" w:fill="1F3864"/>
          </w:tcPr>
          <w:p>
            <w:r/>
            <w:r>
              <w:rPr>
                <w:b/>
                <w:color w:val="FFFFFF"/>
                <w:sz w:val="19"/>
              </w:rPr>
              <w:t>Owner</w:t>
            </w:r>
          </w:p>
        </w:tc>
        <w:tc>
          <w:tcPr>
            <w:tcW w:type="dxa" w:w="3031"/>
            <w:shd w:val="clear" w:fill="1F3864"/>
          </w:tcPr>
          <w:p>
            <w:r/>
            <w:r>
              <w:rPr>
                <w:b/>
                <w:color w:val="FFFFFF"/>
                <w:sz w:val="19"/>
              </w:rPr>
              <w:t>Done when</w:t>
            </w:r>
          </w:p>
        </w:tc>
      </w:tr>
      <w:tr>
        <w:tc>
          <w:tcPr>
            <w:tcW w:type="dxa" w:w="493"/>
          </w:tcPr>
          <w:p>
            <w:pPr>
              <w:spacing w:after="40"/>
            </w:pPr>
            <w:r/>
            <w:r>
              <w:rPr>
                <w:b w:val="0"/>
                <w:sz w:val="19"/>
              </w:rPr>
              <w:t>0.1</w:t>
            </w:r>
          </w:p>
        </w:tc>
        <w:tc>
          <w:tcPr>
            <w:tcW w:type="dxa" w:w="4934"/>
          </w:tcPr>
          <w:p>
            <w:pPr>
              <w:spacing w:after="40"/>
            </w:pPr>
            <w:r/>
            <w:r>
              <w:rPr>
                <w:b w:val="0"/>
                <w:sz w:val="19"/>
              </w:rPr>
              <w:t>Build a controlled transmitter. Easiest path: a Linux laptop with 802.11n disabled (`iw dev &lt;if&gt; set bitrates legacy-2.4 6 12 24`) sending a fixed-rate broadcast/ping stream at 200 Hz. Fallback: flash the existing csi_sender ESP32 code to broadcast at a fixed rate in 802.11g mode.</w:t>
            </w:r>
          </w:p>
        </w:tc>
        <w:tc>
          <w:tcPr>
            <w:tcW w:type="dxa" w:w="1621"/>
          </w:tcPr>
          <w:p>
            <w:pPr>
              <w:spacing w:after="40"/>
            </w:pPr>
            <w:r/>
            <w:r>
              <w:rPr>
                <w:b w:val="0"/>
                <w:sz w:val="19"/>
              </w:rPr>
              <w:t>Rishiikesh</w:t>
            </w:r>
          </w:p>
        </w:tc>
        <w:tc>
          <w:tcPr>
            <w:tcW w:type="dxa" w:w="3031"/>
          </w:tcPr>
          <w:p>
            <w:pPr>
              <w:spacing w:after="40"/>
            </w:pPr>
            <w:r/>
            <w:r>
              <w:rPr>
                <w:b w:val="0"/>
                <w:sz w:val="19"/>
              </w:rPr>
              <w:t>check_capture.py shows ≥150 rows/s with &lt;5% variance across a 90 s take</w:t>
            </w:r>
          </w:p>
        </w:tc>
      </w:tr>
      <w:tr>
        <w:tc>
          <w:tcPr>
            <w:tcW w:type="dxa" w:w="493"/>
            <w:shd w:val="clear" w:fill="EEF2F8"/>
          </w:tcPr>
          <w:p>
            <w:pPr>
              <w:spacing w:after="40"/>
            </w:pPr>
            <w:r/>
            <w:r>
              <w:rPr>
                <w:b w:val="0"/>
                <w:sz w:val="19"/>
              </w:rPr>
              <w:t>0.2</w:t>
            </w:r>
          </w:p>
        </w:tc>
        <w:tc>
          <w:tcPr>
            <w:tcW w:type="dxa" w:w="4934"/>
            <w:shd w:val="clear" w:fill="EEF2F8"/>
          </w:tcPr>
          <w:p>
            <w:pPr>
              <w:spacing w:after="40"/>
            </w:pPr>
            <w:r/>
            <w:r>
              <w:rPr>
                <w:b w:val="0"/>
                <w:sz w:val="19"/>
              </w:rPr>
              <w:t>Mark fixed floor positions for Tx, Rx, and the subject with tape. Photograph the layout. Record antenna heights and orientations in a setup.json committed alongside every capture.</w:t>
            </w:r>
          </w:p>
        </w:tc>
        <w:tc>
          <w:tcPr>
            <w:tcW w:type="dxa" w:w="1621"/>
            <w:shd w:val="clear" w:fill="EEF2F8"/>
          </w:tcPr>
          <w:p>
            <w:pPr>
              <w:spacing w:after="40"/>
            </w:pPr>
            <w:r/>
            <w:r>
              <w:rPr>
                <w:b w:val="0"/>
                <w:sz w:val="19"/>
              </w:rPr>
              <w:t>Gowreesh</w:t>
            </w:r>
          </w:p>
        </w:tc>
        <w:tc>
          <w:tcPr>
            <w:tcW w:type="dxa" w:w="3031"/>
            <w:shd w:val="clear" w:fill="EEF2F8"/>
          </w:tcPr>
          <w:p>
            <w:pPr>
              <w:spacing w:after="40"/>
            </w:pPr>
            <w:r/>
            <w:r>
              <w:rPr>
                <w:b w:val="0"/>
                <w:sz w:val="19"/>
              </w:rPr>
              <w:t>Layout is reproducible by someone who was not there</w:t>
            </w:r>
          </w:p>
        </w:tc>
      </w:tr>
      <w:tr>
        <w:tc>
          <w:tcPr>
            <w:tcW w:type="dxa" w:w="493"/>
          </w:tcPr>
          <w:p>
            <w:pPr>
              <w:spacing w:after="40"/>
            </w:pPr>
            <w:r/>
            <w:r>
              <w:rPr>
                <w:b w:val="0"/>
                <w:sz w:val="19"/>
              </w:rPr>
              <w:t>0.3</w:t>
            </w:r>
          </w:p>
        </w:tc>
        <w:tc>
          <w:tcPr>
            <w:tcW w:type="dxa" w:w="4934"/>
          </w:tcPr>
          <w:p>
            <w:pPr>
              <w:spacing w:after="40"/>
            </w:pPr>
            <w:r/>
            <w:r>
              <w:rPr>
                <w:b w:val="0"/>
                <w:sz w:val="19"/>
              </w:rPr>
              <w:t>Re-run segmentation with --rate 50 to recover the 13% of windows currently discarded by the 100 Hz fill check (48 of 370). Once 0.1 lands, this is moot — but do it for the existing data before archiving it.</w:t>
            </w:r>
          </w:p>
        </w:tc>
        <w:tc>
          <w:tcPr>
            <w:tcW w:type="dxa" w:w="1621"/>
          </w:tcPr>
          <w:p>
            <w:pPr>
              <w:spacing w:after="40"/>
            </w:pPr>
            <w:r/>
            <w:r>
              <w:rPr>
                <w:b w:val="0"/>
                <w:sz w:val="19"/>
              </w:rPr>
              <w:t>Amrith</w:t>
            </w:r>
          </w:p>
        </w:tc>
        <w:tc>
          <w:tcPr>
            <w:tcW w:type="dxa" w:w="3031"/>
          </w:tcPr>
          <w:p>
            <w:pPr>
              <w:spacing w:after="40"/>
            </w:pPr>
            <w:r/>
            <w:r>
              <w:rPr>
                <w:b w:val="0"/>
                <w:sz w:val="19"/>
              </w:rPr>
              <w:t>370 windows recoverable from the pilot CSVs</w:t>
            </w:r>
          </w:p>
        </w:tc>
      </w:tr>
      <w:tr>
        <w:tc>
          <w:tcPr>
            <w:tcW w:type="dxa" w:w="493"/>
            <w:shd w:val="clear" w:fill="EEF2F8"/>
          </w:tcPr>
          <w:p>
            <w:pPr>
              <w:spacing w:after="40"/>
            </w:pPr>
            <w:r/>
            <w:r>
              <w:rPr>
                <w:b w:val="0"/>
                <w:sz w:val="19"/>
              </w:rPr>
              <w:t>0.4</w:t>
            </w:r>
          </w:p>
        </w:tc>
        <w:tc>
          <w:tcPr>
            <w:tcW w:type="dxa" w:w="4934"/>
            <w:shd w:val="clear" w:fill="EEF2F8"/>
          </w:tcPr>
          <w:p>
            <w:pPr>
              <w:spacing w:after="40"/>
            </w:pPr>
            <w:r/>
            <w:r>
              <w:rPr>
                <w:b/>
                <w:sz w:val="19"/>
              </w:rPr>
              <w:t>Session-repeatability test.</w:t>
            </w:r>
            <w:r>
              <w:rPr>
                <w:b w:val="0"/>
                <w:sz w:val="19"/>
              </w:rPr>
              <w:t xml:space="preserve"> Record the identical protocol (stand 90 s, walk 90 s, one subject) on three different days without moving the rig. Compute per-window detrended std for each. </w:t>
            </w:r>
            <w:r>
              <w:rPr>
                <w:b/>
                <w:sz w:val="19"/>
              </w:rPr>
              <w:t>Gate: the noaction energy must agree within ±25% across the three days.</w:t>
            </w:r>
            <w:r>
              <w:rPr>
                <w:b w:val="0"/>
                <w:sz w:val="19"/>
              </w:rPr>
              <w:t xml:space="preserve"> If it does not, the rig is still not controlled and Phase 1 must not start.</w:t>
            </w:r>
          </w:p>
        </w:tc>
        <w:tc>
          <w:tcPr>
            <w:tcW w:type="dxa" w:w="1621"/>
            <w:shd w:val="clear" w:fill="EEF2F8"/>
          </w:tcPr>
          <w:p>
            <w:pPr>
              <w:spacing w:after="40"/>
            </w:pPr>
            <w:r/>
            <w:r>
              <w:rPr>
                <w:b w:val="0"/>
                <w:sz w:val="19"/>
              </w:rPr>
              <w:t>Rishiikesh + Adhikkesh</w:t>
            </w:r>
          </w:p>
        </w:tc>
        <w:tc>
          <w:tcPr>
            <w:tcW w:type="dxa" w:w="3031"/>
            <w:shd w:val="clear" w:fill="EEF2F8"/>
          </w:tcPr>
          <w:p>
            <w:pPr>
              <w:spacing w:after="40"/>
            </w:pPr>
            <w:r/>
            <w:r>
              <w:rPr>
                <w:b w:val="0"/>
                <w:sz w:val="19"/>
              </w:rPr>
              <w:t>Gate passed and the numbers are in a table</w:t>
            </w:r>
          </w:p>
        </w:tc>
      </w:tr>
      <w:tr>
        <w:tc>
          <w:tcPr>
            <w:tcW w:type="dxa" w:w="493"/>
          </w:tcPr>
          <w:p>
            <w:pPr>
              <w:spacing w:after="40"/>
            </w:pPr>
            <w:r/>
            <w:r>
              <w:rPr>
                <w:b w:val="0"/>
                <w:sz w:val="19"/>
              </w:rPr>
              <w:t>0.5</w:t>
            </w:r>
          </w:p>
        </w:tc>
        <w:tc>
          <w:tcPr>
            <w:tcW w:type="dxa" w:w="4934"/>
          </w:tcPr>
          <w:p>
            <w:pPr>
              <w:spacing w:after="40"/>
            </w:pPr>
            <w:r/>
            <w:r>
              <w:rPr>
                <w:b w:val="0"/>
                <w:sz w:val="19"/>
              </w:rPr>
              <w:t>Add per-window instance normalisation as an option in the preprocessing, and add a leave-one-session-out split mode to train_hybrid.py alongside --test-subject.</w:t>
            </w:r>
          </w:p>
        </w:tc>
        <w:tc>
          <w:tcPr>
            <w:tcW w:type="dxa" w:w="1621"/>
          </w:tcPr>
          <w:p>
            <w:pPr>
              <w:spacing w:after="40"/>
            </w:pPr>
            <w:r/>
            <w:r>
              <w:rPr>
                <w:b w:val="0"/>
                <w:sz w:val="19"/>
              </w:rPr>
              <w:t>Adithya</w:t>
            </w:r>
          </w:p>
        </w:tc>
        <w:tc>
          <w:tcPr>
            <w:tcW w:type="dxa" w:w="3031"/>
          </w:tcPr>
          <w:p>
            <w:pPr>
              <w:spacing w:after="40"/>
            </w:pPr>
            <w:r/>
            <w:r>
              <w:rPr>
                <w:b w:val="0"/>
                <w:sz w:val="19"/>
              </w:rPr>
              <w:t>Both flags work and are documented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fill="D1ECF1"/>
          </w:tcPr>
          <w:p>
            <w:r/>
            <w:r>
              <w:rPr>
                <w:b/>
                <w:sz w:val="20"/>
              </w:rPr>
              <w:t>Phase 0 gate — do not skip this</w:t>
            </w:r>
          </w:p>
          <w:p>
            <w:pPr>
              <w:spacing w:after="40"/>
            </w:pPr>
            <w:r>
              <w:rPr>
                <w:sz w:val="20"/>
              </w:rPr>
              <w:t>Task 0.4 is the single most important thing in this document. It is the test that would have caught today's failure in July instead of in December. If three same-protocol recordings on three different days do not produce comparable channel statistics, no amount of model work will help, and collecting a large dataset would be wasted effort.</w:t>
            </w:r>
          </w:p>
        </w:tc>
      </w:tr>
    </w:tbl>
    <w:p>
      <w:pPr>
        <w:spacing w:after="40"/>
      </w:pPr>
    </w:p>
    <w:p>
      <w:pPr>
        <w:pStyle w:val="Heading2"/>
      </w:pPr>
      <w:r>
        <w:t>Phase 1 — Collect the fall dataset  (18 August – 30 September)</w:t>
      </w:r>
    </w:p>
    <w:p>
      <w:r>
        <w:rPr>
          <w:b/>
          <w:i w:val="0"/>
        </w:rPr>
        <w:t>Design constraints, in priority order:</w:t>
      </w:r>
    </w:p>
    <w:p>
      <w:pPr>
        <w:pStyle w:val="ListBullet"/>
      </w:pPr>
      <w:r>
        <w:rPr>
          <w:b/>
        </w:rPr>
        <w:t>Sessions are a first-class variable.</w:t>
      </w:r>
      <w:r>
        <w:rPr>
          <w:b w:val="0"/>
        </w:rPr>
        <w:t xml:space="preserve"> Minimum 6 sessions across ≥3 different days and ≥2 different room layouts. Record the layout in metadata every time. This is what makes the dataset publishable.</w:t>
      </w:r>
    </w:p>
    <w:p>
      <w:pPr>
        <w:pStyle w:val="ListBullet"/>
      </w:pPr>
      <w:r>
        <w:rPr>
          <w:b/>
        </w:rPr>
        <w:t>Subjects:</w:t>
      </w:r>
      <w:r>
        <w:rPr>
          <w:b w:val="0"/>
        </w:rPr>
        <w:t xml:space="preserve"> 5–8 people. Your 5 team members plus 2–3 volunteers. Record height, and whether they were wearing loose or fitted clothing — both perturb CSI.</w:t>
      </w:r>
    </w:p>
    <w:p>
      <w:pPr>
        <w:pStyle w:val="ListBullet"/>
      </w:pPr>
      <w:r>
        <w:rPr>
          <w:b/>
        </w:rPr>
        <w:t>Classes:</w:t>
      </w:r>
      <w:r>
        <w:rPr>
          <w:b w:val="0"/>
        </w:rPr>
        <w:t xml:space="preserve"> fall (forward, backward, lateral), and the hard negatives that matter — sit-down-fast, lie-down, bend-to-pick-up, stumble-and-recover. A fall detector that cannot distinguish a fall from sitting down quickly is not a fall detector.</w:t>
      </w:r>
    </w:p>
    <w:p>
      <w:pPr>
        <w:pStyle w:val="ListBullet"/>
      </w:pPr>
      <w:r>
        <w:rPr>
          <w:b/>
        </w:rPr>
        <w:t>Safety and ethics:</w:t>
      </w:r>
      <w:r>
        <w:rPr>
          <w:b w:val="0"/>
        </w:rPr>
        <w:t xml:space="preserve"> falls onto a crash mat or thick mattress only; healthy adult volunteers only; no elderly participants. Get written consent and check whether your institution requires ethics-committee clearance for human-subject data — start that paperwork in the first week of August, not in September.</w:t>
      </w:r>
    </w:p>
    <w:p>
      <w:pPr>
        <w:pStyle w:val="ListBullet"/>
      </w:pPr>
      <w:r>
        <w:rPr>
          <w:b/>
        </w:rPr>
        <w:t>Volume target:</w:t>
      </w:r>
      <w:r>
        <w:rPr>
          <w:b w:val="0"/>
        </w:rPr>
        <w:t xml:space="preserve"> ≥100 fall events and ≥300 negative events, spread evenly across sessions. This is deliberately modest — 6 well-controlled sessions beat 20 sloppy ones.</w:t>
      </w:r>
    </w:p>
    <w:tbl>
      <w:tblPr>
        <w:tblStyle w:val="TableGrid"/>
        <w:tblW w:type="auto" w:w="0"/>
        <w:jc w:val="center"/>
        <w:tblLayout w:type="fixed"/>
        <w:tblLook w:firstColumn="1" w:firstRow="1" w:lastColumn="0" w:lastRow="0" w:noHBand="0" w:noVBand="1" w:val="04A0"/>
        <w:tblLayout w:type="fixed"/>
      </w:tblPr>
      <w:tblGrid>
        <w:gridCol w:w="5040"/>
        <w:gridCol w:w="5040"/>
      </w:tblGrid>
      <w:tr>
        <w:tc>
          <w:tcPr>
            <w:tcW w:type="dxa" w:w="1833"/>
            <w:shd w:val="clear" w:fill="1F3864"/>
          </w:tcPr>
          <w:p>
            <w:r/>
            <w:r>
              <w:rPr>
                <w:b/>
                <w:color w:val="FFFFFF"/>
                <w:sz w:val="19"/>
              </w:rPr>
              <w:t>Week</w:t>
            </w:r>
          </w:p>
        </w:tc>
        <w:tc>
          <w:tcPr>
            <w:tcW w:type="dxa" w:w="8247"/>
            <w:shd w:val="clear" w:fill="1F3864"/>
          </w:tcPr>
          <w:p>
            <w:r/>
            <w:r>
              <w:rPr>
                <w:b/>
                <w:color w:val="FFFFFF"/>
                <w:sz w:val="19"/>
              </w:rPr>
              <w:t>Activity</w:t>
            </w:r>
          </w:p>
        </w:tc>
      </w:tr>
      <w:tr>
        <w:tc>
          <w:tcPr>
            <w:tcW w:type="dxa" w:w="1833"/>
          </w:tcPr>
          <w:p>
            <w:pPr>
              <w:spacing w:after="40"/>
            </w:pPr>
            <w:r/>
            <w:r>
              <w:rPr>
                <w:b w:val="0"/>
                <w:sz w:val="19"/>
              </w:rPr>
              <w:t>18–24 Aug</w:t>
            </w:r>
          </w:p>
        </w:tc>
        <w:tc>
          <w:tcPr>
            <w:tcW w:type="dxa" w:w="8247"/>
          </w:tcPr>
          <w:p>
            <w:pPr>
              <w:spacing w:after="40"/>
            </w:pPr>
            <w:r/>
            <w:r>
              <w:rPr>
                <w:b w:val="0"/>
                <w:sz w:val="19"/>
              </w:rPr>
              <w:t>Ethics/consent paperwork; crash mat sourced; protocol written and dry-run with one subject</w:t>
            </w:r>
          </w:p>
        </w:tc>
      </w:tr>
      <w:tr>
        <w:tc>
          <w:tcPr>
            <w:tcW w:type="dxa" w:w="1833"/>
            <w:shd w:val="clear" w:fill="EEF2F8"/>
          </w:tcPr>
          <w:p>
            <w:pPr>
              <w:spacing w:after="40"/>
            </w:pPr>
            <w:r/>
            <w:r>
              <w:rPr>
                <w:b w:val="0"/>
                <w:sz w:val="19"/>
              </w:rPr>
              <w:t>25 Aug – 7 Sep</w:t>
            </w:r>
          </w:p>
        </w:tc>
        <w:tc>
          <w:tcPr>
            <w:tcW w:type="dxa" w:w="8247"/>
            <w:shd w:val="clear" w:fill="EEF2F8"/>
          </w:tcPr>
          <w:p>
            <w:pPr>
              <w:spacing w:after="40"/>
            </w:pPr>
            <w:r/>
            <w:r>
              <w:rPr>
                <w:b w:val="0"/>
                <w:sz w:val="19"/>
              </w:rPr>
              <w:t>Sessions 1–3 (day A, day B, day C — same layout)</w:t>
            </w:r>
          </w:p>
        </w:tc>
      </w:tr>
      <w:tr>
        <w:tc>
          <w:tcPr>
            <w:tcW w:type="dxa" w:w="1833"/>
          </w:tcPr>
          <w:p>
            <w:pPr>
              <w:spacing w:after="40"/>
            </w:pPr>
            <w:r/>
            <w:r>
              <w:rPr>
                <w:b w:val="0"/>
                <w:sz w:val="19"/>
              </w:rPr>
              <w:t>8–21 Sep</w:t>
            </w:r>
          </w:p>
        </w:tc>
        <w:tc>
          <w:tcPr>
            <w:tcW w:type="dxa" w:w="8247"/>
          </w:tcPr>
          <w:p>
            <w:pPr>
              <w:spacing w:after="40"/>
            </w:pPr>
            <w:r/>
            <w:r>
              <w:rPr>
                <w:b w:val="0"/>
                <w:sz w:val="19"/>
              </w:rPr>
              <w:t>Layout change; sessions 4–6 (different room geometry)</w:t>
            </w:r>
          </w:p>
        </w:tc>
      </w:tr>
      <w:tr>
        <w:tc>
          <w:tcPr>
            <w:tcW w:type="dxa" w:w="1833"/>
            <w:shd w:val="clear" w:fill="EEF2F8"/>
          </w:tcPr>
          <w:p>
            <w:pPr>
              <w:spacing w:after="40"/>
            </w:pPr>
            <w:r/>
            <w:r>
              <w:rPr>
                <w:b w:val="0"/>
                <w:sz w:val="19"/>
              </w:rPr>
              <w:t>22–30 Sep</w:t>
            </w:r>
          </w:p>
        </w:tc>
        <w:tc>
          <w:tcPr>
            <w:tcW w:type="dxa" w:w="8247"/>
            <w:shd w:val="clear" w:fill="EEF2F8"/>
          </w:tcPr>
          <w:p>
            <w:pPr>
              <w:spacing w:after="40"/>
            </w:pPr>
            <w:r/>
            <w:r>
              <w:rPr>
                <w:b w:val="0"/>
                <w:sz w:val="19"/>
              </w:rPr>
              <w:t>QA every capture with check_capture.py; segment; publish the dataset inventory table</w:t>
            </w:r>
          </w:p>
        </w:tc>
      </w:tr>
    </w:tbl>
    <w:p>
      <w:pPr>
        <w:spacing w:after="40"/>
      </w:pPr>
    </w:p>
    <w:p>
      <w:pPr>
        <w:pStyle w:val="Heading2"/>
      </w:pPr>
      <w:r>
        <w:t>Phase 2 — Experiments  (1 October – 31 October)</w:t>
      </w:r>
    </w:p>
    <w:p>
      <w:pPr>
        <w:spacing w:after="80"/>
        <w:ind w:left="461" w:hanging="461"/>
      </w:pPr>
      <w:r>
        <w:rPr>
          <w:b/>
        </w:rPr>
        <w:t xml:space="preserve">1.  </w:t>
      </w:r>
      <w:r>
        <w:t>Baseline: current CNN-GRU under leave-one-subject-out. Report it.</w:t>
      </w:r>
    </w:p>
    <w:p>
      <w:pPr>
        <w:spacing w:after="80"/>
        <w:ind w:left="461" w:hanging="461"/>
      </w:pPr>
      <w:r>
        <w:rPr>
          <w:b/>
        </w:rPr>
        <w:t xml:space="preserve">2.  </w:t>
      </w:r>
      <w:r>
        <w:t>The same model under leave-one-session-out. Report the gap. This is the paper's headline figure.</w:t>
      </w:r>
    </w:p>
    <w:p>
      <w:pPr>
        <w:spacing w:after="80"/>
        <w:ind w:left="461" w:hanging="461"/>
      </w:pPr>
      <w:r>
        <w:rPr>
          <w:b/>
        </w:rPr>
        <w:t xml:space="preserve">3.  </w:t>
      </w:r>
      <w:r>
        <w:t>Ablate the fix: per-window instance normalisation; energy-invariant features (spectral shape, the 0.5–18 Hz power fraction that already gives AUC 0.908 on gowreesh); domain-adversarial training if time permits.</w:t>
      </w:r>
    </w:p>
    <w:p>
      <w:pPr>
        <w:spacing w:after="80"/>
        <w:ind w:left="461" w:hanging="461"/>
      </w:pPr>
      <w:r>
        <w:rPr>
          <w:b/>
        </w:rPr>
        <w:t xml:space="preserve">4.  </w:t>
      </w:r>
      <w:r>
        <w:t>Cross-check against a public dataset (CSI-Bench has a fall-detection split with 6 environments, 17 participants, 6,700 samples) so your claim is not single-dataset.</w:t>
      </w:r>
    </w:p>
    <w:p>
      <w:pPr>
        <w:spacing w:after="80"/>
        <w:ind w:left="461" w:hanging="461"/>
      </w:pPr>
      <w:r>
        <w:rPr>
          <w:b/>
        </w:rPr>
        <w:t xml:space="preserve">5.  </w:t>
      </w:r>
      <w:r>
        <w:t>Efficiency numbers — parameters, inference latency on the target edge device. Your model's small size is a genuine selling point; measure it properly.</w:t>
      </w:r>
    </w:p>
    <w:p>
      <w:pPr>
        <w:pStyle w:val="Heading2"/>
      </w:pPr>
      <w:r>
        <w:t>Phase 3 — Write and submit  (1 – 20 November)</w:t>
      </w:r>
    </w:p>
    <w:p>
      <w:pPr>
        <w:pStyle w:val="ListBullet"/>
      </w:pPr>
      <w:r>
        <w:rPr>
          <w:b w:val="0"/>
        </w:rPr>
        <w:t>Week 1: figures and tables first, prose after. The gap table and the energy-histogram figure are the paper.</w:t>
      </w:r>
    </w:p>
    <w:p>
      <w:pPr>
        <w:pStyle w:val="ListBullet"/>
      </w:pPr>
      <w:r>
        <w:rPr>
          <w:b w:val="0"/>
        </w:rPr>
        <w:t>Week 2: full draft, internal review by all 5 members, then guide review.</w:t>
      </w:r>
    </w:p>
    <w:p>
      <w:pPr>
        <w:pStyle w:val="ListBullet"/>
      </w:pPr>
      <w:r>
        <w:rPr>
          <w:b w:val="0"/>
        </w:rPr>
        <w:t>Week 3: revise, format for venue, submit by 20 November.</w:t>
      </w:r>
    </w:p>
    <w:p>
      <w:pPr>
        <w:pStyle w:val="ListBullet"/>
      </w:pPr>
      <w:r>
        <w:rPr>
          <w:b w:val="0"/>
        </w:rPr>
        <w:t>Release the dataset and code publicly on submission — for a dataset paper this materially improves acceptance odds.</w:t>
      </w:r>
    </w:p>
    <w:p>
      <w:pPr>
        <w:pStyle w:val="Heading2"/>
      </w:pPr>
      <w:r>
        <w:t>Phase 4 — Journal extension  (21 November – 31 January)</w:t>
      </w:r>
    </w:p>
    <w:p>
      <w:pPr>
        <w:pStyle w:val="ListBullet"/>
      </w:pPr>
      <w:r>
        <w:rPr>
          <w:b w:val="0"/>
        </w:rPr>
        <w:t>Nov–Dec: collect the gesture/sign-intent dataset on the AX210 platform, same session discipline.</w:t>
      </w:r>
    </w:p>
    <w:p>
      <w:pPr>
        <w:pStyle w:val="ListBullet"/>
      </w:pPr>
      <w:r>
        <w:rPr>
          <w:b w:val="0"/>
        </w:rPr>
        <w:t>Dec–Jan: extend the method from binary fall detection to the three-way communication-intent task; add the ambient-gating idea from your problem statement.</w:t>
      </w:r>
    </w:p>
    <w:p>
      <w:pPr>
        <w:pStyle w:val="ListBullet"/>
      </w:pPr>
      <w:r>
        <w:rPr>
          <w:b w:val="0"/>
        </w:rPr>
        <w:t>Jan: write and submit to a Q1 journal by 31 January.</w:t>
      </w:r>
    </w:p>
    <w:p>
      <w:pPr>
        <w:pStyle w:val="Heading1"/>
      </w:pPr>
      <w:r>
        <w:t>7. Risks and Kill Criteria</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2679"/>
            <w:shd w:val="clear" w:fill="1F3864"/>
          </w:tcPr>
          <w:p>
            <w:r/>
            <w:r>
              <w:rPr>
                <w:b/>
                <w:color w:val="FFFFFF"/>
                <w:sz w:val="19"/>
              </w:rPr>
              <w:t>Risk</w:t>
            </w:r>
          </w:p>
        </w:tc>
        <w:tc>
          <w:tcPr>
            <w:tcW w:type="dxa" w:w="3383"/>
            <w:shd w:val="clear" w:fill="1F3864"/>
          </w:tcPr>
          <w:p>
            <w:r/>
            <w:r>
              <w:rPr>
                <w:b/>
                <w:color w:val="FFFFFF"/>
                <w:sz w:val="19"/>
              </w:rPr>
              <w:t>Early warning sign</w:t>
            </w:r>
          </w:p>
        </w:tc>
        <w:tc>
          <w:tcPr>
            <w:tcW w:type="dxa" w:w="4018"/>
            <w:shd w:val="clear" w:fill="1F3864"/>
          </w:tcPr>
          <w:p>
            <w:r/>
            <w:r>
              <w:rPr>
                <w:b/>
                <w:color w:val="FFFFFF"/>
                <w:sz w:val="19"/>
              </w:rPr>
              <w:t>Response</w:t>
            </w:r>
          </w:p>
        </w:tc>
      </w:tr>
      <w:tr>
        <w:tc>
          <w:tcPr>
            <w:tcW w:type="dxa" w:w="2679"/>
          </w:tcPr>
          <w:p>
            <w:pPr>
              <w:spacing w:after="40"/>
            </w:pPr>
            <w:r/>
            <w:r>
              <w:rPr>
                <w:b w:val="0"/>
                <w:sz w:val="19"/>
              </w:rPr>
              <w:t>Session variance is not fixable with a controlled rig</w:t>
            </w:r>
          </w:p>
        </w:tc>
        <w:tc>
          <w:tcPr>
            <w:tcW w:type="dxa" w:w="3383"/>
          </w:tcPr>
          <w:p>
            <w:pPr>
              <w:spacing w:after="40"/>
            </w:pPr>
            <w:r/>
            <w:r>
              <w:rPr>
                <w:b w:val="0"/>
                <w:sz w:val="19"/>
              </w:rPr>
              <w:t>Phase 0.4 gate fails — energy varies &gt;25% across days with a fixed setup</w:t>
            </w:r>
          </w:p>
        </w:tc>
        <w:tc>
          <w:tcPr>
            <w:tcW w:type="dxa" w:w="4018"/>
          </w:tcPr>
          <w:p>
            <w:pPr>
              <w:spacing w:after="40"/>
            </w:pPr>
            <w:r/>
            <w:r>
              <w:rPr>
                <w:b w:val="0"/>
                <w:sz w:val="19"/>
              </w:rPr>
              <w:t xml:space="preserve">Switch to fully scale-invariant features and reframe Paper 1 around </w:t>
            </w:r>
            <w:r>
              <w:rPr>
                <w:b/>
                <w:sz w:val="19"/>
              </w:rPr>
              <w:t>why</w:t>
            </w:r>
            <w:r>
              <w:rPr>
                <w:b w:val="0"/>
                <w:sz w:val="19"/>
              </w:rPr>
              <w:t xml:space="preserve"> absolute CSI energy is unusable. Still publishable; arguably a stronger paper.</w:t>
            </w:r>
          </w:p>
        </w:tc>
      </w:tr>
      <w:tr>
        <w:tc>
          <w:tcPr>
            <w:tcW w:type="dxa" w:w="2679"/>
            <w:shd w:val="clear" w:fill="EEF2F8"/>
          </w:tcPr>
          <w:p>
            <w:pPr>
              <w:spacing w:after="40"/>
            </w:pPr>
            <w:r/>
            <w:r>
              <w:rPr>
                <w:b w:val="0"/>
                <w:sz w:val="19"/>
              </w:rPr>
              <w:t>USRP receive chain proves too fragile for a 6-session campaign</w:t>
            </w:r>
          </w:p>
        </w:tc>
        <w:tc>
          <w:tcPr>
            <w:tcW w:type="dxa" w:w="3383"/>
            <w:shd w:val="clear" w:fill="EEF2F8"/>
          </w:tcPr>
          <w:p>
            <w:pPr>
              <w:spacing w:after="40"/>
            </w:pPr>
            <w:r/>
            <w:r>
              <w:rPr>
                <w:b w:val="0"/>
                <w:sz w:val="19"/>
              </w:rPr>
              <w:t>More than one session lost to MAC/channel/driver problems</w:t>
            </w:r>
          </w:p>
        </w:tc>
        <w:tc>
          <w:tcPr>
            <w:tcW w:type="dxa" w:w="4018"/>
            <w:shd w:val="clear" w:fill="EEF2F8"/>
          </w:tcPr>
          <w:p>
            <w:pPr>
              <w:spacing w:after="40"/>
            </w:pPr>
            <w:r/>
            <w:r>
              <w:rPr>
                <w:b w:val="0"/>
                <w:sz w:val="19"/>
              </w:rPr>
              <w:t>Fall back to the AX210 pair. This is why they are procured in parallel rather than later.</w:t>
            </w:r>
          </w:p>
        </w:tc>
      </w:tr>
      <w:tr>
        <w:tc>
          <w:tcPr>
            <w:tcW w:type="dxa" w:w="2679"/>
          </w:tcPr>
          <w:p>
            <w:pPr>
              <w:spacing w:after="40"/>
            </w:pPr>
            <w:r/>
            <w:r>
              <w:rPr>
                <w:b w:val="0"/>
                <w:sz w:val="19"/>
              </w:rPr>
              <w:t>AX210 procurement slips</w:t>
            </w:r>
          </w:p>
        </w:tc>
        <w:tc>
          <w:tcPr>
            <w:tcW w:type="dxa" w:w="3383"/>
          </w:tcPr>
          <w:p>
            <w:pPr>
              <w:spacing w:after="40"/>
            </w:pPr>
            <w:r/>
            <w:r>
              <w:rPr>
                <w:b w:val="0"/>
                <w:sz w:val="19"/>
              </w:rPr>
              <w:t>Cards not in hand by 15 September</w:t>
            </w:r>
          </w:p>
        </w:tc>
        <w:tc>
          <w:tcPr>
            <w:tcW w:type="dxa" w:w="4018"/>
          </w:tcPr>
          <w:p>
            <w:pPr>
              <w:spacing w:after="40"/>
            </w:pPr>
            <w:r/>
            <w:r>
              <w:rPr>
                <w:b w:val="0"/>
                <w:sz w:val="19"/>
              </w:rPr>
              <w:t>Paper 1 does not depend on them. Paper 2 falls back to the USRP rig with a reduced gesture set.</w:t>
            </w:r>
          </w:p>
        </w:tc>
      </w:tr>
      <w:tr>
        <w:tc>
          <w:tcPr>
            <w:tcW w:type="dxa" w:w="2679"/>
            <w:shd w:val="clear" w:fill="EEF2F8"/>
          </w:tcPr>
          <w:p>
            <w:pPr>
              <w:spacing w:after="40"/>
            </w:pPr>
            <w:r/>
            <w:r>
              <w:rPr>
                <w:b w:val="0"/>
                <w:sz w:val="19"/>
              </w:rPr>
              <w:t>Ethics clearance delays fall collection</w:t>
            </w:r>
          </w:p>
        </w:tc>
        <w:tc>
          <w:tcPr>
            <w:tcW w:type="dxa" w:w="3383"/>
            <w:shd w:val="clear" w:fill="EEF2F8"/>
          </w:tcPr>
          <w:p>
            <w:pPr>
              <w:spacing w:after="40"/>
            </w:pPr>
            <w:r/>
            <w:r>
              <w:rPr>
                <w:b w:val="0"/>
                <w:sz w:val="19"/>
              </w:rPr>
              <w:t>No approval by 25 August</w:t>
            </w:r>
          </w:p>
        </w:tc>
        <w:tc>
          <w:tcPr>
            <w:tcW w:type="dxa" w:w="4018"/>
            <w:shd w:val="clear" w:fill="EEF2F8"/>
          </w:tcPr>
          <w:p>
            <w:pPr>
              <w:spacing w:after="40"/>
            </w:pPr>
            <w:r/>
            <w:r>
              <w:rPr>
                <w:b w:val="0"/>
                <w:sz w:val="19"/>
              </w:rPr>
              <w:t>Start Phase 1 with the non-fall classes (ADL negatives) which need no special clearance; add falls when cleared.</w:t>
            </w:r>
          </w:p>
        </w:tc>
      </w:tr>
      <w:tr>
        <w:tc>
          <w:tcPr>
            <w:tcW w:type="dxa" w:w="2679"/>
          </w:tcPr>
          <w:p>
            <w:pPr>
              <w:spacing w:after="40"/>
            </w:pPr>
            <w:r/>
            <w:r>
              <w:rPr>
                <w:b w:val="0"/>
                <w:sz w:val="19"/>
              </w:rPr>
              <w:t>Too little data for the deep model</w:t>
            </w:r>
          </w:p>
        </w:tc>
        <w:tc>
          <w:tcPr>
            <w:tcW w:type="dxa" w:w="3383"/>
          </w:tcPr>
          <w:p>
            <w:pPr>
              <w:spacing w:after="40"/>
            </w:pPr>
            <w:r/>
            <w:r>
              <w:rPr>
                <w:b w:val="0"/>
                <w:sz w:val="19"/>
              </w:rPr>
              <w:t>Leave-one-session-out variance across folds is very large</w:t>
            </w:r>
          </w:p>
        </w:tc>
        <w:tc>
          <w:tcPr>
            <w:tcW w:type="dxa" w:w="4018"/>
          </w:tcPr>
          <w:p>
            <w:pPr>
              <w:spacing w:after="40"/>
            </w:pPr>
            <w:r/>
            <w:r>
              <w:rPr>
                <w:b w:val="0"/>
                <w:sz w:val="19"/>
              </w:rPr>
              <w:t>Drop to a smaller model or classical features. With energy-invariant features, a small model may well win — and that is a reportable result.</w:t>
            </w:r>
          </w:p>
        </w:tc>
      </w:tr>
      <w:tr>
        <w:tc>
          <w:tcPr>
            <w:tcW w:type="dxa" w:w="2679"/>
            <w:shd w:val="clear" w:fill="EEF2F8"/>
          </w:tcPr>
          <w:p>
            <w:pPr>
              <w:spacing w:after="40"/>
            </w:pPr>
            <w:r/>
            <w:r>
              <w:rPr>
                <w:b w:val="0"/>
                <w:sz w:val="19"/>
              </w:rPr>
              <w:t>Scope creep toward full sign-language recognition</w:t>
            </w:r>
          </w:p>
        </w:tc>
        <w:tc>
          <w:tcPr>
            <w:tcW w:type="dxa" w:w="3383"/>
            <w:shd w:val="clear" w:fill="EEF2F8"/>
          </w:tcPr>
          <w:p>
            <w:pPr>
              <w:spacing w:after="40"/>
            </w:pPr>
            <w:r/>
            <w:r>
              <w:rPr>
                <w:b w:val="0"/>
                <w:sz w:val="19"/>
              </w:rPr>
              <w:t>Anyone starts talking about 276 classes</w:t>
            </w:r>
          </w:p>
        </w:tc>
        <w:tc>
          <w:tcPr>
            <w:tcW w:type="dxa" w:w="4018"/>
            <w:shd w:val="clear" w:fill="EEF2F8"/>
          </w:tcPr>
          <w:p>
            <w:pPr>
              <w:spacing w:after="40"/>
            </w:pPr>
            <w:r/>
            <w:r>
              <w:rPr>
                <w:b w:val="0"/>
                <w:sz w:val="19"/>
              </w:rPr>
              <w:t>Re-read Section 5.3. Hold the line at intent detection plus a 5–10 gesture vocabulary.</w:t>
            </w:r>
          </w:p>
        </w:tc>
      </w:tr>
    </w:tbl>
    <w:p>
      <w:pPr>
        <w:spacing w:after="40"/>
      </w:pPr>
    </w:p>
    <w:p>
      <w:pPr>
        <w:pStyle w:val="Heading1"/>
      </w:pPr>
      <w:r>
        <w:t>8. Procurement List</w:t>
      </w:r>
    </w:p>
    <w:tbl>
      <w:tblPr>
        <w:tblStyle w:val="TableGrid"/>
        <w:tblW w:type="auto" w:w="0"/>
        <w:jc w:val="center"/>
        <w:tblLayout w:type="fixed"/>
        <w:tblLook w:firstColumn="1" w:firstRow="1" w:lastColumn="0" w:lastRow="0" w:noHBand="0" w:noVBand="1" w:val="04A0"/>
        <w:tblLayout w:type="fixed"/>
      </w:tblPr>
      <w:tblGrid>
        <w:gridCol w:w="2016"/>
        <w:gridCol w:w="2016"/>
        <w:gridCol w:w="2016"/>
        <w:gridCol w:w="2016"/>
        <w:gridCol w:w="2016"/>
      </w:tblGrid>
      <w:tr>
        <w:tc>
          <w:tcPr>
            <w:tcW w:type="dxa" w:w="3172"/>
            <w:shd w:val="clear" w:fill="1F3864"/>
          </w:tcPr>
          <w:p>
            <w:r/>
            <w:r>
              <w:rPr>
                <w:b/>
                <w:color w:val="FFFFFF"/>
                <w:sz w:val="19"/>
              </w:rPr>
              <w:t>Item</w:t>
            </w:r>
          </w:p>
        </w:tc>
        <w:tc>
          <w:tcPr>
            <w:tcW w:type="dxa" w:w="705"/>
            <w:shd w:val="clear" w:fill="1F3864"/>
          </w:tcPr>
          <w:p>
            <w:r/>
            <w:r>
              <w:rPr>
                <w:b/>
                <w:color w:val="FFFFFF"/>
                <w:sz w:val="19"/>
              </w:rPr>
              <w:t>Qty</w:t>
            </w:r>
          </w:p>
        </w:tc>
        <w:tc>
          <w:tcPr>
            <w:tcW w:type="dxa" w:w="2185"/>
            <w:shd w:val="clear" w:fill="1F3864"/>
          </w:tcPr>
          <w:p>
            <w:r/>
            <w:r>
              <w:rPr>
                <w:b/>
                <w:color w:val="FFFFFF"/>
                <w:sz w:val="19"/>
              </w:rPr>
              <w:t>Approx. cost (INR)</w:t>
            </w:r>
          </w:p>
        </w:tc>
        <w:tc>
          <w:tcPr>
            <w:tcW w:type="dxa" w:w="1339"/>
            <w:shd w:val="clear" w:fill="1F3864"/>
          </w:tcPr>
          <w:p>
            <w:r/>
            <w:r>
              <w:rPr>
                <w:b/>
                <w:color w:val="FFFFFF"/>
                <w:sz w:val="19"/>
              </w:rPr>
              <w:t>Priority</w:t>
            </w:r>
          </w:p>
        </w:tc>
        <w:tc>
          <w:tcPr>
            <w:tcW w:type="dxa" w:w="2679"/>
            <w:shd w:val="clear" w:fill="1F3864"/>
          </w:tcPr>
          <w:p>
            <w:r/>
            <w:r>
              <w:rPr>
                <w:b/>
                <w:color w:val="FFFFFF"/>
                <w:sz w:val="19"/>
              </w:rPr>
              <w:t>Purpose</w:t>
            </w:r>
          </w:p>
        </w:tc>
      </w:tr>
      <w:tr>
        <w:tc>
          <w:tcPr>
            <w:tcW w:type="dxa" w:w="3172"/>
          </w:tcPr>
          <w:p>
            <w:pPr>
              <w:spacing w:after="40"/>
            </w:pPr>
            <w:r/>
            <w:r>
              <w:rPr>
                <w:b w:val="0"/>
                <w:sz w:val="19"/>
              </w:rPr>
              <w:t>Intel AX210 M.2 WiFi card</w:t>
            </w:r>
          </w:p>
        </w:tc>
        <w:tc>
          <w:tcPr>
            <w:tcW w:type="dxa" w:w="705"/>
          </w:tcPr>
          <w:p>
            <w:pPr>
              <w:spacing w:after="40"/>
            </w:pPr>
            <w:r/>
            <w:r>
              <w:rPr>
                <w:b w:val="0"/>
                <w:sz w:val="19"/>
              </w:rPr>
              <w:t>2–4</w:t>
            </w:r>
          </w:p>
        </w:tc>
        <w:tc>
          <w:tcPr>
            <w:tcW w:type="dxa" w:w="2185"/>
          </w:tcPr>
          <w:p>
            <w:pPr>
              <w:spacing w:after="40"/>
            </w:pPr>
            <w:r/>
            <w:r>
              <w:rPr>
                <w:b w:val="0"/>
                <w:sz w:val="19"/>
              </w:rPr>
              <w:t>3,000–5,000 each (verify locally)</w:t>
            </w:r>
          </w:p>
        </w:tc>
        <w:tc>
          <w:tcPr>
            <w:tcW w:type="dxa" w:w="1339"/>
          </w:tcPr>
          <w:p>
            <w:pPr>
              <w:spacing w:after="40"/>
            </w:pPr>
            <w:r/>
            <w:r>
              <w:rPr>
                <w:b/>
                <w:sz w:val="19"/>
              </w:rPr>
              <w:t>High</w:t>
            </w:r>
          </w:p>
        </w:tc>
        <w:tc>
          <w:tcPr>
            <w:tcW w:type="dxa" w:w="2679"/>
          </w:tcPr>
          <w:p>
            <w:pPr>
              <w:spacing w:after="40"/>
            </w:pPr>
            <w:r/>
            <w:r>
              <w:rPr>
                <w:b w:val="0"/>
                <w:sz w:val="19"/>
              </w:rPr>
              <w:t>Modern controlled Tx/Rx pair; platform for Paper 2</w:t>
            </w:r>
          </w:p>
        </w:tc>
      </w:tr>
      <w:tr>
        <w:tc>
          <w:tcPr>
            <w:tcW w:type="dxa" w:w="3172"/>
            <w:shd w:val="clear" w:fill="EEF2F8"/>
          </w:tcPr>
          <w:p>
            <w:pPr>
              <w:spacing w:after="40"/>
            </w:pPr>
            <w:r/>
            <w:r>
              <w:rPr>
                <w:b w:val="0"/>
                <w:sz w:val="19"/>
              </w:rPr>
              <w:t>ESP32-S3 dev board</w:t>
            </w:r>
          </w:p>
        </w:tc>
        <w:tc>
          <w:tcPr>
            <w:tcW w:type="dxa" w:w="705"/>
            <w:shd w:val="clear" w:fill="EEF2F8"/>
          </w:tcPr>
          <w:p>
            <w:pPr>
              <w:spacing w:after="40"/>
            </w:pPr>
            <w:r/>
            <w:r>
              <w:rPr>
                <w:b w:val="0"/>
                <w:sz w:val="19"/>
              </w:rPr>
              <w:t>4</w:t>
            </w:r>
          </w:p>
        </w:tc>
        <w:tc>
          <w:tcPr>
            <w:tcW w:type="dxa" w:w="2185"/>
            <w:shd w:val="clear" w:fill="EEF2F8"/>
          </w:tcPr>
          <w:p>
            <w:pPr>
              <w:spacing w:after="40"/>
            </w:pPr>
            <w:r/>
            <w:r>
              <w:rPr>
                <w:b w:val="0"/>
                <w:sz w:val="19"/>
              </w:rPr>
              <w:t>600–1,600 each</w:t>
            </w:r>
          </w:p>
        </w:tc>
        <w:tc>
          <w:tcPr>
            <w:tcW w:type="dxa" w:w="1339"/>
            <w:shd w:val="clear" w:fill="EEF2F8"/>
          </w:tcPr>
          <w:p>
            <w:pPr>
              <w:spacing w:after="40"/>
            </w:pPr>
            <w:r/>
            <w:r>
              <w:rPr>
                <w:b w:val="0"/>
                <w:sz w:val="19"/>
              </w:rPr>
              <w:t>Medium</w:t>
            </w:r>
          </w:p>
        </w:tc>
        <w:tc>
          <w:tcPr>
            <w:tcW w:type="dxa" w:w="2679"/>
            <w:shd w:val="clear" w:fill="EEF2F8"/>
          </w:tcPr>
          <w:p>
            <w:pPr>
              <w:spacing w:after="40"/>
            </w:pPr>
            <w:r/>
            <w:r>
              <w:rPr>
                <w:b w:val="0"/>
                <w:sz w:val="19"/>
              </w:rPr>
              <w:t>Cheap multi-link / multi-room track</w:t>
            </w:r>
          </w:p>
        </w:tc>
      </w:tr>
      <w:tr>
        <w:tc>
          <w:tcPr>
            <w:tcW w:type="dxa" w:w="3172"/>
          </w:tcPr>
          <w:p>
            <w:pPr>
              <w:spacing w:after="40"/>
            </w:pPr>
            <w:r/>
            <w:r>
              <w:rPr>
                <w:b w:val="0"/>
                <w:sz w:val="19"/>
              </w:rPr>
              <w:t>Crash mat or thick mattress</w:t>
            </w:r>
          </w:p>
        </w:tc>
        <w:tc>
          <w:tcPr>
            <w:tcW w:type="dxa" w:w="705"/>
          </w:tcPr>
          <w:p>
            <w:pPr>
              <w:spacing w:after="40"/>
            </w:pPr>
            <w:r/>
            <w:r>
              <w:rPr>
                <w:b w:val="0"/>
                <w:sz w:val="19"/>
              </w:rPr>
              <w:t>1</w:t>
            </w:r>
          </w:p>
        </w:tc>
        <w:tc>
          <w:tcPr>
            <w:tcW w:type="dxa" w:w="2185"/>
          </w:tcPr>
          <w:p>
            <w:pPr>
              <w:spacing w:after="40"/>
            </w:pPr>
            <w:r/>
            <w:r>
              <w:rPr>
                <w:b w:val="0"/>
                <w:sz w:val="19"/>
              </w:rPr>
              <w:t>3,000–8,000</w:t>
            </w:r>
          </w:p>
        </w:tc>
        <w:tc>
          <w:tcPr>
            <w:tcW w:type="dxa" w:w="1339"/>
          </w:tcPr>
          <w:p>
            <w:pPr>
              <w:spacing w:after="40"/>
            </w:pPr>
            <w:r/>
            <w:r>
              <w:rPr>
                <w:b/>
                <w:sz w:val="19"/>
              </w:rPr>
              <w:t>High</w:t>
            </w:r>
          </w:p>
        </w:tc>
        <w:tc>
          <w:tcPr>
            <w:tcW w:type="dxa" w:w="2679"/>
          </w:tcPr>
          <w:p>
            <w:pPr>
              <w:spacing w:after="40"/>
            </w:pPr>
            <w:r/>
            <w:r>
              <w:rPr>
                <w:b w:val="0"/>
                <w:sz w:val="19"/>
              </w:rPr>
              <w:t>Fall collection safety — non-negotiable</w:t>
            </w:r>
          </w:p>
        </w:tc>
      </w:tr>
      <w:tr>
        <w:tc>
          <w:tcPr>
            <w:tcW w:type="dxa" w:w="3172"/>
            <w:shd w:val="clear" w:fill="EEF2F8"/>
          </w:tcPr>
          <w:p>
            <w:pPr>
              <w:spacing w:after="40"/>
            </w:pPr>
            <w:r/>
            <w:r>
              <w:rPr>
                <w:b w:val="0"/>
                <w:sz w:val="19"/>
              </w:rPr>
              <w:t>2.4 GHz external antennas (SMA)</w:t>
            </w:r>
          </w:p>
        </w:tc>
        <w:tc>
          <w:tcPr>
            <w:tcW w:type="dxa" w:w="705"/>
            <w:shd w:val="clear" w:fill="EEF2F8"/>
          </w:tcPr>
          <w:p>
            <w:pPr>
              <w:spacing w:after="40"/>
            </w:pPr>
            <w:r/>
            <w:r>
              <w:rPr>
                <w:b w:val="0"/>
                <w:sz w:val="19"/>
              </w:rPr>
              <w:t>4</w:t>
            </w:r>
          </w:p>
        </w:tc>
        <w:tc>
          <w:tcPr>
            <w:tcW w:type="dxa" w:w="2185"/>
            <w:shd w:val="clear" w:fill="EEF2F8"/>
          </w:tcPr>
          <w:p>
            <w:pPr>
              <w:spacing w:after="40"/>
            </w:pPr>
            <w:r/>
            <w:r>
              <w:rPr>
                <w:b w:val="0"/>
                <w:sz w:val="19"/>
              </w:rPr>
              <w:t>300–800 each</w:t>
            </w:r>
          </w:p>
        </w:tc>
        <w:tc>
          <w:tcPr>
            <w:tcW w:type="dxa" w:w="1339"/>
            <w:shd w:val="clear" w:fill="EEF2F8"/>
          </w:tcPr>
          <w:p>
            <w:pPr>
              <w:spacing w:after="40"/>
            </w:pPr>
            <w:r/>
            <w:r>
              <w:rPr>
                <w:b w:val="0"/>
                <w:sz w:val="19"/>
              </w:rPr>
              <w:t>Medium</w:t>
            </w:r>
          </w:p>
        </w:tc>
        <w:tc>
          <w:tcPr>
            <w:tcW w:type="dxa" w:w="2679"/>
            <w:shd w:val="clear" w:fill="EEF2F8"/>
          </w:tcPr>
          <w:p>
            <w:pPr>
              <w:spacing w:after="40"/>
            </w:pPr>
            <w:r/>
            <w:r>
              <w:rPr>
                <w:b w:val="0"/>
                <w:sz w:val="19"/>
              </w:rPr>
              <w:t>Consistent, repeatable antenna geometry</w:t>
            </w:r>
          </w:p>
        </w:tc>
      </w:tr>
      <w:tr>
        <w:tc>
          <w:tcPr>
            <w:tcW w:type="dxa" w:w="3172"/>
          </w:tcPr>
          <w:p>
            <w:pPr>
              <w:spacing w:after="40"/>
            </w:pPr>
            <w:r/>
            <w:r>
              <w:rPr>
                <w:b w:val="0"/>
                <w:sz w:val="19"/>
              </w:rPr>
              <w:t>Tripods / antenna stands</w:t>
            </w:r>
          </w:p>
        </w:tc>
        <w:tc>
          <w:tcPr>
            <w:tcW w:type="dxa" w:w="705"/>
          </w:tcPr>
          <w:p>
            <w:pPr>
              <w:spacing w:after="40"/>
            </w:pPr>
            <w:r/>
            <w:r>
              <w:rPr>
                <w:b w:val="0"/>
                <w:sz w:val="19"/>
              </w:rPr>
              <w:t>2</w:t>
            </w:r>
          </w:p>
        </w:tc>
        <w:tc>
          <w:tcPr>
            <w:tcW w:type="dxa" w:w="2185"/>
          </w:tcPr>
          <w:p>
            <w:pPr>
              <w:spacing w:after="40"/>
            </w:pPr>
            <w:r/>
            <w:r>
              <w:rPr>
                <w:b w:val="0"/>
                <w:sz w:val="19"/>
              </w:rPr>
              <w:t>1,000–2,000 each</w:t>
            </w:r>
          </w:p>
        </w:tc>
        <w:tc>
          <w:tcPr>
            <w:tcW w:type="dxa" w:w="1339"/>
          </w:tcPr>
          <w:p>
            <w:pPr>
              <w:spacing w:after="40"/>
            </w:pPr>
            <w:r/>
            <w:r>
              <w:rPr>
                <w:b/>
                <w:sz w:val="19"/>
              </w:rPr>
              <w:t>High</w:t>
            </w:r>
          </w:p>
        </w:tc>
        <w:tc>
          <w:tcPr>
            <w:tcW w:type="dxa" w:w="2679"/>
          </w:tcPr>
          <w:p>
            <w:pPr>
              <w:spacing w:after="40"/>
            </w:pPr>
            <w:r/>
            <w:r>
              <w:rPr>
                <w:b w:val="0"/>
                <w:sz w:val="19"/>
              </w:rPr>
              <w:t>Fixed, reproducible Tx/Rx height and position</w:t>
            </w:r>
          </w:p>
        </w:tc>
      </w:tr>
      <w:tr>
        <w:tc>
          <w:tcPr>
            <w:tcW w:type="dxa" w:w="3172"/>
            <w:shd w:val="clear" w:fill="EEF2F8"/>
          </w:tcPr>
          <w:p>
            <w:pPr>
              <w:spacing w:after="40"/>
            </w:pPr>
            <w:r/>
            <w:r>
              <w:rPr>
                <w:b w:val="0"/>
                <w:sz w:val="19"/>
              </w:rPr>
              <w:t>M.2 → USB or PCIe adapter (if laptops lack M.2 slots)</w:t>
            </w:r>
          </w:p>
        </w:tc>
        <w:tc>
          <w:tcPr>
            <w:tcW w:type="dxa" w:w="705"/>
            <w:shd w:val="clear" w:fill="EEF2F8"/>
          </w:tcPr>
          <w:p>
            <w:pPr>
              <w:spacing w:after="40"/>
            </w:pPr>
            <w:r/>
            <w:r>
              <w:rPr>
                <w:b w:val="0"/>
                <w:sz w:val="19"/>
              </w:rPr>
              <w:t>2</w:t>
            </w:r>
          </w:p>
        </w:tc>
        <w:tc>
          <w:tcPr>
            <w:tcW w:type="dxa" w:w="2185"/>
            <w:shd w:val="clear" w:fill="EEF2F8"/>
          </w:tcPr>
          <w:p>
            <w:pPr>
              <w:spacing w:after="40"/>
            </w:pPr>
            <w:r/>
            <w:r>
              <w:rPr>
                <w:b w:val="0"/>
                <w:sz w:val="19"/>
              </w:rPr>
              <w:t>1,500–3,000 each</w:t>
            </w:r>
          </w:p>
        </w:tc>
        <w:tc>
          <w:tcPr>
            <w:tcW w:type="dxa" w:w="1339"/>
            <w:shd w:val="clear" w:fill="EEF2F8"/>
          </w:tcPr>
          <w:p>
            <w:pPr>
              <w:spacing w:after="40"/>
            </w:pPr>
            <w:r/>
            <w:r>
              <w:rPr>
                <w:b w:val="0"/>
                <w:sz w:val="19"/>
              </w:rPr>
              <w:t>Medium</w:t>
            </w:r>
          </w:p>
        </w:tc>
        <w:tc>
          <w:tcPr>
            <w:tcW w:type="dxa" w:w="2679"/>
            <w:shd w:val="clear" w:fill="EEF2F8"/>
          </w:tcPr>
          <w:p>
            <w:pPr>
              <w:spacing w:after="40"/>
            </w:pPr>
            <w:r/>
            <w:r>
              <w:rPr>
                <w:b w:val="0"/>
                <w:sz w:val="19"/>
              </w:rPr>
              <w:t>AX210 mounting</w:t>
            </w:r>
          </w:p>
        </w:tc>
      </w:tr>
      <w:tr>
        <w:tc>
          <w:tcPr>
            <w:tcW w:type="dxa" w:w="3172"/>
          </w:tcPr>
          <w:p>
            <w:pPr>
              <w:spacing w:after="40"/>
            </w:pPr>
            <w:r/>
            <w:r>
              <w:rPr>
                <w:b w:val="0"/>
                <w:sz w:val="19"/>
              </w:rPr>
              <w:t>Ettus OctoClock</w:t>
            </w:r>
          </w:p>
        </w:tc>
        <w:tc>
          <w:tcPr>
            <w:tcW w:type="dxa" w:w="705"/>
          </w:tcPr>
          <w:p>
            <w:pPr>
              <w:spacing w:after="40"/>
            </w:pPr>
            <w:r/>
            <w:r>
              <w:rPr>
                <w:b w:val="0"/>
                <w:sz w:val="19"/>
              </w:rPr>
              <w:t>0</w:t>
            </w:r>
          </w:p>
        </w:tc>
        <w:tc>
          <w:tcPr>
            <w:tcW w:type="dxa" w:w="2185"/>
          </w:tcPr>
          <w:p>
            <w:pPr>
              <w:spacing w:after="40"/>
            </w:pPr>
            <w:r/>
            <w:r>
              <w:rPr>
                <w:b w:val="0"/>
                <w:sz w:val="19"/>
              </w:rPr>
              <w:t>—</w:t>
            </w:r>
          </w:p>
        </w:tc>
        <w:tc>
          <w:tcPr>
            <w:tcW w:type="dxa" w:w="1339"/>
          </w:tcPr>
          <w:p>
            <w:pPr>
              <w:spacing w:after="40"/>
            </w:pPr>
            <w:r/>
            <w:r>
              <w:rPr>
                <w:b/>
                <w:sz w:val="19"/>
              </w:rPr>
              <w:t>Do not buy</w:t>
            </w:r>
          </w:p>
        </w:tc>
        <w:tc>
          <w:tcPr>
            <w:tcW w:type="dxa" w:w="2679"/>
          </w:tcPr>
          <w:p>
            <w:pPr>
              <w:spacing w:after="40"/>
            </w:pPr>
            <w:r/>
            <w:r>
              <w:rPr>
                <w:b w:val="0"/>
                <w:sz w:val="19"/>
              </w:rPr>
              <w:t>Only needed for phase; you use amplitude only</w:t>
            </w:r>
          </w:p>
        </w:tc>
      </w:tr>
      <w:tr>
        <w:tc>
          <w:tcPr>
            <w:tcW w:type="dxa" w:w="3172"/>
            <w:shd w:val="clear" w:fill="EEF2F8"/>
          </w:tcPr>
          <w:p>
            <w:pPr>
              <w:spacing w:after="40"/>
            </w:pPr>
            <w:r/>
            <w:r>
              <w:rPr>
                <w:b w:val="0"/>
                <w:sz w:val="19"/>
              </w:rPr>
              <w:t>Intel 5300 card</w:t>
            </w:r>
          </w:p>
        </w:tc>
        <w:tc>
          <w:tcPr>
            <w:tcW w:type="dxa" w:w="705"/>
            <w:shd w:val="clear" w:fill="EEF2F8"/>
          </w:tcPr>
          <w:p>
            <w:pPr>
              <w:spacing w:after="40"/>
            </w:pPr>
            <w:r/>
            <w:r>
              <w:rPr>
                <w:b w:val="0"/>
                <w:sz w:val="19"/>
              </w:rPr>
              <w:t>0</w:t>
            </w:r>
          </w:p>
        </w:tc>
        <w:tc>
          <w:tcPr>
            <w:tcW w:type="dxa" w:w="2185"/>
            <w:shd w:val="clear" w:fill="EEF2F8"/>
          </w:tcPr>
          <w:p>
            <w:pPr>
              <w:spacing w:after="40"/>
            </w:pPr>
            <w:r/>
            <w:r>
              <w:rPr>
                <w:b w:val="0"/>
                <w:sz w:val="19"/>
              </w:rPr>
              <w:t>—</w:t>
            </w:r>
          </w:p>
        </w:tc>
        <w:tc>
          <w:tcPr>
            <w:tcW w:type="dxa" w:w="1339"/>
            <w:shd w:val="clear" w:fill="EEF2F8"/>
          </w:tcPr>
          <w:p>
            <w:pPr>
              <w:spacing w:after="40"/>
            </w:pPr>
            <w:r/>
            <w:r>
              <w:rPr>
                <w:b/>
                <w:sz w:val="19"/>
              </w:rPr>
              <w:t>Do not buy</w:t>
            </w:r>
          </w:p>
        </w:tc>
        <w:tc>
          <w:tcPr>
            <w:tcW w:type="dxa" w:w="2679"/>
            <w:shd w:val="clear" w:fill="EEF2F8"/>
          </w:tcPr>
          <w:p>
            <w:pPr>
              <w:spacing w:after="40"/>
            </w:pPr>
            <w:r/>
            <w:r>
              <w:rPr>
                <w:b w:val="0"/>
                <w:sz w:val="19"/>
              </w:rPr>
              <w:t>EOL, obsolete kernel requirement, wrong form factor</w:t>
            </w:r>
          </w:p>
        </w:tc>
      </w:tr>
      <w:tr>
        <w:tc>
          <w:tcPr>
            <w:tcW w:type="dxa" w:w="3172"/>
          </w:tcPr>
          <w:p>
            <w:pPr>
              <w:spacing w:after="40"/>
            </w:pPr>
            <w:r/>
            <w:r>
              <w:rPr>
                <w:b w:val="0"/>
                <w:sz w:val="19"/>
              </w:rPr>
              <w:t>USRP N210</w:t>
            </w:r>
          </w:p>
        </w:tc>
        <w:tc>
          <w:tcPr>
            <w:tcW w:type="dxa" w:w="705"/>
          </w:tcPr>
          <w:p>
            <w:pPr>
              <w:spacing w:after="40"/>
            </w:pPr>
            <w:r/>
            <w:r>
              <w:rPr>
                <w:b w:val="0"/>
                <w:sz w:val="19"/>
              </w:rPr>
              <w:t>0</w:t>
            </w:r>
          </w:p>
        </w:tc>
        <w:tc>
          <w:tcPr>
            <w:tcW w:type="dxa" w:w="2185"/>
          </w:tcPr>
          <w:p>
            <w:pPr>
              <w:spacing w:after="40"/>
            </w:pPr>
            <w:r/>
            <w:r>
              <w:rPr>
                <w:b w:val="0"/>
                <w:sz w:val="19"/>
              </w:rPr>
              <w:t>—</w:t>
            </w:r>
          </w:p>
        </w:tc>
        <w:tc>
          <w:tcPr>
            <w:tcW w:type="dxa" w:w="1339"/>
          </w:tcPr>
          <w:p>
            <w:pPr>
              <w:spacing w:after="40"/>
            </w:pPr>
            <w:r/>
            <w:r>
              <w:rPr>
                <w:b/>
                <w:sz w:val="19"/>
              </w:rPr>
              <w:t>Cannot buy</w:t>
            </w:r>
          </w:p>
        </w:tc>
        <w:tc>
          <w:tcPr>
            <w:tcW w:type="dxa" w:w="2679"/>
          </w:tcPr>
          <w:p>
            <w:pPr>
              <w:spacing w:after="40"/>
            </w:pPr>
            <w:r/>
            <w:r>
              <w:rPr>
                <w:b w:val="0"/>
                <w:sz w:val="19"/>
              </w:rPr>
              <w:t>End-of-life at Ettus; no drop-in replacement</w:t>
            </w:r>
          </w:p>
        </w:tc>
      </w:tr>
    </w:tbl>
    <w:p>
      <w:pPr>
        <w:spacing w:after="40"/>
      </w:pPr>
    </w:p>
    <w:p>
      <w:r>
        <w:rPr>
          <w:b w:val="0"/>
          <w:i/>
          <w:sz w:val="19"/>
        </w:rPr>
        <w:t>Prices are indicative from July 2026 web listings and must be confirmed with your local supplier before you raise a requisition.</w:t>
      </w:r>
    </w:p>
    <w:p>
      <w:pPr>
        <w:pStyle w:val="Heading1"/>
      </w:pPr>
      <w:r>
        <w:t>9. Work Split</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c>
          <w:tcPr>
            <w:tcW w:type="dxa" w:w="1903"/>
            <w:shd w:val="clear" w:fill="1F3864"/>
          </w:tcPr>
          <w:p>
            <w:r/>
            <w:r>
              <w:rPr>
                <w:b/>
                <w:color w:val="FFFFFF"/>
                <w:sz w:val="19"/>
              </w:rPr>
              <w:t>Member</w:t>
            </w:r>
          </w:p>
        </w:tc>
        <w:tc>
          <w:tcPr>
            <w:tcW w:type="dxa" w:w="4934"/>
            <w:shd w:val="clear" w:fill="1F3864"/>
          </w:tcPr>
          <w:p>
            <w:r/>
            <w:r>
              <w:rPr>
                <w:b/>
                <w:color w:val="FFFFFF"/>
                <w:sz w:val="19"/>
              </w:rPr>
              <w:t>Primary ownership</w:t>
            </w:r>
          </w:p>
        </w:tc>
        <w:tc>
          <w:tcPr>
            <w:tcW w:type="dxa" w:w="3243"/>
            <w:shd w:val="clear" w:fill="1F3864"/>
          </w:tcPr>
          <w:p>
            <w:r/>
            <w:r>
              <w:rPr>
                <w:b/>
                <w:color w:val="FFFFFF"/>
                <w:sz w:val="19"/>
              </w:rPr>
              <w:t>Paper 1 role</w:t>
            </w:r>
          </w:p>
        </w:tc>
      </w:tr>
      <w:tr>
        <w:tc>
          <w:tcPr>
            <w:tcW w:type="dxa" w:w="1903"/>
          </w:tcPr>
          <w:p>
            <w:pPr>
              <w:spacing w:after="40"/>
            </w:pPr>
            <w:r/>
            <w:r>
              <w:rPr>
                <w:b w:val="0"/>
                <w:sz w:val="19"/>
              </w:rPr>
              <w:t>Rishiikesh S K</w:t>
            </w:r>
          </w:p>
        </w:tc>
        <w:tc>
          <w:tcPr>
            <w:tcW w:type="dxa" w:w="4934"/>
          </w:tcPr>
          <w:p>
            <w:pPr>
              <w:spacing w:after="40"/>
            </w:pPr>
            <w:r/>
            <w:r>
              <w:rPr>
                <w:b w:val="0"/>
                <w:sz w:val="19"/>
              </w:rPr>
              <w:t>Capture rig, controlled transmitter, USRP/GNU Radio chain, session-repeatability gate</w:t>
            </w:r>
          </w:p>
        </w:tc>
        <w:tc>
          <w:tcPr>
            <w:tcW w:type="dxa" w:w="3243"/>
          </w:tcPr>
          <w:p>
            <w:pPr>
              <w:spacing w:after="40"/>
            </w:pPr>
            <w:r/>
            <w:r>
              <w:rPr>
                <w:b w:val="0"/>
                <w:sz w:val="19"/>
              </w:rPr>
              <w:t>Experiments and results; corresponding author candidate</w:t>
            </w:r>
          </w:p>
        </w:tc>
      </w:tr>
      <w:tr>
        <w:tc>
          <w:tcPr>
            <w:tcW w:type="dxa" w:w="1903"/>
            <w:shd w:val="clear" w:fill="EEF2F8"/>
          </w:tcPr>
          <w:p>
            <w:pPr>
              <w:spacing w:after="40"/>
            </w:pPr>
            <w:r/>
            <w:r>
              <w:rPr>
                <w:b w:val="0"/>
                <w:sz w:val="19"/>
              </w:rPr>
              <w:t>Gowreesh B</w:t>
            </w:r>
          </w:p>
        </w:tc>
        <w:tc>
          <w:tcPr>
            <w:tcW w:type="dxa" w:w="4934"/>
            <w:shd w:val="clear" w:fill="EEF2F8"/>
          </w:tcPr>
          <w:p>
            <w:pPr>
              <w:spacing w:after="40"/>
            </w:pPr>
            <w:r/>
            <w:r>
              <w:rPr>
                <w:b w:val="0"/>
                <w:sz w:val="19"/>
              </w:rPr>
              <w:t>Physical setup discipline — geometry, antenna placement, layout metadata, session logs</w:t>
            </w:r>
          </w:p>
        </w:tc>
        <w:tc>
          <w:tcPr>
            <w:tcW w:type="dxa" w:w="3243"/>
            <w:shd w:val="clear" w:fill="EEF2F8"/>
          </w:tcPr>
          <w:p>
            <w:pPr>
              <w:spacing w:after="40"/>
            </w:pPr>
            <w:r/>
            <w:r>
              <w:rPr>
                <w:b w:val="0"/>
                <w:sz w:val="19"/>
              </w:rPr>
              <w:t>Dataset section; the session-metadata contribution is his to defend</w:t>
            </w:r>
          </w:p>
        </w:tc>
      </w:tr>
      <w:tr>
        <w:tc>
          <w:tcPr>
            <w:tcW w:type="dxa" w:w="1903"/>
          </w:tcPr>
          <w:p>
            <w:pPr>
              <w:spacing w:after="40"/>
            </w:pPr>
            <w:r/>
            <w:r>
              <w:rPr>
                <w:b w:val="0"/>
                <w:sz w:val="19"/>
              </w:rPr>
              <w:t>Amrith B</w:t>
            </w:r>
          </w:p>
        </w:tc>
        <w:tc>
          <w:tcPr>
            <w:tcW w:type="dxa" w:w="4934"/>
          </w:tcPr>
          <w:p>
            <w:pPr>
              <w:spacing w:after="40"/>
            </w:pPr>
            <w:r/>
            <w:r>
              <w:rPr>
                <w:b w:val="0"/>
                <w:sz w:val="19"/>
              </w:rPr>
              <w:t>Segmentation and preprocessing pipeline; instance normalisation; QA of every capture</w:t>
            </w:r>
          </w:p>
        </w:tc>
        <w:tc>
          <w:tcPr>
            <w:tcW w:type="dxa" w:w="3243"/>
          </w:tcPr>
          <w:p>
            <w:pPr>
              <w:spacing w:after="40"/>
            </w:pPr>
            <w:r/>
            <w:r>
              <w:rPr>
                <w:b w:val="0"/>
                <w:sz w:val="19"/>
              </w:rPr>
              <w:t>Method section</w:t>
            </w:r>
          </w:p>
        </w:tc>
      </w:tr>
      <w:tr>
        <w:tc>
          <w:tcPr>
            <w:tcW w:type="dxa" w:w="1903"/>
            <w:shd w:val="clear" w:fill="EEF2F8"/>
          </w:tcPr>
          <w:p>
            <w:pPr>
              <w:spacing w:after="40"/>
            </w:pPr>
            <w:r/>
            <w:r>
              <w:rPr>
                <w:b w:val="0"/>
                <w:sz w:val="19"/>
              </w:rPr>
              <w:t>Adithya Ajay</w:t>
            </w:r>
          </w:p>
        </w:tc>
        <w:tc>
          <w:tcPr>
            <w:tcW w:type="dxa" w:w="4934"/>
            <w:shd w:val="clear" w:fill="EEF2F8"/>
          </w:tcPr>
          <w:p>
            <w:pPr>
              <w:spacing w:after="40"/>
            </w:pPr>
            <w:r/>
            <w:r>
              <w:rPr>
                <w:b w:val="0"/>
                <w:sz w:val="19"/>
              </w:rPr>
              <w:t>Model code — leave-one-session-out splits, ablations, baselines, CSI-Bench cross-check</w:t>
            </w:r>
          </w:p>
        </w:tc>
        <w:tc>
          <w:tcPr>
            <w:tcW w:type="dxa" w:w="3243"/>
            <w:shd w:val="clear" w:fill="EEF2F8"/>
          </w:tcPr>
          <w:p>
            <w:pPr>
              <w:spacing w:after="40"/>
            </w:pPr>
            <w:r/>
            <w:r>
              <w:rPr>
                <w:b w:val="0"/>
                <w:sz w:val="19"/>
              </w:rPr>
              <w:t>Results tables and figures</w:t>
            </w:r>
          </w:p>
        </w:tc>
      </w:tr>
      <w:tr>
        <w:tc>
          <w:tcPr>
            <w:tcW w:type="dxa" w:w="1903"/>
          </w:tcPr>
          <w:p>
            <w:pPr>
              <w:spacing w:after="40"/>
            </w:pPr>
            <w:r/>
            <w:r>
              <w:rPr>
                <w:b w:val="0"/>
                <w:sz w:val="19"/>
              </w:rPr>
              <w:t>Adhikkesh S K</w:t>
            </w:r>
          </w:p>
        </w:tc>
        <w:tc>
          <w:tcPr>
            <w:tcW w:type="dxa" w:w="4934"/>
          </w:tcPr>
          <w:p>
            <w:pPr>
              <w:spacing w:after="40"/>
            </w:pPr>
            <w:r/>
            <w:r>
              <w:rPr>
                <w:b w:val="0"/>
                <w:sz w:val="19"/>
              </w:rPr>
              <w:t>Literature survey (2021–2026), venue selection, ethics/consent paperwork, related work</w:t>
            </w:r>
          </w:p>
        </w:tc>
        <w:tc>
          <w:tcPr>
            <w:tcW w:type="dxa" w:w="3243"/>
          </w:tcPr>
          <w:p>
            <w:pPr>
              <w:spacing w:after="40"/>
            </w:pPr>
            <w:r/>
            <w:r>
              <w:rPr>
                <w:b w:val="0"/>
                <w:sz w:val="19"/>
              </w:rPr>
              <w:t>Introduction and related work</w:t>
            </w:r>
          </w:p>
        </w:tc>
      </w:tr>
    </w:tbl>
    <w:p>
      <w:pPr>
        <w:spacing w:after="40"/>
      </w:pPr>
    </w:p>
    <w:p>
      <w:r>
        <w:rPr>
          <w:b w:val="0"/>
          <w:i/>
        </w:rPr>
        <w:t>Everyone reviews the full draft. The guide's standing instruction from the December and April meetings applies throughout: understand and be able to explain the data before touching the model.</w:t>
      </w:r>
    </w:p>
    <w:p>
      <w:pPr>
        <w:pStyle w:val="Heading1"/>
      </w:pPr>
      <w:r>
        <w:t>10. What To Do In The Next Seven Days</w:t>
      </w:r>
    </w:p>
    <w:tbl>
      <w:tblPr>
        <w:tblStyle w:val="TableGrid"/>
        <w:tblW w:type="auto" w:w="0"/>
        <w:jc w:val="center"/>
        <w:tblLayout w:type="fixed"/>
        <w:tblLook w:firstColumn="1" w:firstRow="1" w:lastColumn="0" w:lastRow="0" w:noHBand="0" w:noVBand="1" w:val="04A0"/>
        <w:tblLayout w:type="fixed"/>
      </w:tblPr>
      <w:tblGrid>
        <w:gridCol w:w="5040"/>
        <w:gridCol w:w="5040"/>
      </w:tblGrid>
      <w:tr>
        <w:tc>
          <w:tcPr>
            <w:tcW w:type="dxa" w:w="1410"/>
            <w:shd w:val="clear" w:fill="1F3864"/>
          </w:tcPr>
          <w:p>
            <w:r/>
            <w:r>
              <w:rPr>
                <w:b/>
                <w:color w:val="FFFFFF"/>
                <w:sz w:val="19"/>
              </w:rPr>
              <w:t>Day</w:t>
            </w:r>
          </w:p>
        </w:tc>
        <w:tc>
          <w:tcPr>
            <w:tcW w:type="dxa" w:w="8670"/>
            <w:shd w:val="clear" w:fill="1F3864"/>
          </w:tcPr>
          <w:p>
            <w:r/>
            <w:r>
              <w:rPr>
                <w:b/>
                <w:color w:val="FFFFFF"/>
                <w:sz w:val="19"/>
              </w:rPr>
              <w:t>Action</w:t>
            </w:r>
          </w:p>
        </w:tc>
      </w:tr>
      <w:tr>
        <w:tc>
          <w:tcPr>
            <w:tcW w:type="dxa" w:w="1410"/>
          </w:tcPr>
          <w:p>
            <w:pPr>
              <w:spacing w:after="40"/>
            </w:pPr>
            <w:r/>
            <w:r>
              <w:rPr>
                <w:b w:val="0"/>
                <w:sz w:val="19"/>
              </w:rPr>
              <w:t>Today</w:t>
            </w:r>
          </w:p>
        </w:tc>
        <w:tc>
          <w:tcPr>
            <w:tcW w:type="dxa" w:w="8670"/>
          </w:tcPr>
          <w:p>
            <w:pPr>
              <w:spacing w:after="40"/>
            </w:pPr>
            <w:r/>
            <w:r>
              <w:rPr>
                <w:b w:val="0"/>
                <w:sz w:val="19"/>
              </w:rPr>
              <w:t>Share Section 2 of this document with your guide. The pilot gate was passed against a confound and she needs to know before the 7-class collection is authorised.</w:t>
            </w:r>
          </w:p>
        </w:tc>
      </w:tr>
      <w:tr>
        <w:tc>
          <w:tcPr>
            <w:tcW w:type="dxa" w:w="1410"/>
            <w:shd w:val="clear" w:fill="EEF2F8"/>
          </w:tcPr>
          <w:p>
            <w:pPr>
              <w:spacing w:after="40"/>
            </w:pPr>
            <w:r/>
            <w:r>
              <w:rPr>
                <w:b w:val="0"/>
                <w:sz w:val="19"/>
              </w:rPr>
              <w:t>Day 1–2</w:t>
            </w:r>
          </w:p>
        </w:tc>
        <w:tc>
          <w:tcPr>
            <w:tcW w:type="dxa" w:w="8670"/>
            <w:shd w:val="clear" w:fill="EEF2F8"/>
          </w:tcPr>
          <w:p>
            <w:pPr>
              <w:spacing w:after="40"/>
            </w:pPr>
            <w:r/>
            <w:r>
              <w:rPr>
                <w:b w:val="0"/>
                <w:sz w:val="19"/>
              </w:rPr>
              <w:t>Ask the lab: is there a second USRP (N210 / B210 / X310)? Are there Intel 5300 cards already owned? Answers change Section 4.</w:t>
            </w:r>
          </w:p>
        </w:tc>
      </w:tr>
      <w:tr>
        <w:tc>
          <w:tcPr>
            <w:tcW w:type="dxa" w:w="1410"/>
          </w:tcPr>
          <w:p>
            <w:pPr>
              <w:spacing w:after="40"/>
            </w:pPr>
            <w:r/>
            <w:r>
              <w:rPr>
                <w:b w:val="0"/>
                <w:sz w:val="19"/>
              </w:rPr>
              <w:t>Day 2–3</w:t>
            </w:r>
          </w:p>
        </w:tc>
        <w:tc>
          <w:tcPr>
            <w:tcW w:type="dxa" w:w="8670"/>
          </w:tcPr>
          <w:p>
            <w:pPr>
              <w:spacing w:after="40"/>
            </w:pPr>
            <w:r/>
            <w:r>
              <w:rPr>
                <w:b w:val="0"/>
                <w:sz w:val="19"/>
              </w:rPr>
              <w:t>Build the controlled transmitter (Task 0.1). Verify ≥150 rows/s, stable.</w:t>
            </w:r>
          </w:p>
        </w:tc>
      </w:tr>
      <w:tr>
        <w:tc>
          <w:tcPr>
            <w:tcW w:type="dxa" w:w="1410"/>
            <w:shd w:val="clear" w:fill="EEF2F8"/>
          </w:tcPr>
          <w:p>
            <w:pPr>
              <w:spacing w:after="40"/>
            </w:pPr>
            <w:r/>
            <w:r>
              <w:rPr>
                <w:b w:val="0"/>
                <w:sz w:val="19"/>
              </w:rPr>
              <w:t>Day 3–4</w:t>
            </w:r>
          </w:p>
        </w:tc>
        <w:tc>
          <w:tcPr>
            <w:tcW w:type="dxa" w:w="8670"/>
            <w:shd w:val="clear" w:fill="EEF2F8"/>
          </w:tcPr>
          <w:p>
            <w:pPr>
              <w:spacing w:after="40"/>
            </w:pPr>
            <w:r/>
            <w:r>
              <w:rPr>
                <w:b w:val="0"/>
                <w:sz w:val="19"/>
              </w:rPr>
              <w:t>Tape the floor, mount antennas on stands, write setup.json (Task 0.2).</w:t>
            </w:r>
          </w:p>
        </w:tc>
      </w:tr>
      <w:tr>
        <w:tc>
          <w:tcPr>
            <w:tcW w:type="dxa" w:w="1410"/>
          </w:tcPr>
          <w:p>
            <w:pPr>
              <w:spacing w:after="40"/>
            </w:pPr>
            <w:r/>
            <w:r>
              <w:rPr>
                <w:b w:val="0"/>
                <w:sz w:val="19"/>
              </w:rPr>
              <w:t>Day 5–7</w:t>
            </w:r>
          </w:p>
        </w:tc>
        <w:tc>
          <w:tcPr>
            <w:tcW w:type="dxa" w:w="8670"/>
          </w:tcPr>
          <w:p>
            <w:pPr>
              <w:spacing w:after="40"/>
            </w:pPr>
            <w:r/>
            <w:r>
              <w:rPr>
                <w:b w:val="0"/>
                <w:sz w:val="19"/>
              </w:rPr>
              <w:t>Start the three-day session-repeatability test (Task 0.4). It needs three separate days, so it must start this week.</w:t>
            </w:r>
          </w:p>
        </w:tc>
      </w:tr>
      <w:tr>
        <w:tc>
          <w:tcPr>
            <w:tcW w:type="dxa" w:w="1410"/>
            <w:shd w:val="clear" w:fill="EEF2F8"/>
          </w:tcPr>
          <w:p>
            <w:pPr>
              <w:spacing w:after="40"/>
            </w:pPr>
            <w:r/>
            <w:r>
              <w:rPr>
                <w:b w:val="0"/>
                <w:sz w:val="19"/>
              </w:rPr>
              <w:t>In parallel</w:t>
            </w:r>
          </w:p>
        </w:tc>
        <w:tc>
          <w:tcPr>
            <w:tcW w:type="dxa" w:w="8670"/>
            <w:shd w:val="clear" w:fill="EEF2F8"/>
          </w:tcPr>
          <w:p>
            <w:pPr>
              <w:spacing w:after="40"/>
            </w:pPr>
            <w:r/>
            <w:r>
              <w:rPr>
                <w:b w:val="0"/>
                <w:sz w:val="19"/>
              </w:rPr>
              <w:t>Raise the AX210 and crash-mat requisitions. Procurement is the long pole; start it now.</w:t>
            </w:r>
          </w:p>
        </w:tc>
      </w:tr>
    </w:tbl>
    <w:p>
      <w:pPr>
        <w:spacing w:after="40"/>
      </w:pPr>
    </w:p>
    <w:p>
      <w:pPr>
        <w:pStyle w:val="Heading1"/>
      </w:pPr>
      <w:r>
        <w:t>11. References</w:t>
      </w:r>
    </w:p>
    <w:p>
      <w:pPr>
        <w:spacing w:after="80"/>
        <w:ind w:left="432" w:hanging="432"/>
      </w:pPr>
      <w:r>
        <w:rPr>
          <w:b/>
          <w:sz w:val="19"/>
        </w:rPr>
        <w:t xml:space="preserve">[1]  </w:t>
      </w:r>
      <w:r>
        <w:rPr>
          <w:sz w:val="19"/>
        </w:rPr>
        <w:t>F. Wang, J. Feng, Y. Zhao, X. Zhang, S. Zhang, J. Han, “Joint Activity Recognition and Indoor Localization With WiFi Fingerprints,” IEEE Access, vol. 7, pp. 80058–80068, 2019. https://github.com/geekfeiw/apl</w:t>
      </w:r>
    </w:p>
    <w:p>
      <w:pPr>
        <w:spacing w:after="80"/>
        <w:ind w:left="432" w:hanging="432"/>
      </w:pPr>
      <w:r>
        <w:rPr>
          <w:b/>
          <w:sz w:val="19"/>
        </w:rPr>
        <w:t xml:space="preserve">[2]  </w:t>
      </w:r>
      <w:r>
        <w:rPr>
          <w:sz w:val="19"/>
        </w:rPr>
        <w:t>Y. Ma, G. Zhou, S. Wang, “SignFi: Sign Language Recognition Using WiFi,” Proc. ACM IMWUT, vol. 2, no. 1, 2018. https://dl.acm.org/doi/10.1145/3191755</w:t>
      </w:r>
    </w:p>
    <w:p>
      <w:pPr>
        <w:spacing w:after="80"/>
        <w:ind w:left="432" w:hanging="432"/>
      </w:pPr>
      <w:r>
        <w:rPr>
          <w:b/>
          <w:sz w:val="19"/>
        </w:rPr>
        <w:t xml:space="preserve">[3]  </w:t>
      </w:r>
      <w:r>
        <w:rPr>
          <w:sz w:val="19"/>
        </w:rPr>
        <w:t>CSI-Bench: A Large-Scale In-the-Wild Dataset for Multi-task WiFi Sensing, NeurIPS 2025 Datasets &amp; Benchmarks Track. 26 environments, 35 users, 461 h; fall-detection split with 6 environments, 17 participants, 6,700 samples. https://arxiv.org/abs/2505.21866</w:t>
      </w:r>
    </w:p>
    <w:p>
      <w:pPr>
        <w:spacing w:after="80"/>
        <w:ind w:left="432" w:hanging="432"/>
      </w:pPr>
      <w:r>
        <w:rPr>
          <w:b/>
          <w:sz w:val="19"/>
        </w:rPr>
        <w:t xml:space="preserve">[4]  </w:t>
      </w:r>
      <w:r>
        <w:rPr>
          <w:sz w:val="19"/>
        </w:rPr>
        <w:t>“Why Partitioning Matters: Revealing Overestimated Performance in WiFi-CSI-Based Human Action Recognition,” Signals, vol. 6, no. 4, 2025. https://www.mdpi.com/2624-6120/6/4/59</w:t>
      </w:r>
    </w:p>
    <w:p>
      <w:pPr>
        <w:spacing w:after="80"/>
        <w:ind w:left="432" w:hanging="432"/>
      </w:pPr>
      <w:r>
        <w:rPr>
          <w:b/>
          <w:sz w:val="19"/>
        </w:rPr>
        <w:t xml:space="preserve">[5]  </w:t>
      </w:r>
      <w:r>
        <w:rPr>
          <w:sz w:val="19"/>
        </w:rPr>
        <w:t>“Mitigating Data Leakage in a WiFi CSI Benchmark for Human Action Recognition,” Sensors, vol. 24, no. 24, 2024. https://doi.org/10.3390/s24248201</w:t>
      </w:r>
    </w:p>
    <w:p>
      <w:pPr>
        <w:spacing w:after="80"/>
        <w:ind w:left="432" w:hanging="432"/>
      </w:pPr>
      <w:r>
        <w:rPr>
          <w:b/>
          <w:sz w:val="19"/>
        </w:rPr>
        <w:t xml:space="preserve">[6]  </w:t>
      </w:r>
      <w:r>
        <w:rPr>
          <w:sz w:val="19"/>
        </w:rPr>
        <w:t>“Exposing Data Leakage in Wi-Fi CSI-Based Human Action Recognition: A Critical Analysis,” Inventions, vol. 9, no. 4, 2024. https://www.mdpi.com/2411-5134/9/4/90</w:t>
      </w:r>
    </w:p>
    <w:p>
      <w:pPr>
        <w:spacing w:after="80"/>
        <w:ind w:left="432" w:hanging="432"/>
      </w:pPr>
      <w:r>
        <w:rPr>
          <w:b/>
          <w:sz w:val="19"/>
        </w:rPr>
        <w:t xml:space="preserve">[7]  </w:t>
      </w:r>
      <w:r>
        <w:rPr>
          <w:sz w:val="19"/>
        </w:rPr>
        <w:t>“A Survey on Wi-Fi Sensing Generalizability: Taxonomy, Techniques, Datasets, and Future Research Prospects,” arXiv:2503.08008, 2025. https://arxiv.org/pdf/2503.08008</w:t>
      </w:r>
    </w:p>
    <w:p>
      <w:pPr>
        <w:spacing w:after="80"/>
        <w:ind w:left="432" w:hanging="432"/>
      </w:pPr>
      <w:r>
        <w:rPr>
          <w:b/>
          <w:sz w:val="19"/>
        </w:rPr>
        <w:t xml:space="preserve">[8]  </w:t>
      </w:r>
      <w:r>
        <w:rPr>
          <w:sz w:val="19"/>
        </w:rPr>
        <w:t>FeitCSI — open-source CSI extraction and frame injection for Intel AX200/AX210, all 802.11 formats, 20–160 MHz. https://feitcsi.kuskosoft.com/  ·  https://github.com/KuskoSoft/FeitCSI</w:t>
      </w:r>
    </w:p>
    <w:p>
      <w:pPr>
        <w:spacing w:after="80"/>
        <w:ind w:left="432" w:hanging="432"/>
      </w:pPr>
      <w:r>
        <w:rPr>
          <w:b/>
          <w:sz w:val="19"/>
        </w:rPr>
        <w:t xml:space="preserve">[9]  </w:t>
      </w:r>
      <w:r>
        <w:rPr>
          <w:sz w:val="19"/>
        </w:rPr>
        <w:t>PicoScenes — Wi-Fi ISAC research platform; supports IWL5300, QCA9300, AX200, AX210, USRP. https://ps.zpj.io/</w:t>
      </w:r>
    </w:p>
    <w:p>
      <w:pPr>
        <w:spacing w:after="80"/>
        <w:ind w:left="432" w:hanging="432"/>
      </w:pPr>
      <w:r>
        <w:rPr>
          <w:b/>
          <w:sz w:val="19"/>
        </w:rPr>
        <w:t xml:space="preserve">[10]  </w:t>
      </w:r>
      <w:r>
        <w:rPr>
          <w:sz w:val="19"/>
        </w:rPr>
        <w:t>D. Halperin et al., Linux 802.11n CSI Tool (Intel 5300). https://dhalperi.github.io/linux-80211n-csitool/  — note: unmaintained; the 5300 NIC is end-of-life at Intel.</w:t>
      </w:r>
    </w:p>
    <w:p>
      <w:pPr>
        <w:spacing w:after="80"/>
        <w:ind w:left="432" w:hanging="432"/>
      </w:pPr>
      <w:r>
        <w:rPr>
          <w:b/>
          <w:sz w:val="19"/>
        </w:rPr>
        <w:t xml:space="preserve">[11]  </w:t>
      </w:r>
      <w:r>
        <w:rPr>
          <w:sz w:val="19"/>
        </w:rPr>
        <w:t>ESP32 CSI Toolkit (S. M. Hernandez). https://stevenmhernandez.github.io/ESP32-CSI-Tool/  ·  Espressif esp-csi: https://github.com/espressif/esp-csi</w:t>
      </w:r>
    </w:p>
    <w:p>
      <w:pPr>
        <w:spacing w:after="80"/>
        <w:ind w:left="432" w:hanging="432"/>
      </w:pPr>
      <w:r>
        <w:rPr>
          <w:b/>
          <w:sz w:val="19"/>
        </w:rPr>
        <w:t xml:space="preserve">[12]  </w:t>
      </w:r>
      <w:r>
        <w:rPr>
          <w:sz w:val="19"/>
        </w:rPr>
        <w:t>nexmon_csi — CSI extraction on Broadcom chips (Raspberry Pi 3B+/4B), 802.11a/g/n/ac up to 80 MHz. https://github.com/seemoo-lab/nexmon_csi</w:t>
      </w:r>
    </w:p>
    <w:p>
      <w:pPr>
        <w:spacing w:after="80"/>
        <w:ind w:left="432" w:hanging="432"/>
      </w:pPr>
      <w:r>
        <w:rPr>
          <w:b/>
          <w:sz w:val="19"/>
        </w:rPr>
        <w:t xml:space="preserve">[13]  </w:t>
      </w:r>
      <w:r>
        <w:rPr>
          <w:sz w:val="19"/>
        </w:rPr>
        <w:t>CSIKit — Python CSI parsing/visualisation for Atheros, Intel, Nexmon, ESP32, FeitCSI, PicoScenes formats. https://github.com/Gi-z/CSIKit</w:t>
      </w:r>
    </w:p>
    <w:p>
      <w:pPr>
        <w:spacing w:after="80"/>
        <w:ind w:left="432" w:hanging="432"/>
      </w:pPr>
      <w:r>
        <w:rPr>
          <w:b/>
          <w:sz w:val="19"/>
        </w:rPr>
        <w:t xml:space="preserve">[14]  </w:t>
      </w:r>
      <w:r>
        <w:rPr>
          <w:sz w:val="19"/>
        </w:rPr>
        <w:t>“Tools and Methods for Achieving Wi-Fi Sensing in Embedded Devices,” Sensors, vol. 25, no. 19, 2025. https://www.mdpi.com/1424-8220/25/19/6220</w:t>
      </w:r>
    </w:p>
    <w:p>
      <w:pPr>
        <w:spacing w:after="80"/>
        <w:ind w:left="432" w:hanging="432"/>
      </w:pPr>
      <w:r>
        <w:rPr>
          <w:b/>
          <w:sz w:val="19"/>
        </w:rPr>
        <w:t xml:space="preserve">[15]  </w:t>
      </w:r>
      <w:r>
        <w:rPr>
          <w:sz w:val="19"/>
        </w:rPr>
        <w:t>USRP N200/N210 End-of-Life announcement, Ettus Research / NI. https://kb.ettus.com/N200/N210</w:t>
      </w:r>
    </w:p>
    <w:p/>
    <w:p>
      <w:r>
        <w:rPr>
          <w:b w:val="0"/>
          <w:i/>
          <w:sz w:val="18"/>
        </w:rPr>
        <w:t>Document generated 22 July 2026. Sections 2 and 3 are based on measurements taken on the team's own pilot data on that date; all numbers quoted are reproducible from ~/usrp-projects/data/pilot/.</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