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after="0"/>
        <w:ind w:firstLine="0"/>
        <w:jc w:val="center"/>
      </w:pPr>
      <w:r>
        <w:t>Análisis y priorización de vuelos con riesgo de retraso</w:t>
      </w:r>
    </w:p>
    <w:p>
      <w:pPr>
        <w:spacing w:line="480" w:lineRule="auto" w:after="0"/>
        <w:ind w:firstLine="0"/>
        <w:jc w:val="center"/>
      </w:pPr>
      <w:r>
        <w:rPr>
          <w:b/>
        </w:rPr>
        <w:t>Informe de procesos y resultados recalculados</w:t>
      </w:r>
    </w:p>
    <w:p>
      <w:pPr>
        <w:spacing w:line="480" w:lineRule="auto" w:after="0"/>
        <w:ind w:firstLine="0"/>
        <w:jc w:val="center"/>
      </w:pPr>
      <w:r>
        <w:t>Proyecto grupal de Herramientas de Big Data</w:t>
      </w:r>
    </w:p>
    <w:p>
      <w:pPr>
        <w:spacing w:line="480" w:lineRule="auto" w:after="0"/>
        <w:ind w:firstLine="0"/>
        <w:jc w:val="center"/>
      </w:pPr>
      <w:r>
        <w:t>Maestría en Analítica Aplicada | Universidad de La Sabana</w:t>
      </w:r>
    </w:p>
    <w:p>
      <w:pPr>
        <w:spacing w:line="480" w:lineRule="auto" w:after="0"/>
        <w:ind w:firstLine="0"/>
        <w:jc w:val="center"/>
      </w:pPr>
      <w:r>
        <w:t>Angela Liseth Arias Robles | Andres Jose Triana Olivera | Luis Felipe Cangrejo Motta</w:t>
      </w:r>
    </w:p>
    <w:p>
      <w:pPr>
        <w:spacing w:line="480" w:lineRule="auto" w:after="0"/>
        <w:ind w:firstLine="0"/>
        <w:jc w:val="center"/>
      </w:pPr>
      <w:r>
        <w:t>20 de octubre de 2026</w:t>
      </w:r>
    </w:p>
    <w:p>
      <w:pPr>
        <w:spacing w:line="480" w:lineRule="auto" w:after="0"/>
        <w:ind w:firstLine="0"/>
        <w:jc w:val="center"/>
      </w:pPr>
      <w:r>
        <w:t>Repositorio: https://github.com/aarias93/Project_Flight_Status_Prediction</w:t>
      </w:r>
    </w:p>
    <w:p>
      <w:r>
        <w:br w:type="page"/>
      </w:r>
    </w:p>
    <w:p>
      <w:pPr>
        <w:pStyle w:val="Heading1"/>
      </w:pPr>
      <w:r>
        <w:t>Resumen ejecutivo</w:t>
      </w:r>
    </w:p>
    <w:p>
      <w:r>
        <w:t>Desarrollamos un proceso para describir la puntualidad de vuelos y evaluar si atributos programados antes de la salida permiten ordenar vuelos por riesgo de llegada con 15 minutos o más de retraso. El archivo original reúne 29.193.782 registros y 61 columnas, y ocupa 10.214.365.394 bytes (10,214 GB decimales; aproximadamente 9,515 GiB). Por la decisión metodológica de excluir 2020, la base de análisis conserva 24.171.385 registros y ocupa 678.550.973 bytes en Parquet (0,679 GB decimales; aproximadamente 0,632 GiB). La conversión y el filtro reducen el tamaño en 93,36 % frente al CSV original, equivalente a un archivo 15,05 veces menor; esta comparación combina el filtrado de 2020 con la compresión columnar.</w:t>
      </w:r>
    </w:p>
    <w:p>
      <w:r>
        <w:t>La variable objetivo es ArrDel15: retraso de llegada igual o superior a 15 minutos. Entre 23.634.669 vuelos completados con etiqueta conocida, 4.537.818 (19,20 %) tuvieron retraso. Excluimos 2020 de todos los resultados y modelos por su comportamiento excepcional durante la pandemia. No mostramos métricas de ese año; la exclusión no altera el archivo fuente.</w:t>
      </w:r>
    </w:p>
    <w:p>
      <w:r>
        <w:t>La comparación retrospectiva favorece al modelo boosting frente a la regresión logística, con diferencias moderadas. En la ventana adicional enero–julio de 2022, Boosting 1M obtuvo ROC AUC 0,6455 y precisión de 41,52 % entre el 10 % de vuelos de mayor riesgo. El 10 % es una métrica comparativa: puntuamos todos los vuelos, y no proponemos dejar de vigilar el resto. La evaluación de 2022 no es una prueba independiente porque fue consultada durante el desarrollo; además, las probabilidades requieren calibración antes de cualquier uso.</w:t>
      </w:r>
    </w:p>
    <w:p>
      <w:r>
        <w:t>Demostramos dos configuraciones Dask con el mismo resultado analítico y una mediana de 21,656 s con 1 worker/1 GiB frente a 10,568 s con 2 workers/512 MiB cada uno. Ejecutamos el flujo Prefect por los siete meses disponibles de 2022 y generamos salidas agregadas. La preparación automatizada inicia con Parquet listo, no desde el CSV original. La salida analítica para AWS y el tablero JSON de Grafana están preparados, pero la carga real en AWS y la conexión de Grafana no se verificaron en este equipo; por ello, esos requisitos siguen pendientes.</w:t>
      </w:r>
    </w:p>
    <w:p>
      <w:pPr>
        <w:pStyle w:val="Heading1"/>
      </w:pPr>
      <w:r>
        <w:t>1. Comprensión del negocio</w:t>
      </w:r>
    </w:p>
    <w:p>
      <w:pPr>
        <w:pStyle w:val="Heading2"/>
      </w:pPr>
      <w:r>
        <w:t>1.1 Problema y objetivo</w:t>
      </w:r>
    </w:p>
    <w:p>
      <w:r>
        <w:t>La pregunta analítica es: ¿qué porcentaje de vuelos presenta retraso de llegada en un aeropuerto, día u hora, y qué vuelos programados muestran mayor riesgo? Proponemos que el equipo de planificación de una aerolínea consulte puntuaciones para todos los vuelos y revise alertas de mayor riesgo.</w:t>
      </w:r>
    </w:p>
    <w:p>
      <w:r>
        <w:t>Usamos 24 horas antes de la salida programada como escenario académico. La fuente histórica no registra cuándo estuvo disponible cada variable; por tanto, no podemos confirmar que todas estuvieran disponibles exactamente con 24 horas de anticipación. Antes de un piloto se deben validar marcas temporales de disponibilidad, calendario de planificación y procesos de la aerolínea.</w:t>
      </w:r>
    </w:p>
    <w:p>
      <w:pPr>
        <w:pStyle w:val="Heading2"/>
      </w:pPr>
      <w:r>
        <w:t>1.2 Unidad de análisis y alcance geográfico</w:t>
      </w:r>
    </w:p>
    <w:p>
      <w:r>
        <w:t>La unidad es el vuelo programado individual. Para la variable de retraso usamos vuelos completados, no cancelados ni desviados, con resultado conocido. Las tasas agregadas usan numerador de vuelos con ArrDel15=1 y denominador de vuelos con etiqueta válida.</w:t>
      </w:r>
    </w:p>
    <w:p>
      <w:r>
        <w:t>La fuente describe vuelos de Estados Unidos entre enero de 2018 y julio de 2022. Colombia es un contexto propuesto para explorar una aplicación futura, no una operación en la que hayamos validado el modelo. El umbral de 15 minutos proviene de la etiqueta de la fuente estadounidense; no lo presentamos como requisito normativo colombiano.</w:t>
      </w:r>
    </w:p>
    <w:p>
      <w:pPr>
        <w:pStyle w:val="Heading2"/>
      </w:pPr>
      <w:r>
        <w:t>1.3 Decisión sobre 2020</w:t>
      </w:r>
    </w:p>
    <w:p>
      <w:r>
        <w:t>Excluimos todas las filas de 2020 antes de los análisis, la construcción del Parquet analítico, los modelos, las evaluaciones y las visualizaciones. La pandemia alteró la operación y la comparabilidad del periodo. Conservamos sin cambios el CSV original y documentamos la decisión en DECISION_EXCLUSION_2020.md. Las cifras de salidas históricas con 2020 quedan obsoletas y no deben usarse.</w:t>
      </w:r>
    </w:p>
    <w:p>
      <w:pPr>
        <w:pStyle w:val="Heading2"/>
      </w:pPr>
      <w:r>
        <w:t>1.4 Criterios de éxito y límites operativos</w:t>
      </w:r>
    </w:p>
    <w:p>
      <w:r>
        <w:t>El objetivo de predicción es ordenar riesgos, no afirmar causalidad ni reducción de retrasos. La métrica del 10 % superior permite comparar concentración de eventos y no significa que los demás vuelos se omitan de la puntuación o vigilancia. El área usuaria definiría alertas, carga de revisión y acciones dentro de sus procedimientos.</w:t>
      </w:r>
    </w:p>
    <w:p>
      <w:r>
        <w:t>Para Colombia se requiere validar regulación aplicable en RAC y procedimientos de operador con Aerocivil y la aerolínea. Este informe no sustituye una evaluación regulatoria ni presenta el umbral estadístico del dataset como norma.</w:t>
      </w:r>
      <w:r>
        <w:t xml:space="preserve"> (Aeronáutica Civil de Colombia, s. f.)</w:t>
      </w:r>
    </w:p>
    <w:p>
      <w:pPr>
        <w:pStyle w:val="Heading1"/>
      </w:pPr>
      <w:r>
        <w:t>2. Comprensión de los datos y EDA</w:t>
      </w:r>
    </w:p>
    <w:p>
      <w:pPr>
        <w:pStyle w:val="Heading2"/>
      </w:pPr>
      <w:r>
        <w:t>2.1 Fuente y estructura</w:t>
      </w:r>
    </w:p>
    <w:p>
      <w:r>
        <w:t>Usamos Flight Delay Dataset 2018–2022, publicado en Kaggle por robikscube. El CSV original contiene 29.193.782 filas, 61 columnas y 10.214.365.394 bytes. La cobertura observada va de enero de 2018 a julio de 2022; 2022 es parcial. Tras excluir 2020, quedan los años 2018, 2019, 2021 y enero–julio de 2022.</w:t>
      </w:r>
    </w:p>
    <w:p>
      <w:pPr>
        <w:keepNext/>
        <w:spacing w:line="480" w:lineRule="auto" w:after="80"/>
        <w:ind w:firstLine="0"/>
      </w:pPr>
      <w:r>
        <w:rPr>
          <w:i/>
        </w:rPr>
        <w:t>Cobertura de vuelos por año en el periodo analítico</w:t>
      </w:r>
    </w:p>
    <w:p>
      <w:pPr>
        <w:keepNext/>
        <w:spacing w:line="480" w:lineRule="auto" w:after="0"/>
        <w:ind w:firstLine="0"/>
      </w:pPr>
      <w:r>
        <w:rPr>
          <w:b/>
        </w:rPr>
        <w:t>Tabla 1</w:t>
      </w:r>
    </w:p>
    <w:tbl>
      <w:tblPr>
        <w:tblStyle w:val="TableGrid"/>
        <w:tblW w:type="auto" w:w="0"/>
        <w:jc w:val="center"/>
        <w:tblLook w:firstColumn="1" w:firstRow="1" w:lastColumn="0" w:lastRow="0" w:noHBand="0" w:noVBand="1" w:val="04A0"/>
        <w:tblBorders>
          <w:top w:val="single" w:sz="8" w:color="000000"/>
          <w:left w:val="nil"/>
          <w:bottom w:val="single" w:sz="8" w:color="000000"/>
          <w:right w:val="nil"/>
          <w:insideH w:val="single" w:sz="4" w:color="000000"/>
          <w:insideV w:val="nil"/>
        </w:tblBorders>
      </w:tblPr>
      <w:tblGrid>
        <w:gridCol w:w="3264"/>
        <w:gridCol w:w="3264"/>
        <w:gridCol w:w="3264"/>
      </w:tblGrid>
      <w:tr>
        <w:tc>
          <w:tcPr>
            <w:tcW w:type="dxa" w:w="3264"/>
            <w:vAlign w:val="center"/>
          </w:tcPr>
          <w:p>
            <w:pPr>
              <w:spacing w:line="264" w:lineRule="auto" w:after="0"/>
              <w:ind w:firstLine="0"/>
            </w:pPr>
            <w:r>
              <w:rPr>
                <w:rFonts w:ascii="Times New Roman" w:hAnsi="Times New Roman" w:eastAsia="Times New Roman"/>
                <w:b/>
                <w:color w:val="000000"/>
                <w:sz w:val="17"/>
              </w:rPr>
              <w:t>Año</w:t>
            </w:r>
          </w:p>
        </w:tc>
        <w:tc>
          <w:tcPr>
            <w:tcW w:type="dxa" w:w="3264"/>
            <w:vAlign w:val="center"/>
          </w:tcPr>
          <w:p>
            <w:pPr>
              <w:spacing w:line="264" w:lineRule="auto" w:after="0"/>
              <w:ind w:firstLine="0"/>
            </w:pPr>
            <w:r>
              <w:rPr>
                <w:rFonts w:ascii="Times New Roman" w:hAnsi="Times New Roman" w:eastAsia="Times New Roman"/>
                <w:b/>
                <w:color w:val="000000"/>
                <w:sz w:val="17"/>
              </w:rPr>
              <w:t>Vuelos de origen</w:t>
            </w:r>
          </w:p>
        </w:tc>
        <w:tc>
          <w:tcPr>
            <w:tcW w:type="dxa" w:w="3264"/>
            <w:vAlign w:val="center"/>
          </w:tcPr>
          <w:p>
            <w:pPr>
              <w:spacing w:line="264" w:lineRule="auto" w:after="0"/>
              <w:ind w:firstLine="0"/>
            </w:pPr>
            <w:r>
              <w:rPr>
                <w:rFonts w:ascii="Times New Roman" w:hAnsi="Times New Roman" w:eastAsia="Times New Roman"/>
                <w:b/>
                <w:color w:val="000000"/>
                <w:sz w:val="17"/>
              </w:rPr>
              <w:t>Uso en este trabajo</w:t>
            </w:r>
          </w:p>
        </w:tc>
      </w:tr>
      <w:tr>
        <w:tc>
          <w:tcPr>
            <w:tcW w:type="dxa" w:w="3264"/>
            <w:vAlign w:val="center"/>
          </w:tcPr>
          <w:p>
            <w:pPr>
              <w:spacing w:after="0" w:line="264" w:lineRule="auto"/>
              <w:ind w:firstLine="0"/>
            </w:pPr>
            <w:r>
              <w:rPr>
                <w:rFonts w:ascii="Times New Roman" w:hAnsi="Times New Roman" w:eastAsia="Times New Roman"/>
                <w:color w:val="000000"/>
                <w:sz w:val="17"/>
              </w:rPr>
              <w:t>2018</w:t>
            </w:r>
          </w:p>
        </w:tc>
        <w:tc>
          <w:tcPr>
            <w:tcW w:type="dxa" w:w="3264"/>
            <w:vAlign w:val="center"/>
          </w:tcPr>
          <w:p>
            <w:pPr>
              <w:spacing w:after="0" w:line="264" w:lineRule="auto"/>
              <w:ind w:firstLine="0"/>
            </w:pPr>
            <w:r>
              <w:rPr>
                <w:rFonts w:ascii="Times New Roman" w:hAnsi="Times New Roman" w:eastAsia="Times New Roman"/>
                <w:color w:val="000000"/>
                <w:sz w:val="17"/>
              </w:rPr>
              <w:t>5.689.512</w:t>
            </w:r>
          </w:p>
        </w:tc>
        <w:tc>
          <w:tcPr>
            <w:tcW w:type="dxa" w:w="3264"/>
            <w:vAlign w:val="center"/>
          </w:tcPr>
          <w:p>
            <w:pPr>
              <w:spacing w:after="0" w:line="264" w:lineRule="auto"/>
              <w:ind w:firstLine="0"/>
            </w:pPr>
            <w:r>
              <w:rPr>
                <w:rFonts w:ascii="Times New Roman" w:hAnsi="Times New Roman" w:eastAsia="Times New Roman"/>
                <w:color w:val="000000"/>
                <w:sz w:val="17"/>
              </w:rPr>
              <w:t>Incluido</w:t>
            </w:r>
          </w:p>
        </w:tc>
      </w:tr>
      <w:tr>
        <w:tc>
          <w:tcPr>
            <w:tcW w:type="dxa" w:w="3264"/>
            <w:vAlign w:val="center"/>
          </w:tcPr>
          <w:p>
            <w:pPr>
              <w:spacing w:after="0" w:line="264" w:lineRule="auto"/>
              <w:ind w:firstLine="0"/>
            </w:pPr>
            <w:r>
              <w:rPr>
                <w:rFonts w:ascii="Times New Roman" w:hAnsi="Times New Roman" w:eastAsia="Times New Roman"/>
                <w:color w:val="000000"/>
                <w:sz w:val="17"/>
              </w:rPr>
              <w:t>2019</w:t>
            </w:r>
          </w:p>
        </w:tc>
        <w:tc>
          <w:tcPr>
            <w:tcW w:type="dxa" w:w="3264"/>
            <w:vAlign w:val="center"/>
          </w:tcPr>
          <w:p>
            <w:pPr>
              <w:spacing w:after="0" w:line="264" w:lineRule="auto"/>
              <w:ind w:firstLine="0"/>
            </w:pPr>
            <w:r>
              <w:rPr>
                <w:rFonts w:ascii="Times New Roman" w:hAnsi="Times New Roman" w:eastAsia="Times New Roman"/>
                <w:color w:val="000000"/>
                <w:sz w:val="17"/>
              </w:rPr>
              <w:t>8.091.684</w:t>
            </w:r>
          </w:p>
        </w:tc>
        <w:tc>
          <w:tcPr>
            <w:tcW w:type="dxa" w:w="3264"/>
            <w:vAlign w:val="center"/>
          </w:tcPr>
          <w:p>
            <w:pPr>
              <w:spacing w:after="0" w:line="264" w:lineRule="auto"/>
              <w:ind w:firstLine="0"/>
            </w:pPr>
            <w:r>
              <w:rPr>
                <w:rFonts w:ascii="Times New Roman" w:hAnsi="Times New Roman" w:eastAsia="Times New Roman"/>
                <w:color w:val="000000"/>
                <w:sz w:val="17"/>
              </w:rPr>
              <w:t>Incluido</w:t>
            </w:r>
          </w:p>
        </w:tc>
      </w:tr>
      <w:tr>
        <w:tc>
          <w:tcPr>
            <w:tcW w:type="dxa" w:w="3264"/>
            <w:vAlign w:val="center"/>
          </w:tcPr>
          <w:p>
            <w:pPr>
              <w:spacing w:after="0" w:line="264" w:lineRule="auto"/>
              <w:ind w:firstLine="0"/>
            </w:pPr>
            <w:r>
              <w:rPr>
                <w:rFonts w:ascii="Times New Roman" w:hAnsi="Times New Roman" w:eastAsia="Times New Roman"/>
                <w:color w:val="000000"/>
                <w:sz w:val="17"/>
              </w:rPr>
              <w:t>2021</w:t>
            </w:r>
          </w:p>
        </w:tc>
        <w:tc>
          <w:tcPr>
            <w:tcW w:type="dxa" w:w="3264"/>
            <w:vAlign w:val="center"/>
          </w:tcPr>
          <w:p>
            <w:pPr>
              <w:spacing w:after="0" w:line="264" w:lineRule="auto"/>
              <w:ind w:firstLine="0"/>
            </w:pPr>
            <w:r>
              <w:rPr>
                <w:rFonts w:ascii="Times New Roman" w:hAnsi="Times New Roman" w:eastAsia="Times New Roman"/>
                <w:color w:val="000000"/>
                <w:sz w:val="17"/>
              </w:rPr>
              <w:t>6.311.871</w:t>
            </w:r>
          </w:p>
        </w:tc>
        <w:tc>
          <w:tcPr>
            <w:tcW w:type="dxa" w:w="3264"/>
            <w:vAlign w:val="center"/>
          </w:tcPr>
          <w:p>
            <w:pPr>
              <w:spacing w:after="0" w:line="264" w:lineRule="auto"/>
              <w:ind w:firstLine="0"/>
            </w:pPr>
            <w:r>
              <w:rPr>
                <w:rFonts w:ascii="Times New Roman" w:hAnsi="Times New Roman" w:eastAsia="Times New Roman"/>
                <w:color w:val="000000"/>
                <w:sz w:val="17"/>
              </w:rPr>
              <w:t>Incluido</w:t>
            </w:r>
          </w:p>
        </w:tc>
      </w:tr>
      <w:tr>
        <w:tc>
          <w:tcPr>
            <w:tcW w:type="dxa" w:w="3264"/>
            <w:vAlign w:val="center"/>
          </w:tcPr>
          <w:p>
            <w:pPr>
              <w:spacing w:after="0" w:line="264" w:lineRule="auto"/>
              <w:ind w:firstLine="0"/>
            </w:pPr>
            <w:r>
              <w:rPr>
                <w:rFonts w:ascii="Times New Roman" w:hAnsi="Times New Roman" w:eastAsia="Times New Roman"/>
                <w:color w:val="000000"/>
                <w:sz w:val="17"/>
              </w:rPr>
              <w:t>2022 ene–jul</w:t>
            </w:r>
          </w:p>
        </w:tc>
        <w:tc>
          <w:tcPr>
            <w:tcW w:type="dxa" w:w="3264"/>
            <w:vAlign w:val="center"/>
          </w:tcPr>
          <w:p>
            <w:pPr>
              <w:spacing w:after="0" w:line="264" w:lineRule="auto"/>
              <w:ind w:firstLine="0"/>
            </w:pPr>
            <w:r>
              <w:rPr>
                <w:rFonts w:ascii="Times New Roman" w:hAnsi="Times New Roman" w:eastAsia="Times New Roman"/>
                <w:color w:val="000000"/>
                <w:sz w:val="17"/>
              </w:rPr>
              <w:t>4.078.318</w:t>
            </w:r>
          </w:p>
        </w:tc>
        <w:tc>
          <w:tcPr>
            <w:tcW w:type="dxa" w:w="3264"/>
            <w:vAlign w:val="center"/>
          </w:tcPr>
          <w:p>
            <w:pPr>
              <w:spacing w:after="0" w:line="264" w:lineRule="auto"/>
              <w:ind w:firstLine="0"/>
            </w:pPr>
            <w:r>
              <w:rPr>
                <w:rFonts w:ascii="Times New Roman" w:hAnsi="Times New Roman" w:eastAsia="Times New Roman"/>
                <w:color w:val="000000"/>
                <w:sz w:val="17"/>
              </w:rPr>
              <w:t>Incluido; cobertura parcial</w:t>
            </w:r>
          </w:p>
        </w:tc>
      </w:tr>
      <w:tr>
        <w:tc>
          <w:tcPr>
            <w:tcW w:type="dxa" w:w="3264"/>
            <w:vAlign w:val="center"/>
          </w:tcPr>
          <w:p>
            <w:pPr>
              <w:spacing w:after="0" w:line="264" w:lineRule="auto"/>
              <w:ind w:firstLine="0"/>
            </w:pPr>
            <w:r>
              <w:rPr>
                <w:rFonts w:ascii="Times New Roman" w:hAnsi="Times New Roman" w:eastAsia="Times New Roman"/>
                <w:color w:val="000000"/>
                <w:sz w:val="17"/>
              </w:rPr>
              <w:t>Total analítico</w:t>
            </w:r>
          </w:p>
        </w:tc>
        <w:tc>
          <w:tcPr>
            <w:tcW w:type="dxa" w:w="3264"/>
            <w:vAlign w:val="center"/>
          </w:tcPr>
          <w:p>
            <w:pPr>
              <w:spacing w:after="0" w:line="264" w:lineRule="auto"/>
              <w:ind w:firstLine="0"/>
            </w:pPr>
            <w:r>
              <w:rPr>
                <w:rFonts w:ascii="Times New Roman" w:hAnsi="Times New Roman" w:eastAsia="Times New Roman"/>
                <w:color w:val="000000"/>
                <w:sz w:val="17"/>
              </w:rPr>
              <w:t>24.171.385</w:t>
            </w:r>
          </w:p>
        </w:tc>
        <w:tc>
          <w:tcPr>
            <w:tcW w:type="dxa" w:w="3264"/>
            <w:vAlign w:val="center"/>
          </w:tcPr>
          <w:p>
            <w:pPr>
              <w:spacing w:after="0" w:line="264" w:lineRule="auto"/>
              <w:ind w:firstLine="0"/>
            </w:pPr>
            <w:r>
              <w:rPr>
                <w:rFonts w:ascii="Times New Roman" w:hAnsi="Times New Roman" w:eastAsia="Times New Roman"/>
                <w:color w:val="000000"/>
                <w:sz w:val="17"/>
              </w:rPr>
              <w:t>Sin 2020</w:t>
            </w:r>
          </w:p>
        </w:tc>
      </w:tr>
    </w:tbl>
    <w:p>
      <w:pPr>
        <w:pStyle w:val="Heading2"/>
      </w:pPr>
      <w:r>
        <w:t>2.2 Transformación y volumen</w:t>
      </w:r>
    </w:p>
    <w:p>
      <w:r>
        <w:t>Leímos el CSV en bloques y escribimos las columnas de origen a Parquet, filtrando Year=2020. La base preparada conserva las 61 columnas originales. Los 43 Parquet mensuales de modelado incluyen solo vuelos con resultado supervisado válido.</w:t>
      </w:r>
    </w:p>
    <w:p>
      <w:pPr>
        <w:keepNext/>
        <w:spacing w:line="480" w:lineRule="auto" w:after="80"/>
        <w:ind w:firstLine="0"/>
      </w:pPr>
      <w:r>
        <w:rPr>
          <w:i/>
        </w:rPr>
        <w:t>Tamaño de los archivos fuente y preparados</w:t>
      </w:r>
    </w:p>
    <w:p>
      <w:pPr>
        <w:keepNext/>
        <w:spacing w:line="480" w:lineRule="auto" w:after="0"/>
        <w:ind w:firstLine="0"/>
      </w:pPr>
      <w:r>
        <w:rPr>
          <w:b/>
        </w:rPr>
        <w:t>Tabla 2</w:t>
      </w:r>
    </w:p>
    <w:tbl>
      <w:tblPr>
        <w:tblStyle w:val="TableGrid"/>
        <w:tblW w:type="auto" w:w="0"/>
        <w:jc w:val="center"/>
        <w:tblLook w:firstColumn="1" w:firstRow="1" w:lastColumn="0" w:lastRow="0" w:noHBand="0" w:noVBand="1" w:val="04A0"/>
        <w:tblBorders>
          <w:top w:val="single" w:sz="8" w:color="000000"/>
          <w:left w:val="nil"/>
          <w:bottom w:val="single" w:sz="8" w:color="000000"/>
          <w:right w:val="nil"/>
          <w:insideH w:val="single" w:sz="4" w:color="000000"/>
          <w:insideV w:val="nil"/>
        </w:tblBorders>
      </w:tblPr>
      <w:tblGrid>
        <w:gridCol w:w="3264"/>
        <w:gridCol w:w="3264"/>
        <w:gridCol w:w="3264"/>
      </w:tblGrid>
      <w:tr>
        <w:tc>
          <w:tcPr>
            <w:tcW w:type="dxa" w:w="3264"/>
            <w:vAlign w:val="center"/>
          </w:tcPr>
          <w:p>
            <w:pPr>
              <w:spacing w:line="264" w:lineRule="auto" w:after="0"/>
              <w:ind w:firstLine="0"/>
            </w:pPr>
            <w:r>
              <w:rPr>
                <w:rFonts w:ascii="Times New Roman" w:hAnsi="Times New Roman" w:eastAsia="Times New Roman"/>
                <w:b/>
                <w:color w:val="000000"/>
                <w:sz w:val="17"/>
              </w:rPr>
              <w:t>Artefacto</w:t>
            </w:r>
          </w:p>
        </w:tc>
        <w:tc>
          <w:tcPr>
            <w:tcW w:type="dxa" w:w="3264"/>
            <w:vAlign w:val="center"/>
          </w:tcPr>
          <w:p>
            <w:pPr>
              <w:spacing w:line="264" w:lineRule="auto" w:after="0"/>
              <w:ind w:firstLine="0"/>
            </w:pPr>
            <w:r>
              <w:rPr>
                <w:rFonts w:ascii="Times New Roman" w:hAnsi="Times New Roman" w:eastAsia="Times New Roman"/>
                <w:b/>
                <w:color w:val="000000"/>
                <w:sz w:val="17"/>
              </w:rPr>
              <w:t>Filas</w:t>
            </w:r>
          </w:p>
        </w:tc>
        <w:tc>
          <w:tcPr>
            <w:tcW w:type="dxa" w:w="3264"/>
            <w:vAlign w:val="center"/>
          </w:tcPr>
          <w:p>
            <w:pPr>
              <w:spacing w:line="264" w:lineRule="auto" w:after="0"/>
              <w:ind w:firstLine="0"/>
            </w:pPr>
            <w:r>
              <w:rPr>
                <w:rFonts w:ascii="Times New Roman" w:hAnsi="Times New Roman" w:eastAsia="Times New Roman"/>
                <w:b/>
                <w:color w:val="000000"/>
                <w:sz w:val="17"/>
              </w:rPr>
              <w:t>Tamaño</w:t>
            </w:r>
          </w:p>
        </w:tc>
      </w:tr>
      <w:tr>
        <w:tc>
          <w:tcPr>
            <w:tcW w:type="dxa" w:w="3264"/>
            <w:vAlign w:val="center"/>
          </w:tcPr>
          <w:p>
            <w:pPr>
              <w:spacing w:after="0" w:line="264" w:lineRule="auto"/>
              <w:ind w:firstLine="0"/>
            </w:pPr>
            <w:r>
              <w:rPr>
                <w:rFonts w:ascii="Times New Roman" w:hAnsi="Times New Roman" w:eastAsia="Times New Roman"/>
                <w:color w:val="000000"/>
                <w:sz w:val="17"/>
              </w:rPr>
              <w:t>CSV original (incluye 2020)</w:t>
            </w:r>
          </w:p>
        </w:tc>
        <w:tc>
          <w:tcPr>
            <w:tcW w:type="dxa" w:w="3264"/>
            <w:vAlign w:val="center"/>
          </w:tcPr>
          <w:p>
            <w:pPr>
              <w:spacing w:after="0" w:line="264" w:lineRule="auto"/>
              <w:ind w:firstLine="0"/>
            </w:pPr>
            <w:r>
              <w:rPr>
                <w:rFonts w:ascii="Times New Roman" w:hAnsi="Times New Roman" w:eastAsia="Times New Roman"/>
                <w:color w:val="000000"/>
                <w:sz w:val="17"/>
              </w:rPr>
              <w:t>29.193.782</w:t>
            </w:r>
          </w:p>
        </w:tc>
        <w:tc>
          <w:tcPr>
            <w:tcW w:type="dxa" w:w="3264"/>
            <w:vAlign w:val="center"/>
          </w:tcPr>
          <w:p>
            <w:pPr>
              <w:spacing w:after="0" w:line="264" w:lineRule="auto"/>
              <w:ind w:firstLine="0"/>
            </w:pPr>
            <w:r>
              <w:rPr>
                <w:rFonts w:ascii="Times New Roman" w:hAnsi="Times New Roman" w:eastAsia="Times New Roman"/>
                <w:color w:val="000000"/>
                <w:sz w:val="17"/>
              </w:rPr>
              <w:t>10.214.365.394 bytes (10,214 GB)</w:t>
            </w:r>
          </w:p>
        </w:tc>
      </w:tr>
      <w:tr>
        <w:tc>
          <w:tcPr>
            <w:tcW w:type="dxa" w:w="3264"/>
            <w:vAlign w:val="center"/>
          </w:tcPr>
          <w:p>
            <w:pPr>
              <w:spacing w:after="0" w:line="264" w:lineRule="auto"/>
              <w:ind w:firstLine="0"/>
            </w:pPr>
            <w:r>
              <w:rPr>
                <w:rFonts w:ascii="Times New Roman" w:hAnsi="Times New Roman" w:eastAsia="Times New Roman"/>
                <w:color w:val="000000"/>
                <w:sz w:val="17"/>
              </w:rPr>
              <w:t>Parquet analítico (sin 2020; todas las columnas)</w:t>
            </w:r>
          </w:p>
        </w:tc>
        <w:tc>
          <w:tcPr>
            <w:tcW w:type="dxa" w:w="3264"/>
            <w:vAlign w:val="center"/>
          </w:tcPr>
          <w:p>
            <w:pPr>
              <w:spacing w:after="0" w:line="264" w:lineRule="auto"/>
              <w:ind w:firstLine="0"/>
            </w:pPr>
            <w:r>
              <w:rPr>
                <w:rFonts w:ascii="Times New Roman" w:hAnsi="Times New Roman" w:eastAsia="Times New Roman"/>
                <w:color w:val="000000"/>
                <w:sz w:val="17"/>
              </w:rPr>
              <w:t>24.171.385</w:t>
            </w:r>
          </w:p>
        </w:tc>
        <w:tc>
          <w:tcPr>
            <w:tcW w:type="dxa" w:w="3264"/>
            <w:vAlign w:val="center"/>
          </w:tcPr>
          <w:p>
            <w:pPr>
              <w:spacing w:after="0" w:line="264" w:lineRule="auto"/>
              <w:ind w:firstLine="0"/>
            </w:pPr>
            <w:r>
              <w:rPr>
                <w:rFonts w:ascii="Times New Roman" w:hAnsi="Times New Roman" w:eastAsia="Times New Roman"/>
                <w:color w:val="000000"/>
                <w:sz w:val="17"/>
              </w:rPr>
              <w:t>678.550.973 bytes (0,679 GB)</w:t>
            </w:r>
          </w:p>
        </w:tc>
      </w:tr>
      <w:tr>
        <w:tc>
          <w:tcPr>
            <w:tcW w:type="dxa" w:w="3264"/>
            <w:vAlign w:val="center"/>
          </w:tcPr>
          <w:p>
            <w:pPr>
              <w:spacing w:after="0" w:line="264" w:lineRule="auto"/>
              <w:ind w:firstLine="0"/>
            </w:pPr>
            <w:r>
              <w:rPr>
                <w:rFonts w:ascii="Times New Roman" w:hAnsi="Times New Roman" w:eastAsia="Times New Roman"/>
                <w:color w:val="000000"/>
                <w:sz w:val="17"/>
              </w:rPr>
              <w:t>Parquet mensuales supervisados (sin 2020)</w:t>
            </w:r>
          </w:p>
        </w:tc>
        <w:tc>
          <w:tcPr>
            <w:tcW w:type="dxa" w:w="3264"/>
            <w:vAlign w:val="center"/>
          </w:tcPr>
          <w:p>
            <w:pPr>
              <w:spacing w:after="0" w:line="264" w:lineRule="auto"/>
              <w:ind w:firstLine="0"/>
            </w:pPr>
            <w:r>
              <w:rPr>
                <w:rFonts w:ascii="Times New Roman" w:hAnsi="Times New Roman" w:eastAsia="Times New Roman"/>
                <w:color w:val="000000"/>
                <w:sz w:val="17"/>
              </w:rPr>
              <w:t>23.634.669</w:t>
            </w:r>
          </w:p>
        </w:tc>
        <w:tc>
          <w:tcPr>
            <w:tcW w:type="dxa" w:w="3264"/>
            <w:vAlign w:val="center"/>
          </w:tcPr>
          <w:p>
            <w:pPr>
              <w:spacing w:line="264" w:lineRule="auto" w:after="0"/>
              <w:ind w:firstLine="0"/>
            </w:pPr>
            <w:r>
              <w:rPr>
                <w:rFonts w:ascii="Times New Roman" w:hAnsi="Times New Roman" w:eastAsia="Times New Roman"/>
                <w:color w:val="000000"/>
                <w:sz w:val="17"/>
              </w:rPr>
              <w:t>89.234.974 bytes (0,089 GB)</w:t>
            </w:r>
          </w:p>
        </w:tc>
      </w:tr>
    </w:tbl>
    <w:p>
      <w:r>
        <w:t>La reducción de tamaño del CSV original al Parquet filtrado es 93,36 % (15,05×). No atribuimos toda la reducción a Parquet: también se excluyó el periodo 2020.</w:t>
      </w:r>
    </w:p>
    <w:p>
      <w:pPr>
        <w:pStyle w:val="Heading2"/>
      </w:pPr>
      <w:r>
        <w:t>2.3 Exploración de las 61 variables</w:t>
      </w:r>
    </w:p>
    <w:p>
      <w:r>
        <w:t>Generamos resultados_eda/eda_variables.csv con una fila por cada variable: clase/tipo, conteos, faltantes, mínimos y máximos cuando aplican, medias, desviaciones estándar y cuartiles aproximados para variables numéricas, además de cardinalidad aproximada. El resumen se calculó sobre la base analítica sin 2020. Los cuartiles y cardinalidades de DuckDB son aproximaciones; deben leerse como descripción exploratoria.</w:t>
      </w:r>
      <w:r>
        <w:t xml:space="preserve"> (DuckDB, s. f.)</w:t>
      </w:r>
    </w:p>
    <w:p>
      <w:r>
        <w:t>Agrupamos variables por su función: fecha y calendario (FlightDate, Year, Month, DayOfWeek); identificadores/categorías (aerolínea, origen, destino, códigos); tiempos programados y reales; retrasos; duración y distancia; estados de cancelación y desvío. No interpretamos códigos identificadores como mediciones continuas.</w:t>
      </w:r>
    </w:p>
    <w:p>
      <w:pPr>
        <w:pStyle w:val="Heading2"/>
      </w:pPr>
      <w:r>
        <w:t>2.4 Calidad y definición de la etiqueta</w:t>
      </w:r>
    </w:p>
    <w:p>
      <w:r>
        <w:t>Para el modelado definimos clase 1 cuando ArrDelay ≥ 15 minutos y clase 0 cuando ArrDelay &lt; 15, usando además ArrDel15 como referencia de la fuente. Excluimos vuelos cancelados, desviados y filas sin resultado conocido. No convertimos resultados faltantes en vuelos puntuales. La base de modelado tiene 23.634.669 vuelos y no presenta horas programadas faltantes entre esos registros.</w:t>
      </w:r>
      <w:r>
        <w:t xml:space="preserve"> (Bureau of Transportation Statistics [BTS], s. f.)</w:t>
      </w:r>
    </w:p>
    <w:p>
      <w:pPr>
        <w:keepNext/>
        <w:spacing w:line="480" w:lineRule="auto" w:after="80"/>
        <w:ind w:firstLine="0"/>
      </w:pPr>
      <w:r>
        <w:rPr>
          <w:i/>
        </w:rPr>
        <w:t>Vuelos con resultado conocido y tasa de retraso</w:t>
      </w:r>
    </w:p>
    <w:p>
      <w:pPr>
        <w:keepNext/>
        <w:spacing w:line="480" w:lineRule="auto" w:after="0"/>
        <w:ind w:firstLine="0"/>
      </w:pPr>
      <w:r>
        <w:rPr>
          <w:b/>
        </w:rPr>
        <w:t>Tabla 3</w:t>
      </w:r>
    </w:p>
    <w:tbl>
      <w:tblPr>
        <w:tblStyle w:val="TableGrid"/>
        <w:tblW w:type="auto" w:w="0"/>
        <w:jc w:val="center"/>
        <w:tblLook w:firstColumn="1" w:firstRow="1" w:lastColumn="0" w:lastRow="0" w:noHBand="0" w:noVBand="1" w:val="04A0"/>
        <w:tblBorders>
          <w:top w:val="single" w:sz="8" w:color="000000"/>
          <w:left w:val="nil"/>
          <w:bottom w:val="single" w:sz="8" w:color="000000"/>
          <w:right w:val="nil"/>
          <w:insideH w:val="single" w:sz="4" w:color="000000"/>
          <w:insideV w:val="nil"/>
        </w:tblBorders>
      </w:tblPr>
      <w:tblGrid>
        <w:gridCol w:w="2448"/>
        <w:gridCol w:w="2448"/>
        <w:gridCol w:w="2448"/>
        <w:gridCol w:w="2448"/>
      </w:tblGrid>
      <w:tr>
        <w:tc>
          <w:tcPr>
            <w:tcW w:type="dxa" w:w="2448"/>
            <w:vAlign w:val="center"/>
          </w:tcPr>
          <w:p>
            <w:pPr>
              <w:spacing w:line="264" w:lineRule="auto" w:after="0"/>
              <w:ind w:firstLine="0"/>
            </w:pPr>
            <w:r>
              <w:rPr>
                <w:rFonts w:ascii="Times New Roman" w:hAnsi="Times New Roman" w:eastAsia="Times New Roman"/>
                <w:b/>
                <w:color w:val="000000"/>
                <w:sz w:val="17"/>
              </w:rPr>
              <w:t>Periodo</w:t>
            </w:r>
          </w:p>
        </w:tc>
        <w:tc>
          <w:tcPr>
            <w:tcW w:type="dxa" w:w="2448"/>
            <w:vAlign w:val="center"/>
          </w:tcPr>
          <w:p>
            <w:pPr>
              <w:spacing w:line="264" w:lineRule="auto" w:after="0"/>
              <w:ind w:firstLine="0"/>
            </w:pPr>
            <w:r>
              <w:rPr>
                <w:rFonts w:ascii="Times New Roman" w:hAnsi="Times New Roman" w:eastAsia="Times New Roman"/>
                <w:b/>
                <w:color w:val="000000"/>
                <w:sz w:val="17"/>
              </w:rPr>
              <w:t>Vuelos con etiqueta</w:t>
            </w:r>
          </w:p>
        </w:tc>
        <w:tc>
          <w:tcPr>
            <w:tcW w:type="dxa" w:w="2448"/>
            <w:vAlign w:val="center"/>
          </w:tcPr>
          <w:p>
            <w:pPr>
              <w:spacing w:line="264" w:lineRule="auto" w:after="0"/>
              <w:ind w:firstLine="0"/>
            </w:pPr>
            <w:r>
              <w:rPr>
                <w:rFonts w:ascii="Times New Roman" w:hAnsi="Times New Roman" w:eastAsia="Times New Roman"/>
                <w:b/>
                <w:color w:val="000000"/>
                <w:sz w:val="17"/>
              </w:rPr>
              <w:t>Retrasos ≥15 min</w:t>
            </w:r>
          </w:p>
        </w:tc>
        <w:tc>
          <w:tcPr>
            <w:tcW w:type="dxa" w:w="2448"/>
            <w:vAlign w:val="center"/>
          </w:tcPr>
          <w:p>
            <w:pPr>
              <w:spacing w:line="264" w:lineRule="auto" w:after="0"/>
              <w:ind w:firstLine="0"/>
            </w:pPr>
            <w:r>
              <w:rPr>
                <w:rFonts w:ascii="Times New Roman" w:hAnsi="Times New Roman" w:eastAsia="Times New Roman"/>
                <w:b/>
                <w:color w:val="000000"/>
                <w:sz w:val="17"/>
              </w:rPr>
              <w:t>Tasa observada</w:t>
            </w:r>
          </w:p>
        </w:tc>
      </w:tr>
      <w:tr>
        <w:tc>
          <w:tcPr>
            <w:tcW w:type="dxa" w:w="2448"/>
            <w:vAlign w:val="center"/>
          </w:tcPr>
          <w:p>
            <w:pPr>
              <w:spacing w:after="0" w:line="264" w:lineRule="auto"/>
              <w:ind w:firstLine="0"/>
            </w:pPr>
            <w:r>
              <w:rPr>
                <w:rFonts w:ascii="Times New Roman" w:hAnsi="Times New Roman" w:eastAsia="Times New Roman"/>
                <w:color w:val="000000"/>
                <w:sz w:val="17"/>
              </w:rPr>
              <w:t>2018</w:t>
            </w:r>
          </w:p>
        </w:tc>
        <w:tc>
          <w:tcPr>
            <w:tcW w:type="dxa" w:w="2448"/>
            <w:vAlign w:val="center"/>
          </w:tcPr>
          <w:p>
            <w:pPr>
              <w:spacing w:after="0" w:line="264" w:lineRule="auto"/>
              <w:ind w:firstLine="0"/>
            </w:pPr>
            <w:r>
              <w:rPr>
                <w:rFonts w:ascii="Times New Roman" w:hAnsi="Times New Roman" w:eastAsia="Times New Roman"/>
                <w:color w:val="000000"/>
                <w:sz w:val="17"/>
              </w:rPr>
              <w:t>5.586.619</w:t>
            </w:r>
          </w:p>
        </w:tc>
        <w:tc>
          <w:tcPr>
            <w:tcW w:type="dxa" w:w="2448"/>
            <w:vAlign w:val="center"/>
          </w:tcPr>
          <w:p>
            <w:pPr>
              <w:spacing w:line="264" w:lineRule="auto" w:after="0"/>
              <w:ind w:firstLine="0"/>
            </w:pPr>
            <w:r>
              <w:rPr>
                <w:rFonts w:ascii="Times New Roman" w:hAnsi="Times New Roman" w:eastAsia="Times New Roman"/>
                <w:color w:val="000000"/>
                <w:sz w:val="17"/>
              </w:rPr>
              <w:t>1.088.342</w:t>
            </w:r>
          </w:p>
        </w:tc>
        <w:tc>
          <w:tcPr>
            <w:tcW w:type="dxa" w:w="2448"/>
            <w:vAlign w:val="center"/>
          </w:tcPr>
          <w:p>
            <w:pPr>
              <w:spacing w:after="0" w:line="264" w:lineRule="auto"/>
              <w:ind w:firstLine="0"/>
            </w:pPr>
            <w:r>
              <w:rPr>
                <w:rFonts w:ascii="Times New Roman" w:hAnsi="Times New Roman" w:eastAsia="Times New Roman"/>
                <w:color w:val="000000"/>
                <w:sz w:val="17"/>
              </w:rPr>
              <w:t>19,48 %</w:t>
            </w:r>
          </w:p>
        </w:tc>
      </w:tr>
      <w:tr>
        <w:tc>
          <w:tcPr>
            <w:tcW w:type="dxa" w:w="2448"/>
            <w:vAlign w:val="center"/>
          </w:tcPr>
          <w:p>
            <w:pPr>
              <w:spacing w:after="0" w:line="264" w:lineRule="auto"/>
              <w:ind w:firstLine="0"/>
            </w:pPr>
            <w:r>
              <w:rPr>
                <w:rFonts w:ascii="Times New Roman" w:hAnsi="Times New Roman" w:eastAsia="Times New Roman"/>
                <w:color w:val="000000"/>
                <w:sz w:val="17"/>
              </w:rPr>
              <w:t>2019</w:t>
            </w:r>
          </w:p>
        </w:tc>
        <w:tc>
          <w:tcPr>
            <w:tcW w:type="dxa" w:w="2448"/>
            <w:vAlign w:val="center"/>
          </w:tcPr>
          <w:p>
            <w:pPr>
              <w:spacing w:after="0" w:line="264" w:lineRule="auto"/>
              <w:ind w:firstLine="0"/>
            </w:pPr>
            <w:r>
              <w:rPr>
                <w:rFonts w:ascii="Times New Roman" w:hAnsi="Times New Roman" w:eastAsia="Times New Roman"/>
                <w:color w:val="000000"/>
                <w:sz w:val="17"/>
              </w:rPr>
              <w:t>7.917.264</w:t>
            </w:r>
          </w:p>
        </w:tc>
        <w:tc>
          <w:tcPr>
            <w:tcW w:type="dxa" w:w="2448"/>
            <w:vAlign w:val="center"/>
          </w:tcPr>
          <w:p>
            <w:pPr>
              <w:spacing w:line="264" w:lineRule="auto" w:after="0"/>
              <w:ind w:firstLine="0"/>
            </w:pPr>
            <w:r>
              <w:rPr>
                <w:rFonts w:ascii="Times New Roman" w:hAnsi="Times New Roman" w:eastAsia="Times New Roman"/>
                <w:color w:val="000000"/>
                <w:sz w:val="17"/>
              </w:rPr>
              <w:t>1.527.455</w:t>
            </w:r>
          </w:p>
        </w:tc>
        <w:tc>
          <w:tcPr>
            <w:tcW w:type="dxa" w:w="2448"/>
            <w:vAlign w:val="center"/>
          </w:tcPr>
          <w:p>
            <w:pPr>
              <w:spacing w:after="0" w:line="264" w:lineRule="auto"/>
              <w:ind w:firstLine="0"/>
            </w:pPr>
            <w:r>
              <w:rPr>
                <w:rFonts w:ascii="Times New Roman" w:hAnsi="Times New Roman" w:eastAsia="Times New Roman"/>
                <w:color w:val="000000"/>
                <w:sz w:val="17"/>
              </w:rPr>
              <w:t>19,29 %</w:t>
            </w:r>
          </w:p>
        </w:tc>
      </w:tr>
      <w:tr>
        <w:tc>
          <w:tcPr>
            <w:tcW w:type="dxa" w:w="2448"/>
            <w:vAlign w:val="center"/>
          </w:tcPr>
          <w:p>
            <w:pPr>
              <w:spacing w:after="0" w:line="264" w:lineRule="auto"/>
              <w:ind w:firstLine="0"/>
            </w:pPr>
            <w:r>
              <w:rPr>
                <w:rFonts w:ascii="Times New Roman" w:hAnsi="Times New Roman" w:eastAsia="Times New Roman"/>
                <w:color w:val="000000"/>
                <w:sz w:val="17"/>
              </w:rPr>
              <w:t>2021</w:t>
            </w:r>
          </w:p>
        </w:tc>
        <w:tc>
          <w:tcPr>
            <w:tcW w:type="dxa" w:w="2448"/>
            <w:vAlign w:val="center"/>
          </w:tcPr>
          <w:p>
            <w:pPr>
              <w:spacing w:after="0" w:line="264" w:lineRule="auto"/>
              <w:ind w:firstLine="0"/>
            </w:pPr>
            <w:r>
              <w:rPr>
                <w:rFonts w:ascii="Times New Roman" w:hAnsi="Times New Roman" w:eastAsia="Times New Roman"/>
                <w:color w:val="000000"/>
                <w:sz w:val="17"/>
              </w:rPr>
              <w:t>6.185.870</w:t>
            </w:r>
          </w:p>
        </w:tc>
        <w:tc>
          <w:tcPr>
            <w:tcW w:type="dxa" w:w="2448"/>
            <w:vAlign w:val="center"/>
          </w:tcPr>
          <w:p>
            <w:pPr>
              <w:spacing w:line="264" w:lineRule="auto" w:after="0"/>
              <w:ind w:firstLine="0"/>
            </w:pPr>
            <w:r>
              <w:rPr>
                <w:rFonts w:ascii="Times New Roman" w:hAnsi="Times New Roman" w:eastAsia="Times New Roman"/>
                <w:color w:val="000000"/>
                <w:sz w:val="17"/>
              </w:rPr>
              <w:t>1.068.059</w:t>
            </w:r>
          </w:p>
        </w:tc>
        <w:tc>
          <w:tcPr>
            <w:tcW w:type="dxa" w:w="2448"/>
            <w:vAlign w:val="center"/>
          </w:tcPr>
          <w:p>
            <w:pPr>
              <w:spacing w:after="0" w:line="264" w:lineRule="auto"/>
              <w:ind w:firstLine="0"/>
            </w:pPr>
            <w:r>
              <w:rPr>
                <w:rFonts w:ascii="Times New Roman" w:hAnsi="Times New Roman" w:eastAsia="Times New Roman"/>
                <w:color w:val="000000"/>
                <w:sz w:val="17"/>
              </w:rPr>
              <w:t>17,27 %</w:t>
            </w:r>
          </w:p>
        </w:tc>
      </w:tr>
      <w:tr>
        <w:tc>
          <w:tcPr>
            <w:tcW w:type="dxa" w:w="2448"/>
            <w:vAlign w:val="center"/>
          </w:tcPr>
          <w:p>
            <w:pPr>
              <w:spacing w:after="0" w:line="264" w:lineRule="auto"/>
              <w:ind w:firstLine="0"/>
            </w:pPr>
            <w:r>
              <w:rPr>
                <w:rFonts w:ascii="Times New Roman" w:hAnsi="Times New Roman" w:eastAsia="Times New Roman"/>
                <w:color w:val="000000"/>
                <w:sz w:val="17"/>
              </w:rPr>
              <w:t>2022 ene–jul</w:t>
            </w:r>
          </w:p>
        </w:tc>
        <w:tc>
          <w:tcPr>
            <w:tcW w:type="dxa" w:w="2448"/>
            <w:vAlign w:val="center"/>
          </w:tcPr>
          <w:p>
            <w:pPr>
              <w:spacing w:after="0" w:line="264" w:lineRule="auto"/>
              <w:ind w:firstLine="0"/>
            </w:pPr>
            <w:r>
              <w:rPr>
                <w:rFonts w:ascii="Times New Roman" w:hAnsi="Times New Roman" w:eastAsia="Times New Roman"/>
                <w:color w:val="000000"/>
                <w:sz w:val="17"/>
              </w:rPr>
              <w:t>3.944.916</w:t>
            </w:r>
          </w:p>
        </w:tc>
        <w:tc>
          <w:tcPr>
            <w:tcW w:type="dxa" w:w="2448"/>
            <w:vAlign w:val="center"/>
          </w:tcPr>
          <w:p>
            <w:pPr>
              <w:spacing w:after="0" w:line="264" w:lineRule="auto"/>
              <w:ind w:firstLine="0"/>
            </w:pPr>
            <w:r>
              <w:rPr>
                <w:rFonts w:ascii="Times New Roman" w:hAnsi="Times New Roman" w:eastAsia="Times New Roman"/>
                <w:color w:val="000000"/>
                <w:sz w:val="17"/>
              </w:rPr>
              <w:t>853.962</w:t>
            </w:r>
          </w:p>
        </w:tc>
        <w:tc>
          <w:tcPr>
            <w:tcW w:type="dxa" w:w="2448"/>
            <w:vAlign w:val="center"/>
          </w:tcPr>
          <w:p>
            <w:pPr>
              <w:spacing w:after="0" w:line="264" w:lineRule="auto"/>
              <w:ind w:firstLine="0"/>
            </w:pPr>
            <w:r>
              <w:rPr>
                <w:rFonts w:ascii="Times New Roman" w:hAnsi="Times New Roman" w:eastAsia="Times New Roman"/>
                <w:color w:val="000000"/>
                <w:sz w:val="17"/>
              </w:rPr>
              <w:t>21,65 %</w:t>
            </w:r>
          </w:p>
        </w:tc>
      </w:tr>
      <w:tr>
        <w:tc>
          <w:tcPr>
            <w:tcW w:type="dxa" w:w="2448"/>
            <w:vAlign w:val="center"/>
          </w:tcPr>
          <w:p>
            <w:pPr>
              <w:spacing w:after="0" w:line="264" w:lineRule="auto"/>
              <w:ind w:firstLine="0"/>
            </w:pPr>
            <w:r>
              <w:rPr>
                <w:rFonts w:ascii="Times New Roman" w:hAnsi="Times New Roman" w:eastAsia="Times New Roman"/>
                <w:color w:val="000000"/>
                <w:sz w:val="17"/>
              </w:rPr>
              <w:t>Total sin 2020</w:t>
            </w:r>
          </w:p>
        </w:tc>
        <w:tc>
          <w:tcPr>
            <w:tcW w:type="dxa" w:w="2448"/>
            <w:vAlign w:val="center"/>
          </w:tcPr>
          <w:p>
            <w:pPr>
              <w:spacing w:after="0" w:line="264" w:lineRule="auto"/>
              <w:ind w:firstLine="0"/>
            </w:pPr>
            <w:r>
              <w:rPr>
                <w:rFonts w:ascii="Times New Roman" w:hAnsi="Times New Roman" w:eastAsia="Times New Roman"/>
                <w:color w:val="000000"/>
                <w:sz w:val="17"/>
              </w:rPr>
              <w:t>23.634.669</w:t>
            </w:r>
          </w:p>
        </w:tc>
        <w:tc>
          <w:tcPr>
            <w:tcW w:type="dxa" w:w="2448"/>
            <w:vAlign w:val="center"/>
          </w:tcPr>
          <w:p>
            <w:pPr>
              <w:spacing w:after="0" w:line="264" w:lineRule="auto"/>
              <w:ind w:firstLine="0"/>
            </w:pPr>
            <w:r>
              <w:rPr>
                <w:rFonts w:ascii="Times New Roman" w:hAnsi="Times New Roman" w:eastAsia="Times New Roman"/>
                <w:color w:val="000000"/>
                <w:sz w:val="17"/>
              </w:rPr>
              <w:t>4.537.818</w:t>
            </w:r>
          </w:p>
        </w:tc>
        <w:tc>
          <w:tcPr>
            <w:tcW w:type="dxa" w:w="2448"/>
            <w:vAlign w:val="center"/>
          </w:tcPr>
          <w:p>
            <w:pPr>
              <w:spacing w:after="0" w:line="264" w:lineRule="auto"/>
              <w:ind w:firstLine="0"/>
            </w:pPr>
            <w:r>
              <w:rPr>
                <w:rFonts w:ascii="Times New Roman" w:hAnsi="Times New Roman" w:eastAsia="Times New Roman"/>
                <w:color w:val="000000"/>
                <w:sz w:val="17"/>
              </w:rPr>
              <w:t>19,20 %</w:t>
            </w:r>
          </w:p>
        </w:tc>
      </w:tr>
    </w:tbl>
    <w:p>
      <w:r>
        <w:t>Las cifras describen periodos con coberturas distintas; 2022 contiene solo enero a julio. Las tasas describen vuelos con resultado conocido, no todos los vuelos programados, incluidos cancelados.</w:t>
      </w:r>
    </w:p>
    <w:p>
      <w:pPr>
        <w:pStyle w:val="Heading2"/>
      </w:pPr>
      <w:r>
        <w:t>2.5 Patrones y asociación</w:t>
      </w:r>
    </w:p>
    <w:p>
      <w:r>
        <w:t>Los resultados recalculados por origen, día y hora se encuentran en resultados_eda/. Para correlación usamos una muestra común de 100.000 observaciones completas y las mismas variables: Pearson sobre valores originales y Spearman sobre rangos. Entre DepDelay y ArrDelay obtuvimos Pearson r=0,9669 y Spearman ρ=0,6584. Son asociaciones descriptivas, no evidencia causal; Pearson mide asociación lineal y es sensible a valores extremos, mientras Spearman evalúa asociación monotónica basada en rangos.</w:t>
      </w:r>
    </w:p>
    <w:p>
      <w:r>
        <w:t>El análisis preliminar señala contexto adicional necesario: disponibilidad real de predictores antes del horizonte, reglas y procedimientos de la aerolínea, cambios de operación por aeropuerto, definición local de retraso y datos colombianos representativos. La fuente no permite validar estas condiciones.</w:t>
      </w:r>
    </w:p>
    <w:p>
      <w:pPr>
        <w:pStyle w:val="Heading1"/>
      </w:pPr>
      <w:r>
        <w:t>3. Preparación y evaluación de modelos</w:t>
      </w:r>
    </w:p>
    <w:p>
      <w:pPr>
        <w:pStyle w:val="Heading2"/>
      </w:pPr>
      <w:r>
        <w:t>3.1 Predictores y fuga de información</w:t>
      </w:r>
    </w:p>
    <w:p>
      <w:r>
        <w:t>Usamos aerolínea operadora, origen, destino, día de semana, hora de salida programada, distancia y duración programada. Excluimos retrasos observados, horas reales, tiempos de rodaje y variables que solo se conocen durante o después de la operación para reducir fuga de información. La disponibilidad de cada variable a T−24 h no está probada por la fuente.</w:t>
      </w:r>
    </w:p>
    <w:p>
      <w:pPr>
        <w:pStyle w:val="Heading2"/>
      </w:pPr>
      <w:r>
        <w:t>3.2 Separación temporal y preprocesamiento</w:t>
      </w:r>
    </w:p>
    <w:p>
      <w:r>
        <w:t>Entrenamos los modelos de comparación con vuelos de enero a septiembre de 2021 y validamos en octubre a diciembre de 2021. Para comparar algoritmos mantuvimos la misma muestra de entrenamiento de 400.000 filas y los mismos predictores: regresión logística con codificación one-hot y estandarización numérica; boosting con codificación ordinal y sin escalamiento, apropiado para árboles. El candidato Boosting 1M usa una muestra de entrenamiento mayor y se presenta por separado, no como comparación pura de algoritmo.</w:t>
      </w:r>
    </w:p>
    <w:p>
      <w:r>
        <w:t>Evaluamos además enero–julio de 2022. Este periodo se consultó durante el desarrollo; por ello es una evaluación retrospectiva adicional y no una prueba final independiente. No usamos 2020 en entrenamiento ni evaluación.</w:t>
      </w:r>
    </w:p>
    <w:p>
      <w:pPr>
        <w:pStyle w:val="Heading2"/>
      </w:pPr>
      <w:r>
        <w:t>3.3 Resultados de modelos</w:t>
      </w:r>
    </w:p>
    <w:p>
      <w:pPr>
        <w:keepNext/>
        <w:spacing w:line="480" w:lineRule="auto" w:after="80"/>
        <w:ind w:firstLine="0"/>
      </w:pPr>
      <w:r>
        <w:rPr>
          <w:i/>
        </w:rPr>
        <w:t>Desempeño retrospectivo de los modelos</w:t>
      </w:r>
    </w:p>
    <w:p>
      <w:pPr>
        <w:keepNext/>
        <w:spacing w:line="480" w:lineRule="auto" w:after="0"/>
        <w:ind w:firstLine="0"/>
      </w:pPr>
      <w:r>
        <w:rPr>
          <w:b/>
        </w:rPr>
        <w:t>Tabla 4</w:t>
      </w:r>
    </w:p>
    <w:tbl>
      <w:tblPr>
        <w:tblStyle w:val="TableGrid"/>
        <w:tblW w:type="auto" w:w="0"/>
        <w:jc w:val="center"/>
        <w:tblLook w:firstColumn="1" w:firstRow="1" w:lastColumn="0" w:lastRow="0" w:noHBand="0" w:noVBand="1" w:val="04A0"/>
        <w:tblBorders>
          <w:top w:val="single" w:sz="8" w:color="000000"/>
          <w:left w:val="nil"/>
          <w:bottom w:val="single" w:sz="8" w:color="000000"/>
          <w:right w:val="nil"/>
          <w:insideH w:val="single" w:sz="4" w:color="000000"/>
          <w:insideV w:val="nil"/>
        </w:tblBorders>
      </w:tblPr>
      <w:tblGrid>
        <w:gridCol w:w="1399"/>
        <w:gridCol w:w="1399"/>
        <w:gridCol w:w="1399"/>
        <w:gridCol w:w="1399"/>
        <w:gridCol w:w="1399"/>
        <w:gridCol w:w="1399"/>
        <w:gridCol w:w="1399"/>
      </w:tblGrid>
      <w:tr>
        <w:tc>
          <w:tcPr>
            <w:tcW w:type="dxa" w:w="1399"/>
            <w:vAlign w:val="center"/>
          </w:tcPr>
          <w:p>
            <w:pPr>
              <w:spacing w:line="264" w:lineRule="auto" w:after="0"/>
              <w:ind w:firstLine="0"/>
            </w:pPr>
            <w:r>
              <w:rPr>
                <w:rFonts w:ascii="Times New Roman" w:hAnsi="Times New Roman" w:eastAsia="Times New Roman"/>
                <w:b/>
                <w:color w:val="000000"/>
                <w:sz w:val="17"/>
              </w:rPr>
              <w:t>Modelo</w:t>
            </w:r>
          </w:p>
        </w:tc>
        <w:tc>
          <w:tcPr>
            <w:tcW w:type="dxa" w:w="1399"/>
            <w:vAlign w:val="center"/>
          </w:tcPr>
          <w:p>
            <w:pPr>
              <w:spacing w:line="264" w:lineRule="auto" w:after="0"/>
              <w:ind w:firstLine="0"/>
            </w:pPr>
            <w:r>
              <w:rPr>
                <w:rFonts w:ascii="Times New Roman" w:hAnsi="Times New Roman" w:eastAsia="Times New Roman"/>
                <w:b/>
                <w:color w:val="000000"/>
                <w:sz w:val="17"/>
              </w:rPr>
              <w:t>Periodo</w:t>
            </w:r>
          </w:p>
        </w:tc>
        <w:tc>
          <w:tcPr>
            <w:tcW w:type="dxa" w:w="1399"/>
            <w:vAlign w:val="center"/>
          </w:tcPr>
          <w:p>
            <w:pPr>
              <w:spacing w:line="264" w:lineRule="auto" w:after="0"/>
              <w:ind w:firstLine="0"/>
            </w:pPr>
            <w:r>
              <w:rPr>
                <w:rFonts w:ascii="Times New Roman" w:hAnsi="Times New Roman" w:eastAsia="Times New Roman"/>
                <w:b/>
                <w:color w:val="000000"/>
                <w:sz w:val="17"/>
              </w:rPr>
              <w:t>ROC AUC</w:t>
            </w:r>
          </w:p>
        </w:tc>
        <w:tc>
          <w:tcPr>
            <w:tcW w:type="dxa" w:w="1399"/>
            <w:vAlign w:val="center"/>
          </w:tcPr>
          <w:p>
            <w:pPr>
              <w:spacing w:line="264" w:lineRule="auto" w:after="0"/>
              <w:ind w:firstLine="0"/>
            </w:pPr>
            <w:r>
              <w:rPr>
                <w:rFonts w:ascii="Times New Roman" w:hAnsi="Times New Roman" w:eastAsia="Times New Roman"/>
                <w:b/>
                <w:color w:val="000000"/>
                <w:sz w:val="17"/>
              </w:rPr>
              <w:t>AP</w:t>
            </w:r>
          </w:p>
        </w:tc>
        <w:tc>
          <w:tcPr>
            <w:tcW w:type="dxa" w:w="1399"/>
            <w:vAlign w:val="center"/>
          </w:tcPr>
          <w:p>
            <w:pPr>
              <w:spacing w:line="264" w:lineRule="auto" w:after="0"/>
              <w:ind w:firstLine="0"/>
            </w:pPr>
            <w:r>
              <w:rPr>
                <w:rFonts w:ascii="Times New Roman" w:hAnsi="Times New Roman" w:eastAsia="Times New Roman"/>
                <w:b/>
                <w:color w:val="000000"/>
                <w:sz w:val="17"/>
              </w:rPr>
              <w:t>Brier</w:t>
            </w:r>
          </w:p>
        </w:tc>
        <w:tc>
          <w:tcPr>
            <w:tcW w:type="dxa" w:w="1399"/>
            <w:vAlign w:val="center"/>
          </w:tcPr>
          <w:p>
            <w:pPr>
              <w:spacing w:line="264" w:lineRule="auto" w:after="0"/>
              <w:ind w:firstLine="0"/>
            </w:pPr>
            <w:r>
              <w:rPr>
                <w:rFonts w:ascii="Times New Roman" w:hAnsi="Times New Roman" w:eastAsia="Times New Roman"/>
                <w:b/>
                <w:color w:val="000000"/>
                <w:sz w:val="17"/>
              </w:rPr>
              <w:t>Precisión top 10 %</w:t>
            </w:r>
          </w:p>
        </w:tc>
        <w:tc>
          <w:tcPr>
            <w:tcW w:type="dxa" w:w="1399"/>
            <w:vAlign w:val="center"/>
          </w:tcPr>
          <w:p>
            <w:pPr>
              <w:spacing w:line="264" w:lineRule="auto" w:after="0"/>
              <w:ind w:firstLine="0"/>
            </w:pPr>
            <w:r>
              <w:rPr>
                <w:rFonts w:ascii="Times New Roman" w:hAnsi="Times New Roman" w:eastAsia="Times New Roman"/>
                <w:b/>
                <w:color w:val="000000"/>
                <w:sz w:val="17"/>
              </w:rPr>
              <w:t>Recall top 10 %</w:t>
            </w:r>
          </w:p>
        </w:tc>
      </w:tr>
      <w:tr>
        <w:tc>
          <w:tcPr>
            <w:tcW w:type="dxa" w:w="1399"/>
            <w:vAlign w:val="center"/>
          </w:tcPr>
          <w:p>
            <w:pPr>
              <w:spacing w:after="0" w:line="264" w:lineRule="auto"/>
              <w:ind w:firstLine="0"/>
            </w:pPr>
            <w:r>
              <w:rPr>
                <w:rFonts w:ascii="Times New Roman" w:hAnsi="Times New Roman" w:eastAsia="Times New Roman"/>
                <w:color w:val="000000"/>
                <w:sz w:val="17"/>
              </w:rPr>
              <w:t>Logística 400k</w:t>
            </w:r>
          </w:p>
        </w:tc>
        <w:tc>
          <w:tcPr>
            <w:tcW w:type="dxa" w:w="1399"/>
            <w:vAlign w:val="center"/>
          </w:tcPr>
          <w:p>
            <w:pPr>
              <w:spacing w:after="0" w:line="264" w:lineRule="auto"/>
              <w:ind w:firstLine="0"/>
            </w:pPr>
            <w:r>
              <w:rPr>
                <w:rFonts w:ascii="Times New Roman" w:hAnsi="Times New Roman" w:eastAsia="Times New Roman"/>
                <w:color w:val="000000"/>
                <w:sz w:val="17"/>
              </w:rPr>
              <w:t>Q4 2021</w:t>
            </w:r>
          </w:p>
        </w:tc>
        <w:tc>
          <w:tcPr>
            <w:tcW w:type="dxa" w:w="1399"/>
            <w:vAlign w:val="center"/>
          </w:tcPr>
          <w:p>
            <w:pPr>
              <w:spacing w:after="0" w:line="264" w:lineRule="auto"/>
              <w:ind w:firstLine="0"/>
            </w:pPr>
            <w:r>
              <w:rPr>
                <w:rFonts w:ascii="Times New Roman" w:hAnsi="Times New Roman" w:eastAsia="Times New Roman"/>
                <w:color w:val="000000"/>
                <w:sz w:val="17"/>
              </w:rPr>
              <w:t>0,6304</w:t>
            </w:r>
          </w:p>
        </w:tc>
        <w:tc>
          <w:tcPr>
            <w:tcW w:type="dxa" w:w="1399"/>
            <w:vAlign w:val="center"/>
          </w:tcPr>
          <w:p>
            <w:pPr>
              <w:spacing w:after="0" w:line="264" w:lineRule="auto"/>
              <w:ind w:firstLine="0"/>
            </w:pPr>
            <w:r>
              <w:rPr>
                <w:rFonts w:ascii="Times New Roman" w:hAnsi="Times New Roman" w:eastAsia="Times New Roman"/>
                <w:color w:val="000000"/>
                <w:sz w:val="17"/>
              </w:rPr>
              <w:t>0,2767</w:t>
            </w:r>
          </w:p>
        </w:tc>
        <w:tc>
          <w:tcPr>
            <w:tcW w:type="dxa" w:w="1399"/>
            <w:vAlign w:val="center"/>
          </w:tcPr>
          <w:p>
            <w:pPr>
              <w:spacing w:after="0" w:line="264" w:lineRule="auto"/>
              <w:ind w:firstLine="0"/>
            </w:pPr>
            <w:r>
              <w:rPr>
                <w:rFonts w:ascii="Times New Roman" w:hAnsi="Times New Roman" w:eastAsia="Times New Roman"/>
                <w:color w:val="000000"/>
                <w:sz w:val="17"/>
              </w:rPr>
              <w:t>0,1453</w:t>
            </w:r>
          </w:p>
        </w:tc>
        <w:tc>
          <w:tcPr>
            <w:tcW w:type="dxa" w:w="1399"/>
            <w:vAlign w:val="center"/>
          </w:tcPr>
          <w:p>
            <w:pPr>
              <w:spacing w:after="0" w:line="264" w:lineRule="auto"/>
              <w:ind w:firstLine="0"/>
            </w:pPr>
            <w:r>
              <w:rPr>
                <w:rFonts w:ascii="Times New Roman" w:hAnsi="Times New Roman" w:eastAsia="Times New Roman"/>
                <w:color w:val="000000"/>
                <w:sz w:val="17"/>
              </w:rPr>
              <w:t>33,99 %</w:t>
            </w:r>
          </w:p>
        </w:tc>
        <w:tc>
          <w:tcPr>
            <w:tcW w:type="dxa" w:w="1399"/>
            <w:vAlign w:val="center"/>
          </w:tcPr>
          <w:p>
            <w:pPr>
              <w:spacing w:after="0" w:line="264" w:lineRule="auto"/>
              <w:ind w:firstLine="0"/>
            </w:pPr>
            <w:r>
              <w:rPr>
                <w:rFonts w:ascii="Times New Roman" w:hAnsi="Times New Roman" w:eastAsia="Times New Roman"/>
                <w:color w:val="000000"/>
                <w:sz w:val="17"/>
              </w:rPr>
              <w:t>18,49 %</w:t>
            </w:r>
          </w:p>
        </w:tc>
      </w:tr>
      <w:tr>
        <w:tc>
          <w:tcPr>
            <w:tcW w:type="dxa" w:w="1399"/>
            <w:vAlign w:val="center"/>
          </w:tcPr>
          <w:p>
            <w:pPr>
              <w:spacing w:after="0" w:line="264" w:lineRule="auto"/>
              <w:ind w:firstLine="0"/>
            </w:pPr>
            <w:r>
              <w:rPr>
                <w:rFonts w:ascii="Times New Roman" w:hAnsi="Times New Roman" w:eastAsia="Times New Roman"/>
                <w:color w:val="000000"/>
                <w:sz w:val="17"/>
              </w:rPr>
              <w:t>Boosting 400k</w:t>
            </w:r>
          </w:p>
        </w:tc>
        <w:tc>
          <w:tcPr>
            <w:tcW w:type="dxa" w:w="1399"/>
            <w:vAlign w:val="center"/>
          </w:tcPr>
          <w:p>
            <w:pPr>
              <w:spacing w:after="0" w:line="264" w:lineRule="auto"/>
              <w:ind w:firstLine="0"/>
            </w:pPr>
            <w:r>
              <w:rPr>
                <w:rFonts w:ascii="Times New Roman" w:hAnsi="Times New Roman" w:eastAsia="Times New Roman"/>
                <w:color w:val="000000"/>
                <w:sz w:val="17"/>
              </w:rPr>
              <w:t>Q4 2021</w:t>
            </w:r>
          </w:p>
        </w:tc>
        <w:tc>
          <w:tcPr>
            <w:tcW w:type="dxa" w:w="1399"/>
            <w:vAlign w:val="center"/>
          </w:tcPr>
          <w:p>
            <w:pPr>
              <w:spacing w:after="0" w:line="264" w:lineRule="auto"/>
              <w:ind w:firstLine="0"/>
            </w:pPr>
            <w:r>
              <w:rPr>
                <w:rFonts w:ascii="Times New Roman" w:hAnsi="Times New Roman" w:eastAsia="Times New Roman"/>
                <w:color w:val="000000"/>
                <w:sz w:val="17"/>
              </w:rPr>
              <w:t>0,6343</w:t>
            </w:r>
          </w:p>
        </w:tc>
        <w:tc>
          <w:tcPr>
            <w:tcW w:type="dxa" w:w="1399"/>
            <w:vAlign w:val="center"/>
          </w:tcPr>
          <w:p>
            <w:pPr>
              <w:spacing w:after="0" w:line="264" w:lineRule="auto"/>
              <w:ind w:firstLine="0"/>
            </w:pPr>
            <w:r>
              <w:rPr>
                <w:rFonts w:ascii="Times New Roman" w:hAnsi="Times New Roman" w:eastAsia="Times New Roman"/>
                <w:color w:val="000000"/>
                <w:sz w:val="17"/>
              </w:rPr>
              <w:t>0,2836</w:t>
            </w:r>
          </w:p>
        </w:tc>
        <w:tc>
          <w:tcPr>
            <w:tcW w:type="dxa" w:w="1399"/>
            <w:vAlign w:val="center"/>
          </w:tcPr>
          <w:p>
            <w:pPr>
              <w:spacing w:after="0" w:line="264" w:lineRule="auto"/>
              <w:ind w:firstLine="0"/>
            </w:pPr>
            <w:r>
              <w:rPr>
                <w:rFonts w:ascii="Times New Roman" w:hAnsi="Times New Roman" w:eastAsia="Times New Roman"/>
                <w:color w:val="000000"/>
                <w:sz w:val="17"/>
              </w:rPr>
              <w:t>0,1449</w:t>
            </w:r>
          </w:p>
        </w:tc>
        <w:tc>
          <w:tcPr>
            <w:tcW w:type="dxa" w:w="1399"/>
            <w:vAlign w:val="center"/>
          </w:tcPr>
          <w:p>
            <w:pPr>
              <w:spacing w:after="0" w:line="264" w:lineRule="auto"/>
              <w:ind w:firstLine="0"/>
            </w:pPr>
            <w:r>
              <w:rPr>
                <w:rFonts w:ascii="Times New Roman" w:hAnsi="Times New Roman" w:eastAsia="Times New Roman"/>
                <w:color w:val="000000"/>
                <w:sz w:val="17"/>
              </w:rPr>
              <w:t>34,76 %</w:t>
            </w:r>
          </w:p>
        </w:tc>
        <w:tc>
          <w:tcPr>
            <w:tcW w:type="dxa" w:w="1399"/>
            <w:vAlign w:val="center"/>
          </w:tcPr>
          <w:p>
            <w:pPr>
              <w:spacing w:after="0" w:line="264" w:lineRule="auto"/>
              <w:ind w:firstLine="0"/>
            </w:pPr>
            <w:r>
              <w:rPr>
                <w:rFonts w:ascii="Times New Roman" w:hAnsi="Times New Roman" w:eastAsia="Times New Roman"/>
                <w:color w:val="000000"/>
                <w:sz w:val="17"/>
              </w:rPr>
              <w:t>18,92 %</w:t>
            </w:r>
          </w:p>
        </w:tc>
      </w:tr>
      <w:tr>
        <w:tc>
          <w:tcPr>
            <w:tcW w:type="dxa" w:w="1399"/>
            <w:vAlign w:val="center"/>
          </w:tcPr>
          <w:p>
            <w:pPr>
              <w:spacing w:after="0" w:line="264" w:lineRule="auto"/>
              <w:ind w:firstLine="0"/>
            </w:pPr>
            <w:r>
              <w:rPr>
                <w:rFonts w:ascii="Times New Roman" w:hAnsi="Times New Roman" w:eastAsia="Times New Roman"/>
                <w:color w:val="000000"/>
                <w:sz w:val="17"/>
              </w:rPr>
              <w:t>Boosting 1M</w:t>
            </w:r>
          </w:p>
        </w:tc>
        <w:tc>
          <w:tcPr>
            <w:tcW w:type="dxa" w:w="1399"/>
            <w:vAlign w:val="center"/>
          </w:tcPr>
          <w:p>
            <w:pPr>
              <w:spacing w:after="0" w:line="264" w:lineRule="auto"/>
              <w:ind w:firstLine="0"/>
            </w:pPr>
            <w:r>
              <w:rPr>
                <w:rFonts w:ascii="Times New Roman" w:hAnsi="Times New Roman" w:eastAsia="Times New Roman"/>
                <w:color w:val="000000"/>
                <w:sz w:val="17"/>
              </w:rPr>
              <w:t>Q4 2021</w:t>
            </w:r>
          </w:p>
        </w:tc>
        <w:tc>
          <w:tcPr>
            <w:tcW w:type="dxa" w:w="1399"/>
            <w:vAlign w:val="center"/>
          </w:tcPr>
          <w:p>
            <w:pPr>
              <w:spacing w:after="0" w:line="264" w:lineRule="auto"/>
              <w:ind w:firstLine="0"/>
            </w:pPr>
            <w:r>
              <w:rPr>
                <w:rFonts w:ascii="Times New Roman" w:hAnsi="Times New Roman" w:eastAsia="Times New Roman"/>
                <w:color w:val="000000"/>
                <w:sz w:val="17"/>
              </w:rPr>
              <w:t>0,6387</w:t>
            </w:r>
          </w:p>
        </w:tc>
        <w:tc>
          <w:tcPr>
            <w:tcW w:type="dxa" w:w="1399"/>
            <w:vAlign w:val="center"/>
          </w:tcPr>
          <w:p>
            <w:pPr>
              <w:spacing w:after="0" w:line="264" w:lineRule="auto"/>
              <w:ind w:firstLine="0"/>
            </w:pPr>
            <w:r>
              <w:rPr>
                <w:rFonts w:ascii="Times New Roman" w:hAnsi="Times New Roman" w:eastAsia="Times New Roman"/>
                <w:color w:val="000000"/>
                <w:sz w:val="17"/>
              </w:rPr>
              <w:t>0,2884</w:t>
            </w:r>
          </w:p>
        </w:tc>
        <w:tc>
          <w:tcPr>
            <w:tcW w:type="dxa" w:w="1399"/>
            <w:vAlign w:val="center"/>
          </w:tcPr>
          <w:p>
            <w:pPr>
              <w:spacing w:after="0" w:line="264" w:lineRule="auto"/>
              <w:ind w:firstLine="0"/>
            </w:pPr>
            <w:r>
              <w:rPr>
                <w:rFonts w:ascii="Times New Roman" w:hAnsi="Times New Roman" w:eastAsia="Times New Roman"/>
                <w:color w:val="000000"/>
                <w:sz w:val="17"/>
              </w:rPr>
              <w:t>0,1443</w:t>
            </w:r>
          </w:p>
        </w:tc>
        <w:tc>
          <w:tcPr>
            <w:tcW w:type="dxa" w:w="1399"/>
            <w:vAlign w:val="center"/>
          </w:tcPr>
          <w:p>
            <w:pPr>
              <w:spacing w:after="0" w:line="264" w:lineRule="auto"/>
              <w:ind w:firstLine="0"/>
            </w:pPr>
            <w:r>
              <w:rPr>
                <w:rFonts w:ascii="Times New Roman" w:hAnsi="Times New Roman" w:eastAsia="Times New Roman"/>
                <w:color w:val="000000"/>
                <w:sz w:val="17"/>
              </w:rPr>
              <w:t>35,78 %</w:t>
            </w:r>
          </w:p>
        </w:tc>
        <w:tc>
          <w:tcPr>
            <w:tcW w:type="dxa" w:w="1399"/>
            <w:vAlign w:val="center"/>
          </w:tcPr>
          <w:p>
            <w:pPr>
              <w:spacing w:after="0" w:line="264" w:lineRule="auto"/>
              <w:ind w:firstLine="0"/>
            </w:pPr>
            <w:r>
              <w:rPr>
                <w:rFonts w:ascii="Times New Roman" w:hAnsi="Times New Roman" w:eastAsia="Times New Roman"/>
                <w:color w:val="000000"/>
                <w:sz w:val="17"/>
              </w:rPr>
              <w:t>19,47 %</w:t>
            </w:r>
          </w:p>
        </w:tc>
      </w:tr>
      <w:tr>
        <w:tc>
          <w:tcPr>
            <w:tcW w:type="dxa" w:w="1399"/>
            <w:vAlign w:val="center"/>
          </w:tcPr>
          <w:p>
            <w:pPr>
              <w:spacing w:after="0" w:line="264" w:lineRule="auto"/>
              <w:ind w:firstLine="0"/>
            </w:pPr>
            <w:r>
              <w:rPr>
                <w:rFonts w:ascii="Times New Roman" w:hAnsi="Times New Roman" w:eastAsia="Times New Roman"/>
                <w:color w:val="000000"/>
                <w:sz w:val="17"/>
              </w:rPr>
              <w:t>Logística 400k</w:t>
            </w:r>
          </w:p>
        </w:tc>
        <w:tc>
          <w:tcPr>
            <w:tcW w:type="dxa" w:w="1399"/>
            <w:vAlign w:val="center"/>
          </w:tcPr>
          <w:p>
            <w:pPr>
              <w:spacing w:after="0" w:line="264" w:lineRule="auto"/>
              <w:ind w:firstLine="0"/>
            </w:pPr>
            <w:r>
              <w:rPr>
                <w:rFonts w:ascii="Times New Roman" w:hAnsi="Times New Roman" w:eastAsia="Times New Roman"/>
                <w:color w:val="000000"/>
                <w:sz w:val="17"/>
              </w:rPr>
              <w:t>2022 ene–jul</w:t>
            </w:r>
          </w:p>
        </w:tc>
        <w:tc>
          <w:tcPr>
            <w:tcW w:type="dxa" w:w="1399"/>
            <w:vAlign w:val="center"/>
          </w:tcPr>
          <w:p>
            <w:pPr>
              <w:spacing w:after="0" w:line="264" w:lineRule="auto"/>
              <w:ind w:firstLine="0"/>
            </w:pPr>
            <w:r>
              <w:rPr>
                <w:rFonts w:ascii="Times New Roman" w:hAnsi="Times New Roman" w:eastAsia="Times New Roman"/>
                <w:color w:val="000000"/>
                <w:sz w:val="17"/>
              </w:rPr>
              <w:t>0,6384</w:t>
            </w:r>
          </w:p>
        </w:tc>
        <w:tc>
          <w:tcPr>
            <w:tcW w:type="dxa" w:w="1399"/>
            <w:vAlign w:val="center"/>
          </w:tcPr>
          <w:p>
            <w:pPr>
              <w:spacing w:after="0" w:line="264" w:lineRule="auto"/>
              <w:ind w:firstLine="0"/>
            </w:pPr>
            <w:r>
              <w:rPr>
                <w:rFonts w:ascii="Times New Roman" w:hAnsi="Times New Roman" w:eastAsia="Times New Roman"/>
                <w:color w:val="000000"/>
                <w:sz w:val="17"/>
              </w:rPr>
              <w:t>0,3241</w:t>
            </w:r>
          </w:p>
        </w:tc>
        <w:tc>
          <w:tcPr>
            <w:tcW w:type="dxa" w:w="1399"/>
            <w:vAlign w:val="center"/>
          </w:tcPr>
          <w:p>
            <w:pPr>
              <w:spacing w:after="0" w:line="264" w:lineRule="auto"/>
              <w:ind w:firstLine="0"/>
            </w:pPr>
            <w:r>
              <w:rPr>
                <w:rFonts w:ascii="Times New Roman" w:hAnsi="Times New Roman" w:eastAsia="Times New Roman"/>
                <w:color w:val="000000"/>
                <w:sz w:val="17"/>
              </w:rPr>
              <w:t>0,1650</w:t>
            </w:r>
          </w:p>
        </w:tc>
        <w:tc>
          <w:tcPr>
            <w:tcW w:type="dxa" w:w="1399"/>
            <w:vAlign w:val="center"/>
          </w:tcPr>
          <w:p>
            <w:pPr>
              <w:spacing w:after="0" w:line="264" w:lineRule="auto"/>
              <w:ind w:firstLine="0"/>
            </w:pPr>
            <w:r>
              <w:rPr>
                <w:rFonts w:ascii="Times New Roman" w:hAnsi="Times New Roman" w:eastAsia="Times New Roman"/>
                <w:color w:val="000000"/>
                <w:sz w:val="17"/>
              </w:rPr>
              <w:t>39,69 %</w:t>
            </w:r>
          </w:p>
        </w:tc>
        <w:tc>
          <w:tcPr>
            <w:tcW w:type="dxa" w:w="1399"/>
            <w:vAlign w:val="center"/>
          </w:tcPr>
          <w:p>
            <w:pPr>
              <w:spacing w:after="0" w:line="264" w:lineRule="auto"/>
              <w:ind w:firstLine="0"/>
            </w:pPr>
            <w:r>
              <w:rPr>
                <w:rFonts w:ascii="Times New Roman" w:hAnsi="Times New Roman" w:eastAsia="Times New Roman"/>
                <w:color w:val="000000"/>
                <w:sz w:val="17"/>
              </w:rPr>
              <w:t>18,34 %</w:t>
            </w:r>
          </w:p>
        </w:tc>
      </w:tr>
      <w:tr>
        <w:tc>
          <w:tcPr>
            <w:tcW w:type="dxa" w:w="1399"/>
            <w:vAlign w:val="center"/>
          </w:tcPr>
          <w:p>
            <w:pPr>
              <w:spacing w:after="0" w:line="264" w:lineRule="auto"/>
              <w:ind w:firstLine="0"/>
            </w:pPr>
            <w:r>
              <w:rPr>
                <w:rFonts w:ascii="Times New Roman" w:hAnsi="Times New Roman" w:eastAsia="Times New Roman"/>
                <w:color w:val="000000"/>
                <w:sz w:val="17"/>
              </w:rPr>
              <w:t>Boosting 400k</w:t>
            </w:r>
          </w:p>
        </w:tc>
        <w:tc>
          <w:tcPr>
            <w:tcW w:type="dxa" w:w="1399"/>
            <w:vAlign w:val="center"/>
          </w:tcPr>
          <w:p>
            <w:pPr>
              <w:spacing w:after="0" w:line="264" w:lineRule="auto"/>
              <w:ind w:firstLine="0"/>
            </w:pPr>
            <w:r>
              <w:rPr>
                <w:rFonts w:ascii="Times New Roman" w:hAnsi="Times New Roman" w:eastAsia="Times New Roman"/>
                <w:color w:val="000000"/>
                <w:sz w:val="17"/>
              </w:rPr>
              <w:t>2022 ene–jul</w:t>
            </w:r>
          </w:p>
        </w:tc>
        <w:tc>
          <w:tcPr>
            <w:tcW w:type="dxa" w:w="1399"/>
            <w:vAlign w:val="center"/>
          </w:tcPr>
          <w:p>
            <w:pPr>
              <w:spacing w:after="0" w:line="264" w:lineRule="auto"/>
              <w:ind w:firstLine="0"/>
            </w:pPr>
            <w:r>
              <w:rPr>
                <w:rFonts w:ascii="Times New Roman" w:hAnsi="Times New Roman" w:eastAsia="Times New Roman"/>
                <w:color w:val="000000"/>
                <w:sz w:val="17"/>
              </w:rPr>
              <w:t>0,6411</w:t>
            </w:r>
          </w:p>
        </w:tc>
        <w:tc>
          <w:tcPr>
            <w:tcW w:type="dxa" w:w="1399"/>
            <w:vAlign w:val="center"/>
          </w:tcPr>
          <w:p>
            <w:pPr>
              <w:spacing w:after="0" w:line="264" w:lineRule="auto"/>
              <w:ind w:firstLine="0"/>
            </w:pPr>
            <w:r>
              <w:rPr>
                <w:rFonts w:ascii="Times New Roman" w:hAnsi="Times New Roman" w:eastAsia="Times New Roman"/>
                <w:color w:val="000000"/>
                <w:sz w:val="17"/>
              </w:rPr>
              <w:t>0,3280</w:t>
            </w:r>
          </w:p>
        </w:tc>
        <w:tc>
          <w:tcPr>
            <w:tcW w:type="dxa" w:w="1399"/>
            <w:vAlign w:val="center"/>
          </w:tcPr>
          <w:p>
            <w:pPr>
              <w:spacing w:after="0" w:line="264" w:lineRule="auto"/>
              <w:ind w:firstLine="0"/>
            </w:pPr>
            <w:r>
              <w:rPr>
                <w:rFonts w:ascii="Times New Roman" w:hAnsi="Times New Roman" w:eastAsia="Times New Roman"/>
                <w:color w:val="000000"/>
                <w:sz w:val="17"/>
              </w:rPr>
              <w:t>0,1645</w:t>
            </w:r>
          </w:p>
        </w:tc>
        <w:tc>
          <w:tcPr>
            <w:tcW w:type="dxa" w:w="1399"/>
            <w:vAlign w:val="center"/>
          </w:tcPr>
          <w:p>
            <w:pPr>
              <w:spacing w:after="0" w:line="264" w:lineRule="auto"/>
              <w:ind w:firstLine="0"/>
            </w:pPr>
            <w:r>
              <w:rPr>
                <w:rFonts w:ascii="Times New Roman" w:hAnsi="Times New Roman" w:eastAsia="Times New Roman"/>
                <w:color w:val="000000"/>
                <w:sz w:val="17"/>
              </w:rPr>
              <w:t>40,35 %</w:t>
            </w:r>
          </w:p>
        </w:tc>
        <w:tc>
          <w:tcPr>
            <w:tcW w:type="dxa" w:w="1399"/>
            <w:vAlign w:val="center"/>
          </w:tcPr>
          <w:p>
            <w:pPr>
              <w:spacing w:after="0" w:line="264" w:lineRule="auto"/>
              <w:ind w:firstLine="0"/>
            </w:pPr>
            <w:r>
              <w:rPr>
                <w:rFonts w:ascii="Times New Roman" w:hAnsi="Times New Roman" w:eastAsia="Times New Roman"/>
                <w:color w:val="000000"/>
                <w:sz w:val="17"/>
              </w:rPr>
              <w:t>18,64 %</w:t>
            </w:r>
          </w:p>
        </w:tc>
      </w:tr>
      <w:tr>
        <w:tc>
          <w:tcPr>
            <w:tcW w:type="dxa" w:w="1399"/>
            <w:vAlign w:val="center"/>
          </w:tcPr>
          <w:p>
            <w:pPr>
              <w:spacing w:after="0" w:line="264" w:lineRule="auto"/>
              <w:ind w:firstLine="0"/>
            </w:pPr>
            <w:r>
              <w:rPr>
                <w:rFonts w:ascii="Times New Roman" w:hAnsi="Times New Roman" w:eastAsia="Times New Roman"/>
                <w:color w:val="000000"/>
                <w:sz w:val="17"/>
              </w:rPr>
              <w:t>Boosting 1M</w:t>
            </w:r>
          </w:p>
        </w:tc>
        <w:tc>
          <w:tcPr>
            <w:tcW w:type="dxa" w:w="1399"/>
            <w:vAlign w:val="center"/>
          </w:tcPr>
          <w:p>
            <w:pPr>
              <w:spacing w:after="0" w:line="264" w:lineRule="auto"/>
              <w:ind w:firstLine="0"/>
            </w:pPr>
            <w:r>
              <w:rPr>
                <w:rFonts w:ascii="Times New Roman" w:hAnsi="Times New Roman" w:eastAsia="Times New Roman"/>
                <w:color w:val="000000"/>
                <w:sz w:val="17"/>
              </w:rPr>
              <w:t>2022 ene–jul</w:t>
            </w:r>
          </w:p>
        </w:tc>
        <w:tc>
          <w:tcPr>
            <w:tcW w:type="dxa" w:w="1399"/>
            <w:vAlign w:val="center"/>
          </w:tcPr>
          <w:p>
            <w:pPr>
              <w:spacing w:after="0" w:line="264" w:lineRule="auto"/>
              <w:ind w:firstLine="0"/>
            </w:pPr>
            <w:r>
              <w:rPr>
                <w:rFonts w:ascii="Times New Roman" w:hAnsi="Times New Roman" w:eastAsia="Times New Roman"/>
                <w:color w:val="000000"/>
                <w:sz w:val="17"/>
              </w:rPr>
              <w:t>0,6455</w:t>
            </w:r>
          </w:p>
        </w:tc>
        <w:tc>
          <w:tcPr>
            <w:tcW w:type="dxa" w:w="1399"/>
            <w:vAlign w:val="center"/>
          </w:tcPr>
          <w:p>
            <w:pPr>
              <w:spacing w:after="0" w:line="264" w:lineRule="auto"/>
              <w:ind w:firstLine="0"/>
            </w:pPr>
            <w:r>
              <w:rPr>
                <w:rFonts w:ascii="Times New Roman" w:hAnsi="Times New Roman" w:eastAsia="Times New Roman"/>
                <w:color w:val="000000"/>
                <w:sz w:val="17"/>
              </w:rPr>
              <w:t>0,3346</w:t>
            </w:r>
          </w:p>
        </w:tc>
        <w:tc>
          <w:tcPr>
            <w:tcW w:type="dxa" w:w="1399"/>
            <w:vAlign w:val="center"/>
          </w:tcPr>
          <w:p>
            <w:pPr>
              <w:spacing w:after="0" w:line="264" w:lineRule="auto"/>
              <w:ind w:firstLine="0"/>
            </w:pPr>
            <w:r>
              <w:rPr>
                <w:rFonts w:ascii="Times New Roman" w:hAnsi="Times New Roman" w:eastAsia="Times New Roman"/>
                <w:color w:val="000000"/>
                <w:sz w:val="17"/>
              </w:rPr>
              <w:t>0,1638</w:t>
            </w:r>
          </w:p>
        </w:tc>
        <w:tc>
          <w:tcPr>
            <w:tcW w:type="dxa" w:w="1399"/>
            <w:vAlign w:val="center"/>
          </w:tcPr>
          <w:p>
            <w:pPr>
              <w:spacing w:after="0" w:line="264" w:lineRule="auto"/>
              <w:ind w:firstLine="0"/>
            </w:pPr>
            <w:r>
              <w:rPr>
                <w:rFonts w:ascii="Times New Roman" w:hAnsi="Times New Roman" w:eastAsia="Times New Roman"/>
                <w:color w:val="000000"/>
                <w:sz w:val="17"/>
              </w:rPr>
              <w:t>41,52 %</w:t>
            </w:r>
          </w:p>
        </w:tc>
        <w:tc>
          <w:tcPr>
            <w:tcW w:type="dxa" w:w="1399"/>
            <w:vAlign w:val="center"/>
          </w:tcPr>
          <w:p>
            <w:pPr>
              <w:spacing w:after="0" w:line="264" w:lineRule="auto"/>
              <w:ind w:firstLine="0"/>
            </w:pPr>
            <w:r>
              <w:rPr>
                <w:rFonts w:ascii="Times New Roman" w:hAnsi="Times New Roman" w:eastAsia="Times New Roman"/>
                <w:color w:val="000000"/>
                <w:sz w:val="17"/>
              </w:rPr>
              <w:t>19,18 %</w:t>
            </w:r>
          </w:p>
        </w:tc>
      </w:tr>
    </w:tbl>
    <w:p>
      <w:r>
        <w:t>En 2022, Boosting 1M seleccionó 394.492 vuelos (10 % del total evaluado) y 163.780 tuvieron retraso; el lift frente a la tasa general fue 1,92. En la comparación de igual tamaño de muestra, Boosting 400k encontró 159.192 retrasos en el top 10 %, 2.600 más que Logística 400k (156.592). El candidato de 1M encontró más casos, pero tuvo mayor muestra de entrenamiento.</w:t>
      </w:r>
    </w:p>
    <w:p>
      <w:r>
        <w:t>El recall del top 10 % fue 19,18 %: el 80,82 % de los retrasos ocurrió fuera de ese grupo retrospectivo. Esto respalda puntuar todos los vuelos y tratar el top 10 % solo como escenario de comparación, no como regla de vigilancia. El promedio de probabilidad estimada de Boosting 1M (16,79 %) fue menor que la tasa observada (21,65 %); se requiere evaluar calibración antes de interpretar puntuaciones como probabilidades confiables. No inferimos retrasos evitados ni ahorros.</w:t>
      </w:r>
    </w:p>
    <w:p>
      <w:pPr>
        <w:pStyle w:val="Heading1"/>
      </w:pPr>
      <w:r>
        <w:t>4. Procesamiento distribuido con Dask</w:t>
      </w:r>
    </w:p>
    <w:p>
      <w:r>
        <w:t>Comparamos dos configuraciones locales sobre la misma base supervisada y la misma agregación, con tres ejecuciones por configuración. En ambas verificamos 23.634.669 vuelos, 4.537.818 retrasos y 81.136 grupos agregados.</w:t>
      </w:r>
    </w:p>
    <w:p>
      <w:pPr/>
      <w:r>
        <w:t>En ambas configuraciones ejecutamos cada worker como proceso independiente (processes=True) y asignamos un hilo por proceso (threads_per_worker=1). La memoria indicada es el límite configurado para cada proceso worker.</w:t>
      </w:r>
    </w:p>
    <w:p>
      <w:pPr>
        <w:keepNext/>
        <w:spacing w:line="480" w:lineRule="auto" w:after="80"/>
        <w:ind w:firstLine="0"/>
      </w:pPr>
      <w:r>
        <w:rPr>
          <w:i/>
        </w:rPr>
        <w:t>Tiempos de ejecución de las configuraciones Dask</w:t>
      </w:r>
    </w:p>
    <w:p>
      <w:pPr>
        <w:keepNext/>
        <w:spacing w:line="480" w:lineRule="auto" w:after="0"/>
        <w:ind w:firstLine="0"/>
      </w:pPr>
      <w:r>
        <w:rPr>
          <w:b/>
        </w:rPr>
        <w:t>Tabla 5</w:t>
      </w:r>
    </w:p>
    <w:tbl>
      <w:tblPr>
        <w:tblStyle w:val="TableGrid"/>
        <w:tblW w:type="auto" w:w="0"/>
        <w:jc w:val="center"/>
        <w:tblLook w:firstColumn="1" w:firstRow="1" w:lastColumn="0" w:lastRow="0" w:noHBand="0" w:noVBand="1" w:val="04A0"/>
        <w:tblBorders>
          <w:top w:val="single" w:sz="8" w:color="000000"/>
          <w:left w:val="nil"/>
          <w:bottom w:val="single" w:sz="8" w:color="000000"/>
          <w:right w:val="nil"/>
          <w:insideH w:val="single" w:sz="4" w:color="000000"/>
          <w:insideV w:val="nil"/>
        </w:tblBorders>
      </w:tblPr>
      <w:tblGrid>
        <w:gridCol w:w="1632"/>
        <w:gridCol w:w="1632"/>
        <w:gridCol w:w="1632"/>
        <w:gridCol w:w="1632"/>
        <w:gridCol w:w="1632"/>
        <w:gridCol w:w="1632"/>
      </w:tblGrid>
      <w:tr>
        <w:tc>
          <w:tcPr>
            <w:tcW w:type="dxa" w:w="1632"/>
            <w:vAlign w:val="center"/>
          </w:tcPr>
          <w:p>
            <w:r>
              <w:t>Configuración</w:t>
            </w:r>
          </w:p>
        </w:tc>
        <w:tc>
          <w:tcPr>
            <w:tcW w:type="dxa" w:w="1632"/>
            <w:vAlign w:val="center"/>
          </w:tcPr>
          <w:p>
            <w:r>
              <w:t>Procesos worker</w:t>
            </w:r>
          </w:p>
        </w:tc>
        <w:tc>
          <w:tcPr>
            <w:tcW w:type="dxa" w:w="1632"/>
            <w:vAlign w:val="center"/>
          </w:tcPr>
          <w:p>
            <w:r>
              <w:t>Hilos por proceso</w:t>
            </w:r>
          </w:p>
        </w:tc>
        <w:tc>
          <w:tcPr>
            <w:tcW w:type="dxa" w:w="1632"/>
            <w:vAlign w:val="center"/>
          </w:tcPr>
          <w:p>
            <w:r>
              <w:t>Memoria por proceso worker</w:t>
            </w:r>
          </w:p>
        </w:tc>
        <w:tc>
          <w:tcPr>
            <w:tcW w:type="dxa" w:w="1632"/>
            <w:vAlign w:val="center"/>
          </w:tcPr>
          <w:p>
            <w:r>
              <w:t>Mediana</w:t>
            </w:r>
          </w:p>
        </w:tc>
        <w:tc>
          <w:tcPr>
            <w:tcW w:type="dxa" w:w="1632"/>
            <w:vAlign w:val="center"/>
          </w:tcPr>
          <w:p>
            <w:r>
              <w:t>Rango</w:t>
            </w:r>
          </w:p>
        </w:tc>
      </w:tr>
      <w:tr>
        <w:tc>
          <w:tcPr>
            <w:tcW w:type="dxa" w:w="1632"/>
            <w:vAlign w:val="center"/>
          </w:tcPr>
          <w:p>
            <w:r>
              <w:t>A</w:t>
            </w:r>
          </w:p>
        </w:tc>
        <w:tc>
          <w:tcPr>
            <w:tcW w:type="dxa" w:w="1632"/>
            <w:vAlign w:val="center"/>
          </w:tcPr>
          <w:p>
            <w:r>
              <w:t>1</w:t>
            </w:r>
          </w:p>
        </w:tc>
        <w:tc>
          <w:tcPr>
            <w:tcW w:type="dxa" w:w="1632"/>
            <w:vAlign w:val="center"/>
          </w:tcPr>
          <w:p>
            <w:r>
              <w:t>1</w:t>
            </w:r>
          </w:p>
        </w:tc>
        <w:tc>
          <w:tcPr>
            <w:tcW w:type="dxa" w:w="1632"/>
            <w:vAlign w:val="center"/>
          </w:tcPr>
          <w:p>
            <w:r>
              <w:t>1 GiB</w:t>
            </w:r>
          </w:p>
        </w:tc>
        <w:tc>
          <w:tcPr>
            <w:tcW w:type="dxa" w:w="1632"/>
            <w:vAlign w:val="center"/>
          </w:tcPr>
          <w:p>
            <w:r>
              <w:t>21,656 s</w:t>
            </w:r>
          </w:p>
        </w:tc>
        <w:tc>
          <w:tcPr>
            <w:tcW w:type="dxa" w:w="1632"/>
            <w:vAlign w:val="center"/>
          </w:tcPr>
          <w:p>
            <w:r>
              <w:t>21,622–22,577 s</w:t>
            </w:r>
          </w:p>
        </w:tc>
      </w:tr>
      <w:tr>
        <w:tc>
          <w:tcPr>
            <w:tcW w:type="dxa" w:w="1632"/>
            <w:vAlign w:val="center"/>
          </w:tcPr>
          <w:p>
            <w:r>
              <w:t>B</w:t>
            </w:r>
          </w:p>
        </w:tc>
        <w:tc>
          <w:tcPr>
            <w:tcW w:type="dxa" w:w="1632"/>
            <w:vAlign w:val="center"/>
          </w:tcPr>
          <w:p>
            <w:r>
              <w:t>2</w:t>
            </w:r>
          </w:p>
        </w:tc>
        <w:tc>
          <w:tcPr>
            <w:tcW w:type="dxa" w:w="1632"/>
            <w:vAlign w:val="center"/>
          </w:tcPr>
          <w:p>
            <w:r>
              <w:t>1</w:t>
            </w:r>
          </w:p>
        </w:tc>
        <w:tc>
          <w:tcPr>
            <w:tcW w:type="dxa" w:w="1632"/>
            <w:vAlign w:val="center"/>
          </w:tcPr>
          <w:p>
            <w:r>
              <w:t>512 MiB</w:t>
            </w:r>
          </w:p>
        </w:tc>
        <w:tc>
          <w:tcPr>
            <w:tcW w:type="dxa" w:w="1632"/>
            <w:vAlign w:val="center"/>
          </w:tcPr>
          <w:p>
            <w:r>
              <w:t>10,568 s</w:t>
            </w:r>
          </w:p>
        </w:tc>
        <w:tc>
          <w:tcPr>
            <w:tcW w:type="dxa" w:w="1632"/>
            <w:vAlign w:val="center"/>
          </w:tcPr>
          <w:p>
            <w:r>
              <w:t>8,227–11,118 s</w:t>
            </w:r>
          </w:p>
        </w:tc>
      </w:tr>
    </w:tbl>
    <w:p>
      <w:r>
        <w:t>La configuración B fue aproximadamente 2,05 veces más rápida según las medianas de estas seis ejecuciones. Las dos suman 1 GiB de memoria configurada para workers; esta cifra es límite configurado, no consumo máximo medido. La prueba corresponde a un conjunto y equipo; no permite inferir escalamiento lineal ni exponencial.</w:t>
      </w:r>
    </w:p>
    <w:p>
      <w:pPr>
        <w:pStyle w:val="Heading1"/>
      </w:pPr>
      <w:r>
        <w:t>5. Flujo recurrente con Prefect</w:t>
      </w:r>
    </w:p>
    <w:p>
      <w:r>
        <w:t>El flujo flujo_vuelos.py toma Parquet ya preparado, valida columnas, calcula puntuaciones en bloques y agrega por fecha, aerolínea operadora, origen y hora programada de salida. Lo ejecutamos por separado para los siete meses disponibles de 2022; la suma validada fue 3.944.916 vuelos. La consolidación produjo 1.726.512 filas agregadas, 853.962 retrasos observados y tasa de 21,65 %. No carga ni modifica el CSV original.</w:t>
      </w:r>
    </w:p>
    <w:p>
      <w:r>
        <w:t>La demostración muestra una etapa recurrente de predicción y agregación, pero no automatiza todo el proceso desde CSV, no detecta por sí misma cambios regulatorios y no publica a AWS/Grafana. Para reproducirla hacen falta entorno con dependencias, archivo de modelo y Parquet de entrada. La salida CSV agregada para AWS ocupa 147.728.816 bytes (147,73 MB) y su copia Parquet 25.158.910 bytes (25,16 MB).</w:t>
      </w:r>
    </w:p>
    <w:p>
      <w:pPr>
        <w:pStyle w:val="Heading1"/>
      </w:pPr>
      <w:r>
        <w:t>6. Persistencia analítica y Grafana</w:t>
      </w:r>
    </w:p>
    <w:p>
      <w:r>
        <w:t>Preparamos entrega_aws/resumen_vuelos_2022_enero_julio.csv y su versión Parquet. Contienen resultados agregados, no registros originales. Añadimos el esquema SQL y un cargador idempotente en aws/ que valida el encabezado y exige conexión TLS verificada. La conexión a AWS, la carga, la tabla remota y una consulta posterior no se verificaron en esta ejecución; no afirmamos que Amazon RDS esté poblado.</w:t>
      </w:r>
    </w:p>
    <w:p>
      <w:r>
        <w:t>El archivo grafana/dashboard_vuelos.json es una definición de tablero local con consultas esperadas sobre analitica.resumen_vuelos. No verificamos un servidor Grafana en ejecución ni que pueda conectarse a una fuente de datos. La rúbrica de persistencia AWS y visualización operativa de Grafana permanece pendiente de completar y evidenciar. Antes de cargar, se debe crear la tabla con columnas agregadas y subir solo el resultado analítico.</w:t>
      </w:r>
    </w:p>
    <w:p>
      <w:pPr>
        <w:pStyle w:val="Heading1"/>
      </w:pPr>
      <w:r>
        <w:t>7. CRISP-DM y evidencias</w:t>
      </w:r>
    </w:p>
    <w:p>
      <w:pPr>
        <w:keepNext/>
        <w:spacing w:line="480" w:lineRule="auto" w:after="80"/>
        <w:ind w:firstLine="0"/>
      </w:pPr>
      <w:r>
        <w:rPr>
          <w:i/>
        </w:rPr>
        <w:t>Evidencias y estado de las fases CRISP-DM</w:t>
      </w:r>
    </w:p>
    <w:p>
      <w:pPr>
        <w:keepNext/>
        <w:spacing w:line="480" w:lineRule="auto" w:after="0"/>
        <w:ind w:firstLine="0"/>
      </w:pPr>
      <w:r>
        <w:rPr>
          <w:b/>
        </w:rPr>
        <w:t>Tabla 6</w:t>
      </w:r>
    </w:p>
    <w:tbl>
      <w:tblPr>
        <w:tblStyle w:val="TableGrid"/>
        <w:tblW w:type="auto" w:w="0"/>
        <w:jc w:val="center"/>
        <w:tblLook w:firstColumn="1" w:firstRow="1" w:lastColumn="0" w:lastRow="0" w:noHBand="0" w:noVBand="1" w:val="04A0"/>
        <w:tblBorders>
          <w:top w:val="single" w:sz="8" w:color="000000"/>
          <w:left w:val="nil"/>
          <w:bottom w:val="single" w:sz="8" w:color="000000"/>
          <w:right w:val="nil"/>
          <w:insideH w:val="single" w:sz="4" w:color="000000"/>
          <w:insideV w:val="nil"/>
        </w:tblBorders>
      </w:tblPr>
      <w:tblGrid>
        <w:gridCol w:w="3264"/>
        <w:gridCol w:w="3264"/>
        <w:gridCol w:w="3264"/>
      </w:tblGrid>
      <w:tr>
        <w:tc>
          <w:tcPr>
            <w:tcW w:type="dxa" w:w="3264"/>
            <w:vAlign w:val="center"/>
          </w:tcPr>
          <w:p>
            <w:pPr>
              <w:spacing w:line="264" w:lineRule="auto" w:after="0"/>
              <w:ind w:firstLine="0"/>
            </w:pPr>
            <w:r>
              <w:rPr>
                <w:rFonts w:ascii="Times New Roman" w:hAnsi="Times New Roman" w:eastAsia="Times New Roman"/>
                <w:b/>
                <w:color w:val="000000"/>
                <w:sz w:val="17"/>
              </w:rPr>
              <w:t>Fase CRISP-DM</w:t>
            </w:r>
          </w:p>
        </w:tc>
        <w:tc>
          <w:tcPr>
            <w:tcW w:type="dxa" w:w="3264"/>
            <w:vAlign w:val="center"/>
          </w:tcPr>
          <w:p>
            <w:pPr>
              <w:spacing w:line="264" w:lineRule="auto" w:after="0"/>
              <w:ind w:firstLine="0"/>
            </w:pPr>
            <w:r>
              <w:rPr>
                <w:rFonts w:ascii="Times New Roman" w:hAnsi="Times New Roman" w:eastAsia="Times New Roman"/>
                <w:b/>
                <w:color w:val="000000"/>
                <w:sz w:val="17"/>
              </w:rPr>
              <w:t>Evidencia del proyecto</w:t>
            </w:r>
          </w:p>
        </w:tc>
        <w:tc>
          <w:tcPr>
            <w:tcW w:type="dxa" w:w="3264"/>
            <w:vAlign w:val="center"/>
          </w:tcPr>
          <w:p>
            <w:pPr>
              <w:spacing w:line="264" w:lineRule="auto" w:after="0"/>
              <w:ind w:firstLine="0"/>
            </w:pPr>
            <w:r>
              <w:rPr>
                <w:rFonts w:ascii="Times New Roman" w:hAnsi="Times New Roman" w:eastAsia="Times New Roman"/>
                <w:b/>
                <w:color w:val="000000"/>
                <w:sz w:val="17"/>
              </w:rPr>
              <w:t>Estado</w:t>
            </w:r>
          </w:p>
        </w:tc>
      </w:tr>
      <w:tr>
        <w:tc>
          <w:tcPr>
            <w:tcW w:type="dxa" w:w="3264"/>
            <w:vAlign w:val="center"/>
          </w:tcPr>
          <w:p>
            <w:pPr>
              <w:spacing w:after="0" w:line="264" w:lineRule="auto"/>
              <w:ind w:firstLine="0"/>
            </w:pPr>
            <w:r>
              <w:rPr>
                <w:rFonts w:ascii="Times New Roman" w:hAnsi="Times New Roman" w:eastAsia="Times New Roman"/>
                <w:color w:val="000000"/>
                <w:sz w:val="17"/>
              </w:rPr>
              <w:t>Comprensión del negocio</w:t>
            </w:r>
          </w:p>
        </w:tc>
        <w:tc>
          <w:tcPr>
            <w:tcW w:type="dxa" w:w="3264"/>
            <w:vAlign w:val="center"/>
          </w:tcPr>
          <w:p>
            <w:pPr>
              <w:spacing w:after="0" w:line="264" w:lineRule="auto"/>
              <w:ind w:firstLine="0"/>
            </w:pPr>
            <w:r>
              <w:rPr>
                <w:rFonts w:ascii="Times New Roman" w:hAnsi="Times New Roman" w:eastAsia="Times New Roman"/>
                <w:color w:val="000000"/>
                <w:sz w:val="17"/>
              </w:rPr>
              <w:t>Objetivo, unidad, usuario propuesto, escenario T−24 h y límites</w:t>
            </w:r>
          </w:p>
        </w:tc>
        <w:tc>
          <w:tcPr>
            <w:tcW w:type="dxa" w:w="3264"/>
            <w:vAlign w:val="center"/>
          </w:tcPr>
          <w:p>
            <w:pPr>
              <w:spacing w:after="0" w:line="264" w:lineRule="auto"/>
              <w:ind w:firstLine="0"/>
            </w:pPr>
            <w:r>
              <w:rPr>
                <w:rFonts w:ascii="Times New Roman" w:hAnsi="Times New Roman" w:eastAsia="Times New Roman"/>
                <w:color w:val="000000"/>
                <w:sz w:val="17"/>
              </w:rPr>
              <w:t>Documentado; horizonte por validar</w:t>
            </w:r>
          </w:p>
        </w:tc>
      </w:tr>
      <w:tr>
        <w:tc>
          <w:tcPr>
            <w:tcW w:type="dxa" w:w="3264"/>
            <w:vAlign w:val="center"/>
          </w:tcPr>
          <w:p>
            <w:pPr>
              <w:spacing w:after="0" w:line="264" w:lineRule="auto"/>
              <w:ind w:firstLine="0"/>
            </w:pPr>
            <w:r>
              <w:rPr>
                <w:rFonts w:ascii="Times New Roman" w:hAnsi="Times New Roman" w:eastAsia="Times New Roman"/>
                <w:color w:val="000000"/>
                <w:sz w:val="17"/>
              </w:rPr>
              <w:t>Comprensión de datos</w:t>
            </w:r>
          </w:p>
        </w:tc>
        <w:tc>
          <w:tcPr>
            <w:tcW w:type="dxa" w:w="3264"/>
            <w:vAlign w:val="center"/>
          </w:tcPr>
          <w:p>
            <w:pPr>
              <w:spacing w:after="0" w:line="264" w:lineRule="auto"/>
              <w:ind w:firstLine="0"/>
            </w:pPr>
            <w:r>
              <w:rPr>
                <w:rFonts w:ascii="Times New Roman" w:hAnsi="Times New Roman" w:eastAsia="Times New Roman"/>
                <w:color w:val="000000"/>
                <w:sz w:val="17"/>
              </w:rPr>
              <w:t>CSV, cobertura, EDA de 61 variables, calidad y exclusión 2020</w:t>
            </w:r>
          </w:p>
        </w:tc>
        <w:tc>
          <w:tcPr>
            <w:tcW w:type="dxa" w:w="3264"/>
            <w:vAlign w:val="center"/>
          </w:tcPr>
          <w:p>
            <w:pPr>
              <w:spacing w:after="0" w:line="264" w:lineRule="auto"/>
              <w:ind w:firstLine="0"/>
            </w:pPr>
            <w:r>
              <w:rPr>
                <w:rFonts w:ascii="Times New Roman" w:hAnsi="Times New Roman" w:eastAsia="Times New Roman"/>
                <w:color w:val="000000"/>
                <w:sz w:val="17"/>
              </w:rPr>
              <w:t>Recalculado</w:t>
            </w:r>
          </w:p>
        </w:tc>
      </w:tr>
      <w:tr>
        <w:tc>
          <w:tcPr>
            <w:tcW w:type="dxa" w:w="3264"/>
            <w:vAlign w:val="center"/>
          </w:tcPr>
          <w:p>
            <w:pPr>
              <w:spacing w:after="0" w:line="264" w:lineRule="auto"/>
              <w:ind w:firstLine="0"/>
            </w:pPr>
            <w:r>
              <w:rPr>
                <w:rFonts w:ascii="Times New Roman" w:hAnsi="Times New Roman" w:eastAsia="Times New Roman"/>
                <w:color w:val="000000"/>
                <w:sz w:val="17"/>
              </w:rPr>
              <w:t>Preparación de datos</w:t>
            </w:r>
          </w:p>
        </w:tc>
        <w:tc>
          <w:tcPr>
            <w:tcW w:type="dxa" w:w="3264"/>
            <w:vAlign w:val="center"/>
          </w:tcPr>
          <w:p>
            <w:pPr>
              <w:spacing w:after="0" w:line="264" w:lineRule="auto"/>
              <w:ind w:firstLine="0"/>
            </w:pPr>
            <w:r>
              <w:rPr>
                <w:rFonts w:ascii="Times New Roman" w:hAnsi="Times New Roman" w:eastAsia="Times New Roman"/>
                <w:color w:val="000000"/>
                <w:sz w:val="17"/>
              </w:rPr>
              <w:t>Parquet sin 2020, etiqueta, exclusiones y archivos mensuales</w:t>
            </w:r>
          </w:p>
        </w:tc>
        <w:tc>
          <w:tcPr>
            <w:tcW w:type="dxa" w:w="3264"/>
            <w:vAlign w:val="center"/>
          </w:tcPr>
          <w:p>
            <w:pPr>
              <w:spacing w:after="0" w:line="264" w:lineRule="auto"/>
              <w:ind w:firstLine="0"/>
            </w:pPr>
            <w:r>
              <w:rPr>
                <w:rFonts w:ascii="Times New Roman" w:hAnsi="Times New Roman" w:eastAsia="Times New Roman"/>
                <w:color w:val="000000"/>
                <w:sz w:val="17"/>
              </w:rPr>
              <w:t>Ejecutado</w:t>
            </w:r>
          </w:p>
        </w:tc>
      </w:tr>
      <w:tr>
        <w:tc>
          <w:tcPr>
            <w:tcW w:type="dxa" w:w="3264"/>
            <w:vAlign w:val="center"/>
          </w:tcPr>
          <w:p>
            <w:pPr>
              <w:spacing w:after="0" w:line="264" w:lineRule="auto"/>
              <w:ind w:firstLine="0"/>
            </w:pPr>
            <w:r>
              <w:rPr>
                <w:rFonts w:ascii="Times New Roman" w:hAnsi="Times New Roman" w:eastAsia="Times New Roman"/>
                <w:color w:val="000000"/>
                <w:sz w:val="17"/>
              </w:rPr>
              <w:t>Modelado</w:t>
            </w:r>
          </w:p>
        </w:tc>
        <w:tc>
          <w:tcPr>
            <w:tcW w:type="dxa" w:w="3264"/>
            <w:vAlign w:val="center"/>
          </w:tcPr>
          <w:p>
            <w:pPr>
              <w:spacing w:after="0" w:line="264" w:lineRule="auto"/>
              <w:ind w:firstLine="0"/>
            </w:pPr>
            <w:r>
              <w:rPr>
                <w:rFonts w:ascii="Times New Roman" w:hAnsi="Times New Roman" w:eastAsia="Times New Roman"/>
                <w:color w:val="000000"/>
                <w:sz w:val="17"/>
              </w:rPr>
              <w:t>Logística, Boosting 400k y Boosting 1M con preprocesamiento adecuado</w:t>
            </w:r>
          </w:p>
        </w:tc>
        <w:tc>
          <w:tcPr>
            <w:tcW w:type="dxa" w:w="3264"/>
            <w:vAlign w:val="center"/>
          </w:tcPr>
          <w:p>
            <w:pPr>
              <w:spacing w:after="0" w:line="264" w:lineRule="auto"/>
              <w:ind w:firstLine="0"/>
            </w:pPr>
            <w:r>
              <w:rPr>
                <w:rFonts w:ascii="Times New Roman" w:hAnsi="Times New Roman" w:eastAsia="Times New Roman"/>
                <w:color w:val="000000"/>
                <w:sz w:val="17"/>
              </w:rPr>
              <w:t>Evaluado retrospectivamente</w:t>
            </w:r>
          </w:p>
        </w:tc>
      </w:tr>
      <w:tr>
        <w:tc>
          <w:tcPr>
            <w:tcW w:type="dxa" w:w="3264"/>
            <w:vAlign w:val="center"/>
          </w:tcPr>
          <w:p>
            <w:pPr>
              <w:spacing w:after="0" w:line="264" w:lineRule="auto"/>
              <w:ind w:firstLine="0"/>
            </w:pPr>
            <w:r>
              <w:rPr>
                <w:rFonts w:ascii="Times New Roman" w:hAnsi="Times New Roman" w:eastAsia="Times New Roman"/>
                <w:color w:val="000000"/>
                <w:sz w:val="17"/>
              </w:rPr>
              <w:t>Evaluación</w:t>
            </w:r>
          </w:p>
        </w:tc>
        <w:tc>
          <w:tcPr>
            <w:tcW w:type="dxa" w:w="3264"/>
            <w:vAlign w:val="center"/>
          </w:tcPr>
          <w:p>
            <w:pPr>
              <w:spacing w:after="0" w:line="264" w:lineRule="auto"/>
              <w:ind w:firstLine="0"/>
            </w:pPr>
            <w:r>
              <w:rPr>
                <w:rFonts w:ascii="Times New Roman" w:hAnsi="Times New Roman" w:eastAsia="Times New Roman"/>
                <w:color w:val="000000"/>
                <w:sz w:val="17"/>
              </w:rPr>
              <w:t>Validación Q4 2021 y evaluación adicional 2022</w:t>
            </w:r>
          </w:p>
        </w:tc>
        <w:tc>
          <w:tcPr>
            <w:tcW w:type="dxa" w:w="3264"/>
            <w:vAlign w:val="center"/>
          </w:tcPr>
          <w:p>
            <w:pPr>
              <w:spacing w:after="0" w:line="264" w:lineRule="auto"/>
              <w:ind w:firstLine="0"/>
            </w:pPr>
            <w:r>
              <w:rPr>
                <w:rFonts w:ascii="Times New Roman" w:hAnsi="Times New Roman" w:eastAsia="Times New Roman"/>
                <w:color w:val="000000"/>
                <w:sz w:val="17"/>
              </w:rPr>
              <w:t>No independiente; calibración pendiente</w:t>
            </w:r>
          </w:p>
        </w:tc>
      </w:tr>
      <w:tr>
        <w:tc>
          <w:tcPr>
            <w:tcW w:type="dxa" w:w="3264"/>
            <w:vAlign w:val="center"/>
          </w:tcPr>
          <w:p>
            <w:pPr>
              <w:spacing w:after="0" w:line="264" w:lineRule="auto"/>
              <w:ind w:firstLine="0"/>
            </w:pPr>
            <w:r>
              <w:rPr>
                <w:rFonts w:ascii="Times New Roman" w:hAnsi="Times New Roman" w:eastAsia="Times New Roman"/>
                <w:color w:val="000000"/>
                <w:sz w:val="17"/>
              </w:rPr>
              <w:t>Despliegue</w:t>
            </w:r>
          </w:p>
        </w:tc>
        <w:tc>
          <w:tcPr>
            <w:tcW w:type="dxa" w:w="3264"/>
            <w:vAlign w:val="center"/>
          </w:tcPr>
          <w:p>
            <w:pPr>
              <w:spacing w:after="0" w:line="264" w:lineRule="auto"/>
              <w:ind w:firstLine="0"/>
            </w:pPr>
            <w:r>
              <w:rPr>
                <w:rFonts w:ascii="Times New Roman" w:hAnsi="Times New Roman" w:eastAsia="Times New Roman"/>
                <w:color w:val="000000"/>
                <w:sz w:val="17"/>
              </w:rPr>
              <w:t>Prefect parcial; resultado analítico preparado; AWS/Grafana en vivo</w:t>
            </w:r>
          </w:p>
        </w:tc>
        <w:tc>
          <w:tcPr>
            <w:tcW w:type="dxa" w:w="3264"/>
            <w:vAlign w:val="center"/>
          </w:tcPr>
          <w:p>
            <w:pPr>
              <w:spacing w:after="0" w:line="264" w:lineRule="auto"/>
              <w:ind w:firstLine="0"/>
            </w:pPr>
            <w:r>
              <w:rPr>
                <w:rFonts w:ascii="Times New Roman" w:hAnsi="Times New Roman" w:eastAsia="Times New Roman"/>
                <w:color w:val="000000"/>
                <w:sz w:val="17"/>
              </w:rPr>
              <w:t>Parcial; AWS/Grafana pendientes</w:t>
            </w:r>
          </w:p>
        </w:tc>
      </w:tr>
    </w:tbl>
    <w:p>
      <w:r>
        <w:t>Las evidencias reproducibles incluyen los scripts de recálculo, CSV/JSON de resultados y archivos mensuales de salida Prefect. Los resultados grandes se mantienen localmente e ignorados por Git; el repositorio conserva código, documentación y resultados de tamaño razonable.</w:t>
      </w:r>
      <w:r>
        <w:t xml:space="preserve"> Organizamos las actividades según las seis fases de CRISP-DM (Chapman et al., 2000).</w:t>
      </w:r>
    </w:p>
    <w:p>
      <w:pPr>
        <w:pStyle w:val="Heading1"/>
      </w:pPr>
      <w:r>
        <w:t>8. Limitaciones y siguientes pasos</w:t>
      </w:r>
    </w:p>
    <w:p>
      <w:pPr>
        <w:pStyle w:val="ListBullet"/>
      </w:pPr>
      <w:r>
        <w:t>Validar el horizonte de 24 horas con marcas reales de disponibilidad de cada variable y el proceso de planificación del operador.</w:t>
      </w:r>
    </w:p>
    <w:p>
      <w:pPr>
        <w:pStyle w:val="ListBullet"/>
      </w:pPr>
      <w:r>
        <w:t>Obtener datos de Colombia y realizar validación, calibración y evaluación temporal independientes antes de proponer uso operativo local.</w:t>
      </w:r>
    </w:p>
    <w:p>
      <w:pPr>
        <w:pStyle w:val="ListBullet"/>
      </w:pPr>
      <w:r>
        <w:t>Evaluar calibración probabilística y elegir umbrales junto con el área usuaria; medir carga de revisión y resultados en piloto.</w:t>
      </w:r>
    </w:p>
    <w:p>
      <w:pPr>
        <w:pStyle w:val="ListBullet"/>
      </w:pPr>
      <w:r>
        <w:t>Verificar reglas aplicables con Aerocivil y procedimientos de la aerolínea. ArrDel15 es la definición de la fuente, no una afirmación normativa colombiana.</w:t>
      </w:r>
    </w:p>
    <w:p>
      <w:pPr>
        <w:pStyle w:val="ListBullet"/>
      </w:pPr>
      <w:r>
        <w:t>Completar carga en AWS solo de resultados agregados, usando credenciales seguras fuera del repositorio; verificar conteos y permisos de lectura.</w:t>
      </w:r>
    </w:p>
    <w:p>
      <w:pPr>
        <w:pStyle w:val="ListBullet"/>
      </w:pPr>
      <w:r>
        <w:t>Conectar Grafana a la tabla analítica y adjuntar capturas que demuestren consultas, filtros y paneles.</w:t>
      </w:r>
    </w:p>
    <w:p>
      <w:pPr>
        <w:pStyle w:val="ListBullet"/>
      </w:pPr>
      <w:r>
        <w:t>Compartir el informe colaborativo en Google Docs/Word con rodolfo.meza@gmail.com y adjuntar notebooks/scripts al repositorio.</w:t>
      </w:r>
    </w:p>
    <w:p>
      <w:pPr>
        <w:pStyle w:val="Heading1"/>
      </w:pPr>
      <w:r>
        <w:t>Conclusiones</w:t>
      </w:r>
    </w:p>
    <w:p>
      <w:r>
        <w:t>Recalculamos los resultados con 2020 excluido y confirmamos que la base Parquet de todas las variables ocupa 0,679 GB. La etiqueta válida comprende 23.634.669 vuelos, con retraso observado en 19,20 %. El análisis y los resultados se describen con sus periodos y denominadores.</w:t>
      </w:r>
    </w:p>
    <w:p>
      <w:r>
        <w:t>Boosting obtuvo métricas de ordenamiento algo mayores que la regresión logística en las evaluaciones disponibles. El top 10 % concentra más retrasos que una selección aleatoria, pero deja fuera la mayoría de eventos; el proyecto propone puntuar todos los vuelos y requiere que el área usuaria defina alertas y capacidad de respuesta. No existe evidencia de reducción causal de retrasos o costos.</w:t>
      </w:r>
    </w:p>
    <w:p>
      <w:r>
        <w:t>Dask completó ambas configuraciones con resultados iguales y Prefect ejecutó agregaciones mensuales recurrentes sobre archivos preparados. La implementación está parcialmente desplegada: AWS y la conexión real de Grafana siguen sin verificarse. La aplicación en Colombia requiere datos locales, verificación regulatoria, comprobación del horizonte, calibración y una evaluación prospectiva.</w:t>
      </w:r>
    </w:p>
    <w:p>
      <w:pPr>
        <w:pStyle w:val="Heading1"/>
      </w:pPr>
      <w:r>
        <w:t>Referencias</w:t>
      </w:r>
    </w:p>
    <w:p>
      <w:pPr>
        <w:spacing w:line="480" w:lineRule="auto"/>
        <w:ind w:hanging="720" w:left="720"/>
      </w:pPr>
      <w:r>
        <w:rPr>
          <w:rFonts w:ascii="Times New Roman" w:hAnsi="Times New Roman"/>
          <w:sz w:val="24"/>
        </w:rPr>
        <w:t>Aeronáutica Civil de Colombia. (s. f.). Reglamentos Aeronáuticos de Colombia (RAC). https://www.aerocivil.gov.co/normatividad/NormatividadAeronautica/Pages/RAC.aspx</w:t>
      </w:r>
    </w:p>
    <w:p>
      <w:pPr>
        <w:spacing w:line="480" w:lineRule="auto"/>
        <w:ind w:hanging="720" w:left="720"/>
      </w:pPr>
      <w:r>
        <w:rPr>
          <w:rFonts w:ascii="Times New Roman" w:hAnsi="Times New Roman"/>
          <w:sz w:val="24"/>
        </w:rPr>
        <w:t>Bureau of Transportation Statistics. (s. f.). Airline on-time performance data: Field descriptions. https://www.transtats.bts.gov/Fields.asp?gnoyr_VQ=FGK</w:t>
      </w:r>
    </w:p>
    <w:p>
      <w:pPr>
        <w:spacing w:line="480" w:lineRule="auto"/>
        <w:ind w:hanging="720" w:left="720"/>
      </w:pPr>
      <w:r>
        <w:rPr>
          <w:rFonts w:ascii="Times New Roman" w:hAnsi="Times New Roman"/>
          <w:sz w:val="24"/>
        </w:rPr>
        <w:t>Chapman, P., Clinton, J., Kerber, R., Khabaza, T., Reinartz, T., Shearer, C., &amp; Wirth, R. (2000). CRISP-DM 1.0: Step-by-step data mining guide. SPSS. https://kddlab.com/files/CRISPWP-0800.pdf</w:t>
      </w:r>
    </w:p>
    <w:p>
      <w:pPr>
        <w:spacing w:line="480" w:lineRule="auto"/>
        <w:ind w:hanging="720" w:left="720"/>
      </w:pPr>
      <w:r>
        <w:rPr>
          <w:rFonts w:ascii="Times New Roman" w:hAnsi="Times New Roman"/>
          <w:sz w:val="24"/>
        </w:rPr>
        <w:t>DuckDB. (s. f.). SUMMARIZE. https://duckdb.org/docs/lts/guides/meta/summarize</w:t>
      </w:r>
    </w:p>
    <w:p>
      <w:pPr>
        <w:spacing w:line="480" w:lineRule="auto"/>
        <w:ind w:hanging="720" w:left="720"/>
      </w:pPr>
      <w:r>
        <w:rPr>
          <w:rFonts w:ascii="Times New Roman" w:hAnsi="Times New Roman"/>
          <w:sz w:val="24"/>
        </w:rPr>
        <w:t>robikscube. (s. f.). Flight delay dataset 2018–2022 [Conjunto de datos]. Kaggle. https://www.kaggle.com/datasets/robikscube/flight-delay-dataset-20182022</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ind w:firstLine="72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jc w:val="center"/>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jc w:val="left"/>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ind w:firstLine="0"/>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jc w:val="center"/>
    </w:pPr>
    <w:rPr>
      <w:rFonts w:asciiTheme="majorHAnsi" w:eastAsiaTheme="majorEastAsia" w:hAnsiTheme="majorHAnsi" w:cstheme="majorBidi" w:ascii="Times New Roman" w:hAnsi="Times New Roman" w:eastAsia="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