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sz w:val="22"/>
        </w:rPr>
        <w:t>Aariz — Dissertation</w:t>
      </w:r>
    </w:p>
    <w:p>
      <w:pPr>
        <w:pStyle w:val="Heading1"/>
        <w:jc w:val="center"/>
      </w:pPr>
      <w:r>
        <w:t>Conclusions and Recommendations</w:t>
      </w:r>
    </w:p>
    <w:p>
      <w:pPr>
        <w:pStyle w:val="Heading2"/>
      </w:pPr>
      <w:r>
        <w:t>Synthesis of the dissertation</w:t>
      </w:r>
    </w:p>
    <w:p>
      <w:pPr>
        <w:spacing w:after="160" w:line="336" w:lineRule="auto"/>
      </w:pPr>
      <w:r>
        <w:t>This project began with a deceptively simple clinical question: can an end-to-end software system, built by a single MSc candidate inside a six-month window, take routine biochemistry and patient demographics and return a diabetes risk score that is honest, interpretable and actionable for a primary-care reviewer? Across the chapters that precede this one, the question was broken down into a model-selection study using the Pima Indians dataset, a feature engineering experiment around invalid-zero imputation and SMOTE balancing, a software architecture decision separating a Flask inference layer from a Rails consultation dashboard, and a small clinical-credibility audit anchored by SHAP attribution. The conclusion that emerges is a guarded yes. The tuned LightGBM ensemble selected on the basis of cross-validated AUC-ROC met every dissertation success criterion, and the Rails view exposes the score, its SHAP-ranked drivers and a plain-English note inside a workflow that a triage nurse could plausibly inspect during a fifteen-minute appointment. What this chapter exists to do, however, is the more difficult and more useful work of situating those numbers in their proper context, naming what the system is not ready to do, and turning those gaps into recommendations that are both practical and research-shaped.</w:t>
      </w:r>
    </w:p>
    <w:p>
      <w:pPr>
        <w:pStyle w:val="Heading2"/>
      </w:pPr>
      <w:r>
        <w:t>Where the modelling held up</w:t>
      </w:r>
    </w:p>
    <w:p>
      <w:pPr>
        <w:spacing w:after="160" w:line="336" w:lineRule="auto"/>
      </w:pPr>
      <w:r>
        <w:t>On Pima-style tabular inputs, the pipeline behaved as the metabolic literature predicted. Gradient boosting outperformed regularised logistic regression by roughly four AUC points, the addition of SMOTE on the minority class lifted recall from 0.71 to 0.795 without a measurable cost to precision, and StandardScaler-induced parity across feature magnitudes prevented the dominant-glucose feature from saturating the decision boundary in the SVM baseline. The most reassuring single observation, however, came from SHAP. The five most influential features in the final ensemble — plasma glucose, body-mass index, age, the diabetes pedigree function and triceps skin-fold thickness — match the clinical hierarchy that endocrinologists recognise from observational cohorts going back to the original Pima study. That alignment is the difference between predictive signal that feels like recognisable physiology and predictive signal that looks like opaque pattern matching, and it is the single strongest argument that the model is doing something that a clinician could vouch for. Calibration, measured by Brier score and reliability curves, was acceptable in the middle of the risk distribution but visibly drifted at the extremes: the system is more confidently right when it predicts low risk than when it predicts very high risk, and that asymmetry is faithfully surfaced in the dashboard rather than hidden behind a rounded percentage.</w:t>
      </w:r>
    </w:p>
    <w:p>
      <w:pPr>
        <w:pStyle w:val="Heading2"/>
      </w:pPr>
      <w:r>
        <w:t>Open weaknesses worth naming</w:t>
      </w:r>
    </w:p>
    <w:p>
      <w:pPr>
        <w:spacing w:after="160" w:line="336" w:lineRule="auto"/>
      </w:pPr>
      <w:r>
        <w:t>The frankness of this chapter rests on naming what did not work. Three weaknesses deserve to be aired without softening. First, the Pima cohort is small, ethnically narrow and historically gendered toward female subjects aged twenty-one to eighty-one; the system has no statistical exposure to younger adults, paediatric metabolism or non-South-Asian populations, and the AUC presented in chapter four must therefore be read as a ceiling rather than as a population estimate. Second, the encoded zero-glucose and zero-insulin markers were imputed using column medians rather than re-collected from primary records; this was acceptable for the time budget of an MSc deliverable, but it introduces a hidden coupling between imputation strategy and downstream feature importance that any production deployment would need to break. Third, the Rails service currently treats the Flask predictor as authoritative and does not yet ingest a structured uncertainty band, which would be useful both for the clinician facing a borderline case and for any subsequent audit by an information-governance officer. None of these issues invalidates the prototype, but each one shapes the recommendations that follow.</w:t>
      </w:r>
    </w:p>
    <w:p>
      <w:pPr>
        <w:pStyle w:val="Heading2"/>
      </w:pPr>
      <w:r>
        <w:t>Recommendations for cautious clinical pilots</w:t>
      </w:r>
    </w:p>
    <w:p>
      <w:pPr>
        <w:spacing w:after="160" w:line="336" w:lineRule="auto"/>
      </w:pPr>
      <w:r>
        <w:t>Three guardrails are recommended for any small clinical pilot that might attempt to take this prototype out of the laboratory. The risk score should be displayed alongside a confidence interval derived from cross-validation variance and never as a single round number, because rounded numbers convey a precision the model does not own. Any patient for whom the top SHAP driver is skin-fold thickness should trigger a manual review prompt; that variable is the most volatile in the dataset and the most poorly measured in routine practice, so the system should refuse to over-rely on it. The dashboard should ship with a printable consultation note that quotes the model identifier, version, training-data size and date, so that clinicians and auditors can reproduce the conditions under which the score was produced. On the operational side, the Docker Compose stack should be rebuilt on a monthly schedule even where the model architecture itself is unchanged, so that the SHAP base value remains aligned with the most recent demographic profile of the surgery rather than with a frozen snapshot from training day.</w:t>
      </w:r>
    </w:p>
    <w:p>
      <w:pPr>
        <w:pStyle w:val="Heading2"/>
      </w:pPr>
      <w:r>
        <w:t>Research directions worth pursuing</w:t>
      </w:r>
    </w:p>
    <w:p>
      <w:pPr>
        <w:spacing w:after="160" w:line="336" w:lineRule="auto"/>
      </w:pPr>
      <w:r>
        <w:t>Looking outward from the immediate deliverable, four research questions are flagged here as plausible follow-on work. The first is generalisation: re-training the same pipeline against a more diverse cohort, ideally a UK Biobank slice or a deidentified NHS primary-care extract, will quantify how much of the present AUC was earned by the Pima distribution rather than by the architecture. The second is causal disentanglement: SHAP attributes correlation, not causation, and a structural causal model fitted on the same features would help reveal whether glucose dominates because it is the cause of the outcome or because it is its earliest measurable symptom. The third is longitudinal modelling: a single snapshot is a weak proxy for metabolic trajectory, and a temporal-fusion or recurrent architecture trained on annual review data could plausibly separate slow drift from acute decompensation. The fourth, and arguably the most consequential, is fairness: a stratified evaluation across self-reported ethnicity, age band and BMI quartile is needed before any deployment claim can survive an ethics review, and the present dataset is simply not rich enough to support that evaluation.</w:t>
      </w:r>
    </w:p>
    <w:p>
      <w:pPr>
        <w:pStyle w:val="Heading2"/>
      </w:pPr>
      <w:r>
        <w:t>Reproducibility envelope and engineering observations</w:t>
      </w:r>
    </w:p>
    <w:p>
      <w:pPr>
        <w:spacing w:after="160" w:line="336" w:lineRule="auto"/>
      </w:pPr>
      <w:r>
        <w:t>An additional pragmatic observation is that the reproducibility of this dissertation rests as much on its build pipeline as on its trained weights. Every figure in the evaluation chapter can be regenerated from a single docker compose invocation against the tagged model artefact, the training-set checksum is recorded in the model metadata file, and the evaluation notebook is parameterised by a random seed that is committed to source control rather than hidden inside an environment variable. None of those engineering decisions changes the headline AUC figure, but each of them protects the next reader of the work from the most common reproducibility failures that the wider machine-learning literature has been criticised for in recent years. The candidate would argue that publishing a clinical-decision pipeline without that level of build discipline would make the AUC number itself harder to defend in front of an examiner who has read the recent reproducibility literature, and the engineering effort to enforce it was modest enough that future students taking the dissertation as a template can follow the same pattern.</w:t>
      </w:r>
    </w:p>
    <w:p>
      <w:pPr>
        <w:pStyle w:val="Heading2"/>
      </w:pPr>
      <w:r>
        <w:t>Data-governance considerations</w:t>
      </w:r>
    </w:p>
    <w:p>
      <w:pPr>
        <w:spacing w:after="160" w:line="336" w:lineRule="auto"/>
      </w:pPr>
      <w:r>
        <w:t>A consideration that did not fit naturally inside the modelling chapters but that any clinical successor must address is data governance. The Pima dataset used here is openly redistributable, but the moment a successor project ingests primary-care records the governance picture changes radically: a Data Protection Impact Assessment becomes mandatory, the lawful basis for processing must be documented under Article 6 and Article 9 of the UK GDPR, and a data-processing agreement must exist between the research team and the surgery before any record leaves the surgery's clinical system. The Rails service is, deliberately, designed to be operated inside a closed network: it does not call any external service at inference time, the SHAP explanation is computed locally and model-update files are pulled rather than pushed. These properties are inexpensive to maintain in the present prototype and expensive to add later, and the recommendation here is that any successor project preserves them as architectural invariants rather than treating them as constraints to be relaxed for convenience.</w:t>
      </w:r>
    </w:p>
    <w:p>
      <w:pPr>
        <w:pStyle w:val="Heading2"/>
      </w:pPr>
      <w:r>
        <w:t>Implementation note on choosing LightGBM over XGBoost</w:t>
      </w:r>
    </w:p>
    <w:p>
      <w:pPr>
        <w:spacing w:after="160" w:line="336" w:lineRule="auto"/>
      </w:pPr>
      <w:r>
        <w:t>An implementation observation worth recording is the small but real productivity gap between LightGBM and XGBoost during the iterative phase of the work. Both libraries reached comparable AUC on the Pima cohort, but LightGBM's leaf-wise growth strategy produced a faster training-to-evaluation cycle on the candidate's laptop, which mattered more than the headline accuracy number during the months of rapid iteration. The interpretability story was almost identical between the two libraries because the SHAP attribution layer is library-agnostic, and the deployment story slightly favoured LightGBM because the serialised model file was meaningfully smaller. The candidate would not, on balance, recommend LightGBM uncritically to a successor: where the dataset grows past a few million rows or where the team has institutional XGBoost expertise the choice may flip. But for an MSc-scale tabular diabetes classifier, LightGBM is a defensible default and the evidence of this dissertation supports it. This kind of library-level implementation reflection rarely appears in published methodology, and the candidate would argue that it ought to: the friction cost of choosing the wrong tool is a real research-output cost, even when the headline metric remains comparable.</w:t>
      </w:r>
    </w:p>
    <w:p>
      <w:pPr>
        <w:pStyle w:val="Heading2"/>
      </w:pPr>
      <w:r>
        <w:t>Reflective close</w:t>
      </w:r>
    </w:p>
    <w:p>
      <w:pPr>
        <w:spacing w:after="160" w:line="336" w:lineRule="auto"/>
      </w:pPr>
      <w:r>
        <w:t>Stepping back from the technical detail, the project has tried to keep one principle visible at every stage: a risk score that cannot be defended in front of the patient it concerns is not a clinical asset. The DiabetesRisk AI prototype is therefore offered not as a finished product but as a working scaffold — a credible pipeline, an interpretable model, an auditable web service and a documented evaluation envelope — on which a future iteration, with broader data, formal calibration testing and a real ethics framework, could plausibly graduate into a useful clinical companion. The gap between what was achieved here and what would be required to deploy responsibly is real, but it is the kind of gap that can be closed by ordinary engineering and disciplined data work rather than by any fundamental theoretical breakthrough, and that, more than the headline AUC figure, is the result of which the candidate is most proud. The dissertation closes, therefore, with a deliberate refusal to overclaim: the system documented across these chapters is useful, partial and improvable, and that triple description is the most accurate single sentence the candidate can offer about six months of work.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