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b/>
          <w:bCs/>
          <w:color w:val="1F4E79"/>
          <w:sz w:val="36"/>
          <w:szCs w:val="36"/>
        </w:rPr>
        <w:t xml:space="preserve">Chapter 3: Methodology</w:t>
      </w:r>
    </w:p>
    <w:p>
      <w:pPr>
        <w:spacing w:after="360"/>
        <w:jc w:val="center"/>
      </w:pPr>
      <w:r>
        <w:rPr>
          <w:i/>
          <w:iCs/>
          <w:color w:val="1F4E79"/>
          <w:sz w:val="24"/>
          <w:szCs w:val="24"/>
        </w:rPr>
        <w:t xml:space="preserve">DiabetesRisk AI — Design, Implementation and Evaluation</w:t>
      </w:r>
    </w:p>
    <w:p>
      <w:pPr>
        <w:spacing w:after="120" w:before="120" w:line="360"/>
        <w:jc w:val="both"/>
      </w:pPr>
      <w:r>
        <w:t xml:space="preserve">This chapter delineates the research methodology adopted in the development of a diabetes risk prediction system. The study followed a structured software engineering and machine learning pipeline, progressing from dataset acquisition through feature preparation, model construction, performance evaluation, and web application integration. Each phase was designed with reproducibility and clinical interpretability as guiding principles. The overall system architecture consists of two decoupled tiers: a Python-based machine learning microservice responsible for model training, serialisation, and inference, and a Ruby on Rails web application responsible for user interaction, form presentation, and prediction rendering. Interaction between these tiers is mediated via a RESTful HTTP interface operating on port 5001, ensuring independent deployability and testability of each component.</w:t>
      </w:r>
    </w:p>
    <w:p>
      <w:pPr>
        <w:spacing w:after="120" w:before="120" w:line="360"/>
        <w:jc w:val="both"/>
      </w:pPr>
      <w:r>
        <w:t xml:space="preserve">Figure 3.1 shows the two-tier architecture that was actually built. The Rails 7 tier (port 3000) serves the form, validates user input against FEATURE_RANGES, and forwards a JSON payload to the Flask tier (port 5001). The Flask tier loads the serialised classifier and StandardScaler from ml/models/ on startup and exposes /health, /model_info, and /predict endpoints. The diagram is drawn from the exact modules that exist in the repository (ml/api.py, diabetes_app/app/controllers/predictions_controller.rb, and config/routes.rb).</w:t>
      </w:r>
    </w:p>
    <w:p>
      <w:pPr>
        <w:spacing w:after="80" w:before="240"/>
        <w:jc w:val="center"/>
      </w:pPr>
      <w:r>
        <w:drawing>
          <wp:inline distT="0" distB="0" distL="0" distR="0">
            <wp:extent cx="5905500" cy="2952750"/>
            <wp:effectExtent t="0" r="0" b="0" l="0"/>
            <wp:docPr id="1" name="diagrams/fig_system_architecture.png" descr="Figure 3.1 — Two-tier system architecture (Rails web tier ⇄ Flask ML tier)." title="Figure 3.1 — Two-tier system architecture (Rails web tier ⇄ Flask ML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200" w:before="0"/>
        <w:jc w:val="center"/>
      </w:pPr>
      <w:r>
        <w:rPr>
          <w:i/>
          <w:iCs/>
          <w:sz w:val="20"/>
          <w:szCs w:val="20"/>
        </w:rPr>
        <w:t xml:space="preserve">Figure 3.1 — Two-tier system architecture (Rails web tier ⇄ Flask ML tier).</w:t>
      </w:r>
    </w:p>
    <w:p>
      <w:pPr>
        <w:pStyle w:val="Heading1"/>
        <w:spacing w:after="180" w:before="360"/>
      </w:pPr>
      <w:r>
        <w:rPr>
          <w:b/>
          <w:bCs/>
        </w:rPr>
        <w:t xml:space="preserve">3.1 Research Design</w:t>
      </w:r>
    </w:p>
    <w:p>
      <w:pPr>
        <w:spacing w:after="120" w:before="120" w:line="360"/>
        <w:jc w:val="both"/>
      </w:pPr>
      <w:r>
        <w:t xml:space="preserve">A quantitative, experimental research design was employed throughout this investigation. The study aimed to determine which supervised classification algorithm, when trained on standardised clinical features, produces the most accurate and clinically useful diabetes risk prediction. Given the binary nature of the outcome variable — diabetic versus non-diabetic — the problem was formalised as a binary classification task. The design incorporated a comparative evaluation of five candidate algorithms, with the best-performing model subsequently deployed within a web-accessible decision-support interface.</w:t>
      </w:r>
    </w:p>
    <w:p>
      <w:pPr>
        <w:spacing w:after="120" w:before="120" w:line="360"/>
        <w:jc w:val="both"/>
      </w:pPr>
      <w:r>
        <w:t xml:space="preserve">The choice of a quantitative experimental paradigm was deliberate: the research question is answerable through measurable performance metrics, and the availability of a public annotated dataset supports reproducible experimental 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Heading1"/>
        <w:spacing w:after="180" w:before="360"/>
      </w:pPr>
      <w:r>
        <w:rPr>
          <w:b/>
          <w:bCs/>
        </w:rPr>
        <w:t xml:space="preserve">3.2 Dataset and Data Acquisition</w:t>
      </w:r>
    </w:p>
    <w:p>
      <w:pPr>
        <w:spacing w:after="120" w:before="120" w:line="360"/>
        <w:jc w:val="both"/>
      </w:pPr>
      <w:r>
        <w:t xml:space="preserve">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spacing w:after="120" w:before="120" w:line="360"/>
        <w:jc w:val="both"/>
      </w:pPr>
      <w:r>
        <w:t xml:space="preserve">Data acquisition was automated in load_dataset() (ml/train_model.py) via the ucimlrepo library, with CSV mirrors on public static hosts maintained as a fallback in the event of network unavailability. This dual-access strategy ensured experimental continuity regardless of external service availability. Prior to any modelling, a statistical summary of the dataset was generated, documenting feature distributions, the proportion of physiologically invalid entries, and the class balance ratio (500 non-diabetic, 268 diabetic). These values are logged verbatim at training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Attribute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 (from training_metrics.json)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Dataset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Pima Indians Diabetes Dataset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Source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UCI ML Repository (id=34)</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Rows × columns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768 × 9</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Class distribution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non-diabetic = 500, diabetic = 268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SMOTE-balanced shape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800 × 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Features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Pregnancies, Glucose, BloodPressure, SkinThickness, Insulin, BMI, DiabetesPedigreeFunction, Age</w:t>
            </w:r>
          </w:p>
        </w:tc>
      </w:tr>
    </w:tbl>
    <w:p>
      <w:pPr>
        <w:spacing w:after="240" w:before="80"/>
        <w:jc w:val="center"/>
      </w:pPr>
      <w:r>
        <w:rPr>
          <w:i/>
          <w:iCs/>
          <w:sz w:val="20"/>
          <w:szCs w:val="20"/>
        </w:rPr>
        <w:t xml:space="preserve">Table 3.1 — Dataset facts as recorded at training time.</w:t>
      </w:r>
    </w:p>
    <w:p>
      <w:pPr>
        <w:pStyle w:val="Heading1"/>
        <w:spacing w:after="180" w:before="360"/>
      </w:pPr>
      <w:r>
        <w:rPr>
          <w:b/>
          <w:bCs/>
        </w:rPr>
        <w:t xml:space="preserve">3.3 Data Preprocessing</w:t>
      </w:r>
    </w:p>
    <w:p>
      <w:pPr>
        <w:spacing w:after="120" w:before="120" w:line="360"/>
        <w:jc w:val="both"/>
      </w:pPr>
      <w:r>
        <w:t xml:space="preserve">Figure 3.2 visualises the preprocessing pipeline exactly as implemented in the preprocess() function of ml/train_model.py. The pipeline applies four ordered transformations — zero-invalid masking, median imputation, StandardScaler fitting, and SMOTE resampling — and returns (X_res, y_res) together with the fitted scaler.</w:t>
      </w:r>
    </w:p>
    <w:p>
      <w:pPr>
        <w:spacing w:after="80" w:before="240"/>
        <w:jc w:val="center"/>
      </w:pPr>
      <w:r>
        <w:drawing>
          <wp:inline distT="0" distB="0" distL="0" distR="0">
            <wp:extent cx="5905500" cy="2476500"/>
            <wp:effectExtent t="0" r="0" b="0" l="0"/>
            <wp:docPr id="1" name="diagrams/fig_preprocessing_flow.png" descr="Figure 3.2 — Preprocessing pipeline implemented in preprocess() (train_model.py)." title="Figure 3.2 — Preprocessing pipeline implemented in preprocess()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3.2 — Preprocessing pipeline implemented in preprocess() (train_model.py).</w:t>
      </w:r>
    </w:p>
    <w:p>
      <w:pPr>
        <w:pStyle w:val="Heading2"/>
        <w:spacing w:after="140" w:before="260"/>
      </w:pPr>
      <w:r>
        <w:rPr>
          <w:b/>
          <w:bCs/>
        </w:rPr>
        <w:t xml:space="preserve">3.3.1 Handling Physiologically Invalid Entries</w:t>
      </w:r>
    </w:p>
    <w:p>
      <w:pPr>
        <w:spacing w:after="120" w:before="120" w:line="360"/>
        <w:jc w:val="both"/>
      </w:pPr>
      <w:r>
        <w:t xml:space="preserve">Several features in the Pima dataset contain zero values that are clinically implausible. Specifically, zero readings for glucose, blood pressure, skin thickness, insulin, and BMI are biologically impossible and were therefore treated as missing at random (MAR). In 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 and skin thickness exhibit right-skewed distributions in which the mean is sensitive to extreme values. Imputation parameters were computed strictly within the training partition and applied identically to validation and test partitions to preclude data leakage.</w:t>
      </w:r>
    </w:p>
    <w:p>
      <w:pPr>
        <w:pStyle w:val="Heading2"/>
        <w:spacing w:after="140" w:before="260"/>
      </w:pPr>
      <w:r>
        <w:rPr>
          <w:b/>
          <w:bCs/>
        </w:rPr>
        <w:t xml:space="preserve">3.3.2 Feature Scaling</w:t>
      </w:r>
    </w:p>
    <w:p>
      <w:pPr>
        <w:spacing w:after="120" w:before="120" w:line="360"/>
        <w:jc w:val="both"/>
      </w:pPr>
      <w:r>
        <w:t xml:space="preserve">Following imputation, all feature vectors were standardised using scikit-learn's StandardScaler, transforming each feature to zero mean and unit variance. Standardisation was fitted exclusively on the training data. This transformation was applied prior to training all five classifiers, as several algorithms — including Logistic Regression and Support Vector Machines — are sensitive to the scale of input features. Gradient-based optimisation convergence is also accelerated when feature magnitudes are comparable. Although tree-based ensembles such as Random Forest, XGBoost, and LightGBM are theoretically scale-invariant, standardisation was applied uniformly across all classifiers to ensure a controlled experimental comparison in which any observed performance differences are attributable to algorithmic properties rather than feature scale artefacts. The fitted scaler is persisted as scaler.pkl alongside the classifier.</w:t>
      </w:r>
    </w:p>
    <w:p>
      <w:pPr>
        <w:pStyle w:val="Heading2"/>
        <w:spacing w:after="140" w:before="260"/>
      </w:pPr>
      <w:r>
        <w:rPr>
          <w:b/>
          <w:bCs/>
        </w:rPr>
        <w:t xml:space="preserve">3.3.3 Class Imbalance Remediation</w:t>
      </w:r>
    </w:p>
    <w:p>
      <w:pPr>
        <w:spacing w:after="120" w:before="120" w:line="360"/>
        <w:jc w:val="both"/>
      </w:pPr>
      <w:r>
        <w:t xml:space="preserve">The dataset exhibits a notable imbalance, with approximately 65% of records corresponding to the non-diabetic class. To mitigate the risk of 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metrics.</w:t>
      </w:r>
    </w:p>
    <w:p>
      <w:pPr>
        <w:pStyle w:val="Heading1"/>
        <w:spacing w:after="180" w:before="360"/>
      </w:pPr>
      <w:r>
        <w:rPr>
          <w:b/>
          <w:bCs/>
        </w:rPr>
        <w:t xml:space="preserve">3.4 Partitioning, Cross-Validation and Hold-out Evaluation</w:t>
      </w:r>
    </w:p>
    <w:p>
      <w:pPr>
        <w:spacing w:after="120" w:before="120" w:line="360"/>
        <w:jc w:val="both"/>
      </w:pPr>
      <w:r>
        <w:t xml:space="preserve">Figure 3.3 shows the hold-out evaluation flow. The dataset was split using a stratified 80/20 train-test split, with test_size=0.2 and random_state=42. Stratification preserved the original 65/35 class ratio within both the training and test partitions, preventing the test set from being unrepresentatively balanced or imbalanced. Within the training set, GridSearchCV with StratifiedKFold(n_splits=5, shuffle=True, random_state=42) was applied during hyperparameter optimisation. Five folds were selected as a balance between variance reduction — which favours more folds — and computational cost, which favours fewer.</w:t>
      </w:r>
    </w:p>
    <w:p>
      <w:pPr>
        <w:spacing w:after="80" w:before="240"/>
        <w:jc w:val="center"/>
      </w:pPr>
      <w:r>
        <w:drawing>
          <wp:inline distT="0" distB="0" distL="0" distR="0">
            <wp:extent cx="5715000" cy="2476500"/>
            <wp:effectExtent t="0" r="0" b="0" l="0"/>
            <wp:docPr id="1" name="diagrams/fig_evaluation_flow.png" descr="Figure 3.3 — Partitioning and hold-out evaluation (_honest_eval in train_model.py)." title="Figure 3.3 — Partitioning and hold-out evaluation (_honest_eval in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200" w:before="0"/>
        <w:jc w:val="center"/>
      </w:pPr>
      <w:r>
        <w:rPr>
          <w:i/>
          <w:iCs/>
          <w:sz w:val="20"/>
          <w:szCs w:val="20"/>
        </w:rPr>
        <w:t xml:space="preserve">Figure 3.3 — Partitioning and hold-out evaluation (_honest_eval in train_model.py).</w:t>
      </w:r>
    </w:p>
    <w:p>
      <w:pPr>
        <w:spacing w:after="120" w:before="120" w:line="360"/>
        <w:jc w:val="both"/>
      </w:pPr>
      <w:r>
        <w:t xml:space="preserve">The AUC-ROC was used as the optimisation criterion across all searches (scoring="roc_auc" in the actual GridSearchCV calls), as it is robust to class imbalance and reflects the discriminative ability of the classifier across all decision thresholds simultaneously.</w:t>
      </w:r>
    </w:p>
    <w:p>
      <w:pPr>
        <w:pStyle w:val="Heading2"/>
        <w:spacing w:after="140" w:before="260"/>
      </w:pPr>
      <w:r>
        <w:rPr>
          <w:b/>
          <w:bCs/>
        </w:rPr>
        <w:t xml:space="preserve">3.4.1 Hyperparameter Search Spaces</w:t>
      </w:r>
    </w:p>
    <w:p>
      <w:pPr>
        <w:spacing w:after="120" w:before="120" w:line="360"/>
        <w:jc w:val="both"/>
      </w:pPr>
      <w:r>
        <w:t xml:space="preserve">The grids below are transcribed from the grids list in train_all() so that the dissertation and the code cannot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Algorithm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Hyperparameter grid (verbatim from train_model.py)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LogisticRegression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{0.1, 1.0, 10.0}; solver = 'lbfgs'; max_iter = 2000</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RandomForest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{None, 8, 12}</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XGBoost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LightGBM</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SVM (rbf)</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{0.5, 1.0, 2.0}; gamma ∈ {'scale', 'auto'}; probability = True</w:t>
            </w:r>
          </w:p>
        </w:tc>
      </w:tr>
    </w:tbl>
    <w:p>
      <w:pPr>
        <w:spacing w:after="240" w:before="80"/>
        <w:jc w:val="center"/>
      </w:pPr>
      <w:r>
        <w:rPr>
          <w:i/>
          <w:iCs/>
          <w:sz w:val="20"/>
          <w:szCs w:val="20"/>
        </w:rPr>
        <w:t xml:space="preserve">Table 3.2 — Grid-search hyperparameter spaces as defined in train_model.py.</w:t>
      </w:r>
    </w:p>
    <w:p>
      <w:pPr>
        <w:pStyle w:val="Heading1"/>
        <w:spacing w:after="180" w:before="360"/>
      </w:pPr>
      <w:r>
        <w:rPr>
          <w:b/>
          <w:bCs/>
        </w:rPr>
        <w:t xml:space="preserve">3.5 Model Development and Selection</w:t>
      </w:r>
    </w:p>
    <w:p>
      <w:pPr>
        <w:spacing w:after="120" w:before="120" w:line="360"/>
        <w:jc w:val="both"/>
      </w:pPr>
      <w:r>
        <w:t xml:space="preserve">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 from each family is evaluated on the resampled data, and _pick_best() selects the single classifier with the highest AUC. The resulting model is serialised with joblib and its metadata written to model_meta.json.</w:t>
      </w:r>
    </w:p>
    <w:p>
      <w:pPr>
        <w:spacing w:after="80" w:before="240"/>
        <w:jc w:val="center"/>
      </w:pPr>
      <w:r>
        <w:drawing>
          <wp:inline distT="0" distB="0" distL="0" distR="0">
            <wp:extent cx="5905500" cy="3429000"/>
            <wp:effectExtent t="0" r="0" b="0" l="0"/>
            <wp:docPr id="1" name="diagrams/fig_gridsearch_ensemble.png" descr="Figure 3.4 — Comparative grid-search and best-model selection (train_all + _pick_best)." title="Figure 3.4 — Comparative grid-search and best-model selection (train_all + _pick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3.4 — Comparative grid-search and best-model selection (train_all + _pick_best).</w:t>
      </w:r>
    </w:p>
    <w:p>
      <w:pPr>
        <w:spacing w:after="120" w:before="120" w:line="360"/>
        <w:jc w:val="both"/>
      </w:pPr>
      <w:r>
        <w:t xml:space="preserve">Model selection was governed by a composite threshold: AUC-ROC of at least 0.85, F1-score of at least 0.80, and recall on the positive class of at least 0.78 (constants AUC_TARGET, F1_TARGET, RECALL_TARGET in the code). These thresholds were calibrated to prioritise sensitivity — that is, the correct identification of diabetic individuals — in recognition of the asymmetric cost of false negatives in a clinical screening context. A false negative in this domain means that a patient at genuine risk of diabetes receives no recommendation to seek further clinical assessment, representing a potentially consequential missed intervention opportunity.</w:t>
      </w:r>
    </w:p>
    <w:p>
      <w:pPr>
        <w:spacing w:after="120" w:before="120" w:line="360"/>
        <w:jc w:val="both"/>
      </w:pPr>
      <w:r>
        <w:t xml:space="preserve">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Heading1"/>
        <w:spacing w:after="180" w:before="360"/>
      </w:pPr>
      <w:r>
        <w:rPr>
          <w:b/>
          <w:bCs/>
        </w:rPr>
        <w:t xml:space="preserve">3.6 Explainability with SHAP</w:t>
      </w:r>
    </w:p>
    <w:p>
      <w:pPr>
        <w:spacing w:after="120" w:before="120" w:line="360"/>
        <w:jc w:val="both"/>
      </w:pPr>
      <w:r>
        <w:t xml:space="preserve">Model explainability was incorporated via SHapley Additive exPlanations (SHAP), a game-theoretic framework that assigns each input feature a contribution value to the deviation of a given prediction from the expected model output. SHAP values satisfy three desirable properties for clinical applications: local accuracy (the sum of feature contributions equals the prediction), missingness (absent features receive zero contribution), and consistency (a feature's contribution cannot decrease when its marginal contribution to the model increases). For tree-based models — Random Forest, XGBoost, and LightGBM — a TreeExplainer is instantiated, computing exact SHAP values in polynomial time. For non-tree models, the code falls back to a KernelExplainer constructed from clf.predict_proba.</w:t>
      </w:r>
    </w:p>
    <w:p>
      <w:pPr>
        <w:spacing w:after="120" w:before="120" w:line="360"/>
        <w:jc w:val="both"/>
      </w:pPr>
      <w:r>
        <w:t xml:space="preserve">SHAP values are returned alongside each prediction as part of the inference API response (see the shap_values field produced by _shap_for_row() in api.py), enabling the Rails result view to present a feature-level contribution ranking to end users. Feature contributions are displayed as a sorted bar chart, with positive contributions coloured to indicate risk-elevating factors and negative contributions indicating protective factors.</w:t>
      </w:r>
    </w:p>
    <w:p>
      <w:pPr>
        <w:spacing w:after="120" w:before="120" w:line="360"/>
        <w:jc w:val="both"/>
      </w:pPr>
      <w:r>
        <w:t xml:space="preserve">Figure 3.5 shows the mean-absolute SHAP magnitude across the held-out test set, computed from the same classifier that is served in production. Glucose, BMI, and age dominate the ranking, which aligns with established clinical risk literature for Type 2 diabetes.</w:t>
      </w:r>
    </w:p>
    <w:p>
      <w:pPr>
        <w:spacing w:after="80" w:before="240"/>
        <w:jc w:val="center"/>
      </w:pPr>
      <w:r>
        <w:drawing>
          <wp:inline distT="0" distB="0" distL="0" distR="0">
            <wp:extent cx="4953000" cy="3429000"/>
            <wp:effectExtent t="0" r="0" b="0" l="0"/>
            <wp:docPr id="1" name="feature_importance.png" descr="Figure 3.5 — Feature importance derived from SHAP (evidence/feature_importance.png)." title="Figure 3.5 — Feature importance derived from SHAP (evidenc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29000"/>
                    </a:xfrm>
                    <a:prstGeom prst="rect">
                      <a:avLst/>
                    </a:prstGeom>
                  </pic:spPr>
                </pic:pic>
              </a:graphicData>
            </a:graphic>
          </wp:inline>
        </w:drawing>
      </w:r>
    </w:p>
    <w:p>
      <w:pPr>
        <w:spacing w:after="200" w:before="0"/>
        <w:jc w:val="center"/>
      </w:pPr>
      <w:r>
        <w:rPr>
          <w:i/>
          <w:iCs/>
          <w:sz w:val="20"/>
          <w:szCs w:val="20"/>
        </w:rPr>
        <w:t xml:space="preserve">Figure 3.5 — Feature importance derived from SHAP (evidence/feature_importance.png).</w:t>
      </w:r>
    </w:p>
    <w:p>
      <w:pPr>
        <w:pStyle w:val="Heading1"/>
        <w:spacing w:after="180" w:before="360"/>
      </w:pPr>
      <w:r>
        <w:rPr>
          <w:b/>
          <w:bCs/>
        </w:rPr>
        <w:t xml:space="preserve">3.7 System Architecture and API Design</w:t>
      </w:r>
    </w:p>
    <w:p>
      <w:pPr>
        <w:spacing w:after="120" w:before="120" w:line="360"/>
        <w:jc w:val="both"/>
      </w:pPr>
      <w:r>
        <w:t xml:space="preserve">The machine learning inference layer was exposed as a Flask REST API. The /predict endpoint accepts eight numeric feature values as a JSON payload and returns the predicted class, class probabilities, a confidence score, SHAP feature attributions, and a plain-language clinical guidance statement. The /health endpoint provides a lightweight liveness probe returning the currently loaded model's algorithm name and AUC-ROC, whilst the /model_info endpoint returns the complete metadata record including hyperparameter configuration and evaluation metrics. Input validation is implemented at both the Rails boundary (validate_input against FEATURE_RANGES) and the Flask boundary (missing-key and non-numeric checks in predict()).</w:t>
      </w:r>
    </w:p>
    <w:p>
      <w:pPr>
        <w:spacing w:after="120" w:before="120" w:line="360"/>
        <w:jc w:val="both"/>
      </w:pPr>
      <w:r>
        <w:t xml:space="preserve">Figure 3.6 is a sequence diagram of the end-to-end request. The browser posts the form to the Rails controller, which validates against FEATURE_RANGES before forwarding the payload with HTTParty.post. The Flask layer scales the input with the persisted StandardScaler, calls clf.predict_proba, builds the SHAP attribution dictionary, and returns a single JSON document that includes the clinical guidance text and the model disclaimer.</w:t>
      </w:r>
    </w:p>
    <w:p>
      <w:pPr>
        <w:spacing w:after="80" w:before="240"/>
        <w:jc w:val="center"/>
      </w:pPr>
      <w:r>
        <w:drawing>
          <wp:inline distT="0" distB="0" distL="0" distR="0">
            <wp:extent cx="5905500" cy="3619500"/>
            <wp:effectExtent t="0" r="0" b="0" l="0"/>
            <wp:docPr id="1" name="diagrams/fig_request_sequence.png" descr="Figure 3.6 — End-to-end prediction sequence (derived from predictions_controller.rb and api.py)." title="Figure 3.6 — End-to-end prediction sequence (derived from predictions_controller.rb and api.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spacing w:after="200" w:before="0"/>
        <w:jc w:val="center"/>
      </w:pPr>
      <w:r>
        <w:rPr>
          <w:i/>
          <w:iCs/>
          <w:sz w:val="20"/>
          <w:szCs w:val="20"/>
        </w:rPr>
        <w:t xml:space="preserve">Figure 3.6 — End-to-end prediction sequence (derived from predictions_controller.rb and api.py).</w:t>
      </w:r>
    </w:p>
    <w:p>
      <w:pPr>
        <w:spacing w:after="120" w:before="120" w:line="360"/>
        <w:jc w:val="both"/>
      </w:pPr>
      <w:r>
        <w:t xml:space="preserve">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 the prediction outcome, confidence percentage, and SHAP attribution chart. Rails flash messages communicate API errors — including connection failures and validation rejections — in plain language accessible to non-technical end users.</w:t>
      </w:r>
    </w:p>
    <w:p>
      <w:pPr>
        <w:pStyle w:val="Heading2"/>
        <w:spacing w:after="140" w:before="260"/>
      </w:pPr>
      <w:r>
        <w:rPr>
          <w:b/>
          <w:bCs/>
        </w:rPr>
        <w:t xml:space="preserve">3.7.1 Containerised Deployment</w:t>
      </w:r>
    </w:p>
    <w:p>
      <w:pPr>
        <w:spacing w:after="120" w:before="120" w:line="360"/>
        <w:jc w:val="both"/>
      </w:pPr>
      <w:r>
        <w:t xml:space="preserve">The application is configured for containerised deployment using Docker Compose. The Flask API service (ml_api) is defined with a Python base image, with the 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 Persistent volumes are declared for the Rails file storage and the serialised model artefacts directory, enabling model weights to survive container restarts without retraining. Pre-built images are published to Docker Hub and referenced via docker-compose.hub.yml.</w:t>
      </w:r>
    </w:p>
    <w:p>
      <w:pPr>
        <w:pStyle w:val="Heading1"/>
        <w:spacing w:after="180" w:before="360"/>
      </w:pPr>
      <w:r>
        <w:rPr>
          <w:b/>
          <w:bCs/>
        </w:rPr>
        <w:t xml:space="preserve">3.8 Training Execution</w:t>
      </w:r>
    </w:p>
    <w:p>
      <w:pPr>
        <w:spacing w:after="120" w:before="120" w:line="360"/>
        <w:jc w:val="both"/>
      </w:pPr>
      <w:r>
        <w:t xml:space="preserve">Figure 3.7 lays out the top-level training script (train_model.py → main()) as an ordered pipeline: load_dataset() → preprocess() → train_all() → _pick_best() → _honest_eval() → joblib.dump(). Each stage writes a specific artefact; the three artefacts persisted at the end (best_model.pkl, scaler.pkl, model_meta.json) are the exact files read by api.py at start-up.</w:t>
      </w:r>
    </w:p>
    <w:p>
      <w:pPr>
        <w:spacing w:after="80" w:before="240"/>
        <w:jc w:val="center"/>
      </w:pPr>
      <w:r>
        <w:drawing>
          <wp:inline distT="0" distB="0" distL="0" distR="0">
            <wp:extent cx="5905500" cy="2476500"/>
            <wp:effectExtent t="0" r="0" b="0" l="0"/>
            <wp:docPr id="1" name="diagrams/fig_training_pipeline.png" descr="Figure 3.7 — Training pipeline (end-to-end stages of train_model.py::main)." title="Figure 3.7 — Training pipeline (end-to-end stages of train_model.p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3.7 — Training pipeline (end-to-end stages of train_model.py::main).</w:t>
      </w:r>
    </w:p>
    <w:p>
      <w:pPr>
        <w:pStyle w:val="Heading1"/>
        <w:spacing w:after="180" w:before="360"/>
      </w:pPr>
      <w:r>
        <w:rPr>
          <w:b/>
          <w:bCs/>
        </w:rPr>
        <w:t xml:space="preserve">3.9 Evaluation Strategy and Results</w:t>
      </w:r>
    </w:p>
    <w:p>
      <w:pPr>
        <w:spacing w:after="120" w:before="120" w:line="360"/>
        <w:jc w:val="both"/>
      </w:pPr>
      <w:r>
        <w:t xml:space="preserve">Model performance was assessed on the held-out test set constituting twenty percent of the original dataset. Evaluation metrics comprised accuracy, precision, recall, F1-score, and AUC-ROC, reported for both the positive and negative classes. Confusion matrices were generated to support granular analysis of error types — specifically, the false-negative rate among genuinely diabetic patients, which was identified as the most clinically consequential error category. The precision-recall curve was generated as a complement to the ROC curve, as it is more informative than ROC in the presence of class imbalance. All evaluation results were persisted to evidence/training_metrics.json for external reporting.</w:t>
      </w:r>
    </w:p>
    <w:p>
      <w:pPr>
        <w:pStyle w:val="Heading2"/>
        <w:spacing w:after="140" w:before="260"/>
      </w:pPr>
      <w:r>
        <w:rPr>
          <w:b/>
          <w:bCs/>
        </w:rPr>
        <w:t xml:space="preserve">3.9.1 Discrimination Curves</w:t>
      </w:r>
    </w:p>
    <w:p>
      <w:pPr>
        <w:spacing w:after="120" w:before="120" w:line="360"/>
        <w:jc w:val="both"/>
      </w:pPr>
      <w:r>
        <w:t xml:space="preserve">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spacing w:after="80" w:before="240"/>
        <w:jc w:val="center"/>
      </w:pPr>
      <w:r>
        <w:drawing>
          <wp:inline distT="0" distB="0" distL="0" distR="0">
            <wp:extent cx="5334000" cy="3619500"/>
            <wp:effectExtent t="0" r="0" b="0" l="0"/>
            <wp:docPr id="1" name="roc_curve.png" descr="Figure 3.8 — ROC curve (evidence/roc_curve.png)." title="Figure 3.8 — ROC curve (evidenc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3.8 — ROC curve (evidence/roc_curve.png).</w:t>
      </w:r>
    </w:p>
    <w:p>
      <w:pPr>
        <w:spacing w:after="80" w:before="240"/>
        <w:jc w:val="center"/>
      </w:pPr>
      <w:r>
        <w:drawing>
          <wp:inline distT="0" distB="0" distL="0" distR="0">
            <wp:extent cx="5334000" cy="3619500"/>
            <wp:effectExtent t="0" r="0" b="0" l="0"/>
            <wp:docPr id="1" name="precision_recall_curve.png" descr="Figure 3.9 — Precision-recall curve (evidence/precision_recall_curve.png)." title="Figure 3.9 — Precision-recall curve (evidence/precision_recall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3.9 — Precision-recall curve (evidence/precision_recall_curve.png).</w:t>
      </w:r>
    </w:p>
    <w:p>
      <w:pPr>
        <w:pStyle w:val="Heading2"/>
        <w:spacing w:after="140" w:before="260"/>
      </w:pPr>
      <w:r>
        <w:rPr>
          <w:b/>
          <w:bCs/>
        </w:rPr>
        <w:t xml:space="preserve">3.9.2 Confusion Matrices</w:t>
      </w:r>
    </w:p>
    <w:p>
      <w:pPr>
        <w:spacing w:after="120" w:before="120" w:line="360"/>
        <w:jc w:val="both"/>
      </w:pPr>
      <w:r>
        <w:t xml:space="preserve">Figures 3.10 and 3.11 report the confusion matrices on the SMOTE-balanced training set and the pre-SMOTE stratified hold-out set. They are shown side by side to expose the generalisation gap between the training and deployment distributions.</w:t>
      </w:r>
    </w:p>
    <w:p>
      <w:pPr>
        <w:spacing w:after="80" w:before="240"/>
        <w:jc w:val="center"/>
      </w:pPr>
      <w:r>
        <w:drawing>
          <wp:inline distT="0" distB="0" distL="0" distR="0">
            <wp:extent cx="5334000" cy="3810000"/>
            <wp:effectExtent t="0" r="0" b="0" l="0"/>
            <wp:docPr id="1" name="confusion_matrix_training.png" descr="Figure 3.10 — Confusion matrix on the SMOTE-balanced training set." title="Figure 3.10 — Confusion matrix on the SMOTE-balanced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3.10 — Confusion matrix on the SMOTE-balanced training set.</w:t>
      </w:r>
    </w:p>
    <w:p>
      <w:pPr>
        <w:spacing w:after="80" w:before="240"/>
        <w:jc w:val="center"/>
      </w:pPr>
      <w:r>
        <w:drawing>
          <wp:inline distT="0" distB="0" distL="0" distR="0">
            <wp:extent cx="5334000" cy="3810000"/>
            <wp:effectExtent t="0" r="0" b="0" l="0"/>
            <wp:docPr id="1" name="confusion_matrix_test.png" descr="Figure 3.11 — Confusion matrix on the 20% held-out test set." title="Figure 3.11 — Confusion matrix on the 20%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3.11 — Confusion matrix on the 20% held-out test set.</w:t>
      </w:r>
    </w:p>
    <w:p>
      <w:pPr>
        <w:pStyle w:val="Heading2"/>
        <w:spacing w:after="140" w:before="260"/>
      </w:pPr>
      <w:r>
        <w:rPr>
          <w:b/>
          <w:bCs/>
        </w:rPr>
        <w:t xml:space="preserve">3.9.3 Cross-Validation Stability</w:t>
      </w:r>
    </w:p>
    <w:p>
      <w:pPr>
        <w:spacing w:after="120" w:before="120" w:line="360"/>
        <w:jc w:val="both"/>
      </w:pPr>
      <w:r>
        <w:t xml:space="preserve">Figure 3.12 shows the five per-fold accuracies produced by the 5-fold StratifiedKFold run. The fold-level values (0.7438, 0.8375, 0.8063, 0.8000, 0.8375) and their mean/std (0.8050 ± 0.0343) are recorded in training_metrics.json and match the plot.</w:t>
      </w:r>
    </w:p>
    <w:p>
      <w:pPr>
        <w:spacing w:after="80" w:before="240"/>
        <w:jc w:val="center"/>
      </w:pPr>
      <w:r>
        <w:drawing>
          <wp:inline distT="0" distB="0" distL="0" distR="0">
            <wp:extent cx="5334000" cy="3429000"/>
            <wp:effectExtent t="0" r="0" b="0" l="0"/>
            <wp:docPr id="1" name="cross_validation_scores.png" descr="Figure 3.12 — 5-fold StratifiedKFold accuracies (evidence/cross_validation_scores.png)." title="Figure 3.12 — 5-fold StratifiedKFold accuracies (evidence/cross_validation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spacing w:after="200" w:before="0"/>
        <w:jc w:val="center"/>
      </w:pPr>
      <w:r>
        <w:rPr>
          <w:i/>
          <w:iCs/>
          <w:sz w:val="20"/>
          <w:szCs w:val="20"/>
        </w:rPr>
        <w:t xml:space="preserve">Figure 3.12 — 5-fold StratifiedKFold accuracies (evidence/cross_validation_scores.png).</w:t>
      </w:r>
    </w:p>
    <w:p>
      <w:pPr>
        <w:pStyle w:val="Heading2"/>
        <w:spacing w:after="140" w:before="260"/>
      </w:pPr>
      <w:r>
        <w:rPr>
          <w:b/>
          <w:bCs/>
        </w:rPr>
        <w:t xml:space="preserve">3.9.4 Comparative Model Performance</w:t>
      </w:r>
    </w:p>
    <w:p>
      <w:pPr>
        <w:spacing w:after="120" w:before="120" w:line="360"/>
        <w:jc w:val="both"/>
      </w:pPr>
      <w:r>
        <w:t xml:space="preserve">Figure 3.13 compares all five grid-searched families on the held-out test set (AUC, F1, recall, and precision). These values are recorded in training_metrics.json under model_comparison and are the basis for the selection decision documented in section 3.5.</w:t>
      </w:r>
    </w:p>
    <w:p>
      <w:pPr>
        <w:spacing w:after="80" w:before="240"/>
        <w:jc w:val="center"/>
      </w:pPr>
      <w:r>
        <w:drawing>
          <wp:inline distT="0" distB="0" distL="0" distR="0">
            <wp:extent cx="5905500" cy="3429000"/>
            <wp:effectExtent t="0" r="0" b="0" l="0"/>
            <wp:docPr id="1" name="model_comparison.png" descr="Figure 3.13 — Comparative test-set performance across all five classifier families." title="Figure 3.13 — Comparative test-set performance across all five classifier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3.13 — Comparative test-set performance across all five classifier families.</w:t>
      </w:r>
    </w:p>
    <w:p>
      <w:pPr>
        <w:pStyle w:val="Heading1"/>
        <w:spacing w:after="180" w:before="360"/>
      </w:pPr>
      <w:r>
        <w:rPr>
          <w:b/>
          <w:bCs/>
        </w:rPr>
        <w:t xml:space="preserve">3.10 Ethical Considerations</w:t>
      </w:r>
    </w:p>
    <w:p>
      <w:pPr>
        <w:spacing w:after="120" w:before="120" w:line="360"/>
        <w:jc w:val="both"/>
      </w:pPr>
      <w:r>
        <w:t xml:space="preserve">The dataset employed in this research is publicly available and de-identified, precluding concerns regarding participant confidentiality or informed consent. The deployed application is accompanied by a disclaimer — embedded directly in every API response — explicitly stating that predictions are intended to support, rather than replace, qualified clinical judgement, and that the model was trained on data from adult females of Pima Indian heritage aged ≥ 21 and must not be interpreted outside that context. The system does not retain user-submitted data beyond the immediate request-response cycle, and all inference is performed ephemerally in server memory. These design choices limit both the personal data liability of the system and the risk of secondary use of sensitive health information. The plain-language clinical guidance text returned alongside each prediction was reviewed against publicly available diabetes communication guidance to ensure language is accurate, non-alarmist, and actionable.</w:t>
      </w:r>
    </w:p>
    <w:p>
      <w:pPr>
        <w:pStyle w:val="Heading1"/>
        <w:spacing w:after="180" w:before="360"/>
      </w:pPr>
      <w:r>
        <w:rPr>
          <w:b/>
          <w:bCs/>
        </w:rPr>
        <w:t xml:space="preserve">3.11 Software Testing and Quality Assurance</w:t>
      </w:r>
    </w:p>
    <w:p>
      <w:pPr>
        <w:spacing w:after="120" w:before="120" w:line="360"/>
        <w:jc w:val="both"/>
      </w:pPr>
      <w:r>
        <w:t xml:space="preserve">Unit testing of the Flask API was conducted using pytest. Test cases verify that the /predict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spacing w:after="120" w:before="120" w:line="360"/>
        <w:jc w:val="both"/>
      </w:pPr>
      <w:r>
        <w:t xml:space="preserve">Integration testing of the Rails application was implemented with the default Rails test stack and Capybara. A system test navigates the prediction form, submits clinically valid feature values drawn from the Pima dataset, and asserts that 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Heading1"/>
        <w:spacing w:after="180" w:before="360"/>
      </w:pPr>
      <w:r>
        <w:rPr>
          <w:b/>
          <w:bCs/>
        </w:rPr>
        <w:t xml:space="preserve">3.12 Limitations and Future Work</w:t>
      </w:r>
    </w:p>
    <w:p>
      <w:pPr>
        <w:spacing w:after="120" w:before="120" w:line="360"/>
        <w:jc w:val="both"/>
      </w:pPr>
      <w:r>
        <w:t xml:space="preserve">The Pima Indians Diabetes Dataset was collected exclusively from adult women of Pima Native American heritage, which limits the direct generalisability of the trained model to other demographic groups with different baseline risk profiles, comorbidity patterns, or physiological measurement distributions. The high proportion of zero values in the insulin and skin thickness features, treated here as MAR, may in fact reflect clinical decisions correlated with diabetes diagnosis, introducing a potential informative missingness bias. Future iterations of the system should evaluate model performance on population-stratified hold-outs drawn from multi-ethnic cohorts such as NHANES or UK Biobank.</w:t>
      </w:r>
    </w:p>
    <w:p>
      <w:pPr>
        <w:spacing w:after="120" w:before="120" w:line="360"/>
        <w:jc w:val="both"/>
      </w:pPr>
      <w:r>
        <w:t xml:space="preserve">The current system does not support automated model retraining as new patient data accumulates over deployment. A production-grade implementation would benefit from a monitoring pipeline that tracks the distribution of submitted feature values and triggers retraining when the divergence from the training distribution exceeds a configurable threshold. Additionally, the fixed 80/20 train-test split introduces partition-specific variance in the reported metrics; a repeated k-fold evaluation over multiple independent splits would produce more stable performance estimates, though the dataset's size mitigates this concern to some degree.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f63c75e12b0e9158aaa04593480fbf0726abee.png"/><Relationship Id="rId8" Type="http://schemas.openxmlformats.org/officeDocument/2006/relationships/image" Target="media/3b9f1691cca8debb6117188924a54bc34f1898cc.png"/><Relationship Id="rId9" Type="http://schemas.openxmlformats.org/officeDocument/2006/relationships/image" Target="media/c815e9f335a93227828d4c5ea23b18bfc4dc2137.png"/><Relationship Id="rId10" Type="http://schemas.openxmlformats.org/officeDocument/2006/relationships/image" Target="media/740699fe4ceec26009da56d86eb512295c5e2f21.png"/><Relationship Id="rId11" Type="http://schemas.openxmlformats.org/officeDocument/2006/relationships/image" Target="media/f4c37b255ce2c67ddcb88f8b6381414eb2f780ac.png"/><Relationship Id="rId12" Type="http://schemas.openxmlformats.org/officeDocument/2006/relationships/image" Target="media/710a8e4a88ba49cc429f19b888508d652cf0cf2c.png"/><Relationship Id="rId13" Type="http://schemas.openxmlformats.org/officeDocument/2006/relationships/image" Target="media/84871fa402539112640bd96c2341fc4df1a233c8.png"/><Relationship Id="rId14" Type="http://schemas.openxmlformats.org/officeDocument/2006/relationships/image" Target="media/67f2be11436d97a3c824dcb01ed9c29e5e757c4e.png"/><Relationship Id="rId15" Type="http://schemas.openxmlformats.org/officeDocument/2006/relationships/image" Target="media/2ce83866ce6ef2b2ee26c7cf70882cf2658e4000.png"/><Relationship Id="rId16" Type="http://schemas.openxmlformats.org/officeDocument/2006/relationships/image" Target="media/4023f4e51b5959d0a9ba327059eb83c03e96dcb5.png"/><Relationship Id="rId17" Type="http://schemas.openxmlformats.org/officeDocument/2006/relationships/image" Target="media/8811745adf1ae3a2d1904cea7d16c88898772297.png"/><Relationship Id="rId18" Type="http://schemas.openxmlformats.org/officeDocument/2006/relationships/image" Target="media/92418faf80441dd7ac3bbd74f91f670a6fcef18a.png"/><Relationship Id="rId19" Type="http://schemas.openxmlformats.org/officeDocument/2006/relationships/image" Target="media/ceb6d3ffcca1ba6ee6ebfe7defa8249241deec8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2026-04-19T08:41:54.877Z</dcterms:created>
  <dcterms:modified xsi:type="dcterms:W3CDTF">2026-04-19T08:41:54.878Z</dcterms:modified>
</cp:coreProperties>
</file>

<file path=docProps/custom.xml><?xml version="1.0" encoding="utf-8"?>
<Properties xmlns="http://schemas.openxmlformats.org/officeDocument/2006/custom-properties" xmlns:vt="http://schemas.openxmlformats.org/officeDocument/2006/docPropsVTypes"/>
</file>