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Times New Roman" w:cs="Times New Roman" w:eastAsia="Times New Roman" w:hAnsi="Times New Roman"/>
          <w:b/>
          <w:bCs/>
          <w:sz w:val="32"/>
          <w:szCs w:val="32"/>
        </w:rPr>
        <w:t xml:space="preserve">UNIVERSITY OF EAST LONDON</w:t>
      </w:r>
    </w:p>
    <w:p>
      <w:pPr>
        <w:spacing w:after="240"/>
        <w:jc w:val="center"/>
      </w:pPr>
      <w:r>
        <w:rPr>
          <w:rFonts w:ascii="Times New Roman" w:cs="Times New Roman" w:eastAsia="Times New Roman" w:hAnsi="Times New Roman"/>
          <w:sz w:val="24"/>
          <w:szCs w:val="24"/>
        </w:rPr>
        <w:t xml:space="preserve">School of Architecture, Computing &amp; Engineering</w:t>
      </w:r>
    </w:p>
    <w:p>
      <w:pPr>
        <w:spacing w:before="960" w:after="480"/>
        <w:jc w:val="center"/>
      </w:pPr>
      <w:r>
        <w:rPr>
          <w:rFonts w:ascii="Times New Roman" w:cs="Times New Roman" w:eastAsia="Times New Roman" w:hAnsi="Times New Roman"/>
          <w:b/>
          <w:bCs/>
          <w:sz w:val="36"/>
          <w:szCs w:val="36"/>
        </w:rPr>
        <w:t xml:space="preserve">Diabetes Risk Predictor Using Machine Learning and Clinical Data</w:t>
      </w:r>
    </w:p>
    <w:p>
      <w:pPr>
        <w:spacing w:before="960" w:after="160"/>
        <w:jc w:val="center"/>
      </w:pPr>
      <w:r>
        <w:rPr>
          <w:rFonts w:ascii="Times New Roman" w:cs="Times New Roman" w:eastAsia="Times New Roman" w:hAnsi="Times New Roman"/>
          <w:sz w:val="24"/>
          <w:szCs w:val="24"/>
        </w:rPr>
        <w:t xml:space="preserve">Student Name: Md Aariz</w:t>
      </w:r>
    </w:p>
    <w:p>
      <w:pPr>
        <w:spacing w:after="160"/>
        <w:jc w:val="center"/>
      </w:pPr>
      <w:r>
        <w:rPr>
          <w:rFonts w:ascii="Times New Roman" w:cs="Times New Roman" w:eastAsia="Times New Roman" w:hAnsi="Times New Roman"/>
          <w:sz w:val="24"/>
          <w:szCs w:val="24"/>
        </w:rPr>
        <w:t xml:space="preserve">Student ID: U2871441</w:t>
      </w:r>
    </w:p>
    <w:p>
      <w:pPr>
        <w:spacing w:after="160"/>
        <w:jc w:val="center"/>
      </w:pPr>
      <w:r>
        <w:rPr>
          <w:rFonts w:ascii="Times New Roman" w:cs="Times New Roman" w:eastAsia="Times New Roman" w:hAnsi="Times New Roman"/>
          <w:sz w:val="24"/>
          <w:szCs w:val="24"/>
        </w:rPr>
        <w:t xml:space="preserve">Programme: MSc in Big Data Technologies</w:t>
      </w:r>
    </w:p>
    <w:p>
      <w:pPr>
        <w:spacing w:after="160"/>
        <w:jc w:val="center"/>
      </w:pPr>
      <w:r>
        <w:rPr>
          <w:rFonts w:ascii="Times New Roman" w:cs="Times New Roman" w:eastAsia="Times New Roman" w:hAnsi="Times New Roman"/>
          <w:sz w:val="24"/>
          <w:szCs w:val="24"/>
        </w:rPr>
        <w:t xml:space="preserve">Supervisor: Dr Mohamed Chahine Ghanem</w:t>
      </w:r>
    </w:p>
    <w:p>
      <w:pPr>
        <w:spacing w:after="160"/>
        <w:jc w:val="center"/>
      </w:pPr>
      <w:r>
        <w:rPr>
          <w:rFonts w:ascii="Times New Roman" w:cs="Times New Roman" w:eastAsia="Times New Roman" w:hAnsi="Times New Roman"/>
          <w:sz w:val="24"/>
          <w:szCs w:val="24"/>
        </w:rPr>
        <w:t xml:space="preserve">Module Code: CN7000</w:t>
      </w:r>
    </w:p>
    <w:p>
      <w:pPr>
        <w:spacing w:before="480" w:after="160"/>
        <w:jc w:val="center"/>
      </w:pPr>
      <w:r>
        <w:rPr>
          <w:rFonts w:ascii="Times New Roman" w:cs="Times New Roman" w:eastAsia="Times New Roman" w:hAnsi="Times New Roman"/>
          <w:sz w:val="24"/>
          <w:szCs w:val="24"/>
        </w:rPr>
        <w:t xml:space="preserve">Year: 2025/26 | Term 3</w:t>
      </w:r>
    </w:p>
    <w:p>
      <w:pPr>
        <w:pageBreakBefore/>
      </w:pPr>
    </w:p>
    <w:p>
      <w:pPr>
        <w:pStyle w:val="Heading1"/>
      </w:pPr>
      <w:r>
        <w:rPr>
          <w:rFonts w:ascii="Times New Roman" w:cs="Times New Roman" w:eastAsia="Times New Roman" w:hAnsi="Times New Roman"/>
          <w:b/>
          <w:bCs/>
          <w:sz w:val="32"/>
          <w:szCs w:val="32"/>
        </w:rPr>
        <w:t xml:space="preserve">Chapter 1: Introduction</w:t>
      </w:r>
    </w:p>
    <w:p>
      <w:pPr>
        <w:pStyle w:val="Heading2"/>
      </w:pPr>
      <w:r>
        <w:rPr>
          <w:rFonts w:ascii="Times New Roman" w:cs="Times New Roman" w:eastAsia="Times New Roman" w:hAnsi="Times New Roman"/>
          <w:b/>
          <w:bCs/>
          <w:sz w:val="28"/>
          <w:szCs w:val="28"/>
        </w:rPr>
        <w:t xml:space="preserve">1.1 Background</w:t>
      </w:r>
    </w:p>
    <w:p>
      <w:pPr>
        <w:spacing w:after="200"/>
      </w:pPr>
      <w:r>
        <w:rPr>
          <w:rFonts w:ascii="Times New Roman" w:cs="Times New Roman" w:eastAsia="Times New Roman" w:hAnsi="Times New Roman"/>
          <w:sz w:val="24"/>
          <w:szCs w:val="24"/>
        </w:rPr>
        <w:t xml:space="preserve">Diabetes mellitus is one of the most significant chronic diseases confronting global public health in the twenty-first century. According to the eleventh edition of the International Diabetes Federation (IDF) Diabetes Atlas, published in 2024, approximately 589 million adults aged 20 to 79 years worldwide are currently living with diabetes, representing 11.11 per cent of the global adult population (IDF, 2024). This figure is projected to rise to 853 million, or 12.96 per cent of the adult population, by 2050, confirming diabetes as one of the fastest-growing global health emergencies of our time. The disease was responsible for an estimated 3.4 million deaths in 2024 alone, with a death occurring every nine seconds attributable to diabetes-related causes, alongside global health expenditure exceeding one trillion United States dollars, a 338 per cent increase over the preceding seventeen years (IDF, 2024).</w:t>
      </w:r>
    </w:p>
    <w:p>
      <w:pPr>
        <w:spacing w:after="200"/>
      </w:pPr>
      <w:r>
        <w:rPr>
          <w:rFonts w:ascii="Times New Roman" w:cs="Times New Roman" w:eastAsia="Times New Roman" w:hAnsi="Times New Roman"/>
          <w:sz w:val="24"/>
          <w:szCs w:val="24"/>
        </w:rPr>
        <w:t xml:space="preserve">Type 2 diabetes mellitus (T2DM) constitutes approximately 90 to 95 per cent of all diabetes cases and is characterised by insulin resistance and progressive pancreatic beta-cell dysfunction. It is strongly associated with modifiable risk factors including obesity, physical inactivity, poor diet, and advancing age, as well as non-modifiable factors such as genetic predisposition and ethnicity. A particularly concerning dimension of the global burden is that a substantial proportion of those living with diabetes remain undiagnosed. The IDF estimates that nearly half of all adults with diabetes worldwide are unaware of their condition, meaning that millions of individuals are progressing towards serious complications including cardiovascular disease, chronic kidney disease, diabetic neuropathy, retinopathy, and lower limb amputations without receiving timely clinical intervention (IDF, 2024).</w:t>
      </w:r>
    </w:p>
    <w:p>
      <w:pPr>
        <w:spacing w:after="200"/>
      </w:pPr>
      <w:r>
        <w:rPr>
          <w:rFonts w:ascii="Times New Roman" w:cs="Times New Roman" w:eastAsia="Times New Roman" w:hAnsi="Times New Roman"/>
          <w:sz w:val="24"/>
          <w:szCs w:val="24"/>
        </w:rPr>
        <w:t xml:space="preserve">The challenge of early and accurate diabetes diagnosis is therefore of paramount clinical importance. Conventional screening relies on threshold-based criteria such as fasting plasma glucose, the oral glucose tolerance test, and glycated haemoglobin (HbA1c) levels, which require laboratory testing and specialist interpretation. While these methods remain the clinical gold standard, they are resource-intensive, inconsistently applied across healthcare settings, and poorly suited to the large-scale population screening required to identify at-risk individuals before physiological damage becomes irreversible. The application of machine learning and data-driven approaches to clinical decision support therefore represents a compelling opportunity to augment and accelerate early diabetes risk detection in ways that complement existing clinical pathways.</w:t>
      </w:r>
    </w:p>
    <w:p>
      <w:pPr>
        <w:spacing w:after="200"/>
      </w:pPr>
      <w:r>
        <w:rPr>
          <w:rFonts w:ascii="Times New Roman" w:cs="Times New Roman" w:eastAsia="Times New Roman" w:hAnsi="Times New Roman"/>
          <w:sz w:val="24"/>
          <w:szCs w:val="24"/>
        </w:rPr>
        <w:t xml:space="preserve">Over the past decade, machine learning has emerged as a powerful paradigm for medical classification and risk stratification tasks. Supervised classification algorithms, including Logistic Regression, Random Forest, Support Vector Machines, and gradient boosting frameworks such as XGBoost and LightGBM, have demonstrated strong predictive performance on structured clinical datasets. The Pima Indians Diabetes Dataset, originally compiled by the National Institute of Diabetes and Digestive and Kidney Diseases (NIDDK) and widely distributed through the UCI Machine Learning Repository, has served as a canonical benchmark for diabetes prediction research since the late 1980s (Dua and Graff, 2019). Comprising 768 records of adult female patients of Pima Indian heritage, each characterised by eight clinical features and a binary diabetes outcome label, this dataset has been the subject of hundreds of published studies spanning multiple decades and algorithmic generations.</w:t>
      </w:r>
    </w:p>
    <w:p>
      <w:pPr>
        <w:spacing w:after="200"/>
      </w:pPr>
      <w:r>
        <w:rPr>
          <w:rFonts w:ascii="Times New Roman" w:cs="Times New Roman" w:eastAsia="Times New Roman" w:hAnsi="Times New Roman"/>
          <w:sz w:val="24"/>
          <w:szCs w:val="24"/>
        </w:rPr>
        <w:t xml:space="preserve">Despite the volume of research conducted on this dataset, a critical gap persists between research-grade model development and clinically deployable, interpretable decision support. The vast majority of published studies report model performance metrics in isolation, without providing an accessible, production-ready application that clinicians or patients could directly use. Moreover, fewer than 20 per cent of reviewed studies in the field incorporate any form of model explainability, despite growing evidence that the opacity of machine learning predictions represents a significant barrier to clinical adoption and trust (Rosenbacke et al., 2024). The integration of Shapley Additive Explanations (SHAP) into clinical machine learning workflows has emerged as a promising approach for bridging this gap, providing per-prediction, patient-level explanations of which clinical features most influenced a given risk classification.</w:t>
      </w:r>
    </w:p>
    <w:p>
      <w:pPr>
        <w:spacing w:after="200"/>
      </w:pPr>
      <w:r>
        <w:rPr>
          <w:rFonts w:ascii="Times New Roman" w:cs="Times New Roman" w:eastAsia="Times New Roman" w:hAnsi="Times New Roman"/>
          <w:sz w:val="24"/>
          <w:szCs w:val="24"/>
        </w:rPr>
        <w:t xml:space="preserve">This dissertation addresses these limitations by developing an end-to-end, interpretable, and web-deployable diabetes risk prediction system. The proposed system integrates rigorous data preprocessing, comparative evaluation of five classification algorithms under standardised conditions, SMOTE-based class imbalance correction, SHAP-driven explainability, and deployment as a containerised Flask web application accessible to clinicians and end users. The project is anchored in the Pima Indians Diabetes Dataset and is designed to demonstrate that high predictive performance, clinical interpretability, and practical deployability can be achieved simultaneously within the constraints of a publicly available, freely accessible dataset.</w:t>
      </w:r>
    </w:p>
    <w:p>
      <w:pPr>
        <w:pStyle w:val="Heading2"/>
      </w:pPr>
      <w:r>
        <w:rPr>
          <w:rFonts w:ascii="Times New Roman" w:cs="Times New Roman" w:eastAsia="Times New Roman" w:hAnsi="Times New Roman"/>
          <w:b/>
          <w:bCs/>
          <w:sz w:val="28"/>
          <w:szCs w:val="28"/>
        </w:rPr>
        <w:t xml:space="preserve">1.2 Problem Statement</w:t>
      </w:r>
    </w:p>
    <w:p>
      <w:pPr>
        <w:spacing w:after="200"/>
      </w:pPr>
      <w:r>
        <w:rPr>
          <w:rFonts w:ascii="Times New Roman" w:cs="Times New Roman" w:eastAsia="Times New Roman" w:hAnsi="Times New Roman"/>
          <w:sz w:val="24"/>
          <w:szCs w:val="24"/>
        </w:rPr>
        <w:t xml:space="preserve">Despite decades of clinical research and the proliferation of machine learning applications in healthcare, diabetes continues to be chronically under-diagnosed until significant physiological harm has already occurred. The current clinical screening paradigm is characterised by three fundamental weaknesses: inconsistency, poor scalability, and limited interpretability.</w:t>
      </w:r>
    </w:p>
    <w:p>
      <w:pPr>
        <w:spacing w:after="200"/>
      </w:pPr>
      <w:r>
        <w:rPr>
          <w:rFonts w:ascii="Times New Roman" w:cs="Times New Roman" w:eastAsia="Times New Roman" w:hAnsi="Times New Roman"/>
          <w:sz w:val="24"/>
          <w:szCs w:val="24"/>
        </w:rPr>
        <w:t xml:space="preserve">First, threshold-based screening methods depend heavily on individual clinician judgment, access to laboratory infrastructure, and regular patient engagement with healthcare services. These preconditions are unevenly distributed across socioeconomic and geographic contexts, resulting in significant disparities in early detection rates between resource-rich and resource-constrained settings. Second, existing methods are poorly scalable to the population-level screening programmes required to identify the growing proportion of individuals living with undiagnosed prediabetes or early-stage diabetes. Third, even where machine learning models have been developed for diabetes prediction, their adoption in clinical practice has been hampered by the opacity of their decision processes, preventing clinicians from exercising informed professional judgement when considering model outputs.</w:t>
      </w:r>
    </w:p>
    <w:p>
      <w:pPr>
        <w:spacing w:after="200"/>
      </w:pPr>
      <w:r>
        <w:rPr>
          <w:rFonts w:ascii="Times New Roman" w:cs="Times New Roman" w:eastAsia="Times New Roman" w:hAnsi="Times New Roman"/>
          <w:sz w:val="24"/>
          <w:szCs w:val="24"/>
        </w:rPr>
        <w:t xml:space="preserve">On the benchmark Pima Indians Diabetes Dataset, naive threshold-based methods consistently achieve classification accuracy in the range of 76 to 78 per cent, with macro F1-scores below 0.70 for the minority diabetic class. This reflects a critical decision-support gap: high false-negative rates delay intervention for at-risk patients, while high false-positive rates impose unnecessary clinical burden and patient anxiety. Furthermore, no openly available, interpretable, end-to-end web-deployable tool currently addresses this gap by combining ensemble learning with SHAP-based per-prediction clinical explainability in a containerised, production-ready application. This project is directly motivated by that bottleneck.</w:t>
      </w:r>
    </w:p>
    <w:p>
      <w:pPr>
        <w:pStyle w:val="Heading2"/>
      </w:pPr>
      <w:r>
        <w:rPr>
          <w:rFonts w:ascii="Times New Roman" w:cs="Times New Roman" w:eastAsia="Times New Roman" w:hAnsi="Times New Roman"/>
          <w:b/>
          <w:bCs/>
          <w:sz w:val="28"/>
          <w:szCs w:val="28"/>
        </w:rPr>
        <w:t xml:space="preserve">1.3 Research Aim, Objectives, and Questions</w:t>
      </w:r>
    </w:p>
    <w:p>
      <w:pPr>
        <w:spacing w:after="120"/>
      </w:pPr>
      <w:r>
        <w:rPr>
          <w:rFonts w:ascii="Times New Roman" w:cs="Times New Roman" w:eastAsia="Times New Roman" w:hAnsi="Times New Roman"/>
          <w:sz w:val="24"/>
          <w:szCs w:val="24"/>
        </w:rPr>
        <w:t xml:space="preserve">The overarching aim of this research is to design, develop, evaluate, and deploy an interpretable machine learning system for diabetes risk classification that is grounded in rigorous comparative evaluation, addresses class imbalance through validated resampling strategies, and provides per-prediction clinical explainability through SHAP-based feature attribution.</w:t>
      </w:r>
    </w:p>
    <w:p>
      <w:pPr>
        <w:spacing w:after="120"/>
      </w:pPr>
      <w:r>
        <w:rPr>
          <w:rFonts w:ascii="Times New Roman" w:cs="Times New Roman" w:eastAsia="Times New Roman" w:hAnsi="Times New Roman"/>
          <w:sz w:val="24"/>
          <w:szCs w:val="24"/>
        </w:rPr>
        <w:t xml:space="preserve">The specific research objectives are as follows:</w:t>
      </w:r>
    </w:p>
    <w:p>
      <w:pPr>
        <w:pStyle w:val="ListParagraph"/>
        <w:numPr>
          <w:ilvl w:val="0"/>
          <w:numId w:val="2"/>
        </w:numPr>
        <w:spacing w:after="80"/>
      </w:pPr>
      <w:r>
        <w:rPr>
          <w:rFonts w:ascii="Times New Roman" w:cs="Times New Roman" w:eastAsia="Times New Roman" w:hAnsi="Times New Roman"/>
          <w:sz w:val="24"/>
          <w:szCs w:val="24"/>
        </w:rPr>
        <w:t xml:space="preserve">To acquire, clean, and validate the Pima Indians Diabetes Dataset, addressing biologically implausible zero values through median imputation and conducting thorough exploratory data analysis.</w:t>
      </w:r>
    </w:p>
    <w:p>
      <w:pPr>
        <w:pStyle w:val="ListParagraph"/>
        <w:numPr>
          <w:ilvl w:val="0"/>
          <w:numId w:val="2"/>
        </w:numPr>
        <w:spacing w:after="80"/>
      </w:pPr>
      <w:r>
        <w:rPr>
          <w:rFonts w:ascii="Times New Roman" w:cs="Times New Roman" w:eastAsia="Times New Roman" w:hAnsi="Times New Roman"/>
          <w:sz w:val="24"/>
          <w:szCs w:val="24"/>
        </w:rPr>
        <w:t xml:space="preserve">To implement and compare SMOTE oversampling and class-weighting strategies for handling the observed class imbalance, confirming the statistical robustness of each approach.</w:t>
      </w:r>
    </w:p>
    <w:p>
      <w:pPr>
        <w:pStyle w:val="ListParagraph"/>
        <w:numPr>
          <w:ilvl w:val="0"/>
          <w:numId w:val="2"/>
        </w:numPr>
        <w:spacing w:after="80"/>
      </w:pPr>
      <w:r>
        <w:rPr>
          <w:rFonts w:ascii="Times New Roman" w:cs="Times New Roman" w:eastAsia="Times New Roman" w:hAnsi="Times New Roman"/>
          <w:sz w:val="24"/>
          <w:szCs w:val="24"/>
        </w:rPr>
        <w:t xml:space="preserve">To train, cross-validate, and hyperparameter-optimise five classification algorithms — Logistic Regression, Random Forest, XGBoost, LightGBM, and Support Vector Machine — under standardised experimental conditions.</w:t>
      </w:r>
    </w:p>
    <w:p>
      <w:pPr>
        <w:pStyle w:val="ListParagraph"/>
        <w:numPr>
          <w:ilvl w:val="0"/>
          <w:numId w:val="2"/>
        </w:numPr>
        <w:spacing w:after="80"/>
      </w:pPr>
      <w:r>
        <w:rPr>
          <w:rFonts w:ascii="Times New Roman" w:cs="Times New Roman" w:eastAsia="Times New Roman" w:hAnsi="Times New Roman"/>
          <w:sz w:val="24"/>
          <w:szCs w:val="24"/>
        </w:rPr>
        <w:t xml:space="preserve">To benchmark model performance using accuracy, precision, recall, F1-score, and AUC-ROC, producing a comparative evaluation report against the Logistic Regression baseline.</w:t>
      </w:r>
    </w:p>
    <w:p>
      <w:pPr>
        <w:pStyle w:val="ListParagraph"/>
        <w:numPr>
          <w:ilvl w:val="0"/>
          <w:numId w:val="2"/>
        </w:numPr>
        <w:spacing w:after="80"/>
      </w:pPr>
      <w:r>
        <w:rPr>
          <w:rFonts w:ascii="Times New Roman" w:cs="Times New Roman" w:eastAsia="Times New Roman" w:hAnsi="Times New Roman"/>
          <w:sz w:val="24"/>
          <w:szCs w:val="24"/>
        </w:rPr>
        <w:t xml:space="preserve">To integrate SHAP-based per-prediction feature attribution into the web interface, validating alignment of dominant SHAP features with established clinical diabetes risk factors.</w:t>
      </w:r>
    </w:p>
    <w:p>
      <w:pPr>
        <w:pStyle w:val="ListParagraph"/>
        <w:numPr>
          <w:ilvl w:val="0"/>
          <w:numId w:val="2"/>
        </w:numPr>
        <w:spacing w:after="200"/>
      </w:pPr>
      <w:r>
        <w:rPr>
          <w:rFonts w:ascii="Times New Roman" w:cs="Times New Roman" w:eastAsia="Times New Roman" w:hAnsi="Times New Roman"/>
          <w:sz w:val="24"/>
          <w:szCs w:val="24"/>
        </w:rPr>
        <w:t xml:space="preserve">To containerise the full application using Docker and deploy it on cloud infrastructure, achieving sub-second inference latency under concurrent user load.</w:t>
      </w:r>
    </w:p>
    <w:p>
      <w:pPr>
        <w:spacing w:after="120"/>
      </w:pPr>
      <w:r>
        <w:rPr>
          <w:rFonts w:ascii="Times New Roman" w:cs="Times New Roman" w:eastAsia="Times New Roman" w:hAnsi="Times New Roman"/>
          <w:sz w:val="24"/>
          <w:szCs w:val="24"/>
        </w:rPr>
        <w:t xml:space="preserve">These objectives are operationalised through the following research questions:</w:t>
      </w:r>
    </w:p>
    <w:p>
      <w:pPr>
        <w:pStyle w:val="ListParagraph"/>
        <w:numPr>
          <w:ilvl w:val="0"/>
          <w:numId w:val="2"/>
        </w:numPr>
        <w:spacing w:after="80"/>
      </w:pPr>
      <w:r>
        <w:rPr>
          <w:rFonts w:ascii="Times New Roman" w:cs="Times New Roman" w:eastAsia="Times New Roman" w:hAnsi="Times New Roman"/>
          <w:sz w:val="24"/>
          <w:szCs w:val="24"/>
        </w:rPr>
        <w:t xml:space="preserve">RQ1: Which machine learning algorithm (Logistic Regression, Random Forest, XGBoost, LightGBM, or SVM) achieves the highest F1-score and AUC-ROC for diabetes risk classification on the Pima Indians Diabetes Dataset after class-imbalance correction?</w:t>
      </w:r>
    </w:p>
    <w:p>
      <w:pPr>
        <w:pStyle w:val="ListParagraph"/>
        <w:numPr>
          <w:ilvl w:val="0"/>
          <w:numId w:val="2"/>
        </w:numPr>
        <w:spacing w:after="80"/>
      </w:pPr>
      <w:r>
        <w:rPr>
          <w:rFonts w:ascii="Times New Roman" w:cs="Times New Roman" w:eastAsia="Times New Roman" w:hAnsi="Times New Roman"/>
          <w:sz w:val="24"/>
          <w:szCs w:val="24"/>
        </w:rPr>
        <w:t xml:space="preserve">RQ2: To what extent does SMOTE-based oversampling improve minority-class recall compared to class-weighting alone?</w:t>
      </w:r>
    </w:p>
    <w:p>
      <w:pPr>
        <w:pStyle w:val="ListParagraph"/>
        <w:numPr>
          <w:ilvl w:val="0"/>
          <w:numId w:val="2"/>
        </w:numPr>
        <w:spacing w:after="80"/>
      </w:pPr>
      <w:r>
        <w:rPr>
          <w:rFonts w:ascii="Times New Roman" w:cs="Times New Roman" w:eastAsia="Times New Roman" w:hAnsi="Times New Roman"/>
          <w:sz w:val="24"/>
          <w:szCs w:val="24"/>
        </w:rPr>
        <w:t xml:space="preserve">RQ3: How accurately and consistently can SHAP values identify the dominant clinical predictors of diabetes risk, and do they align with established medical evidence on key risk factors such as glucose, BMI, and age?</w:t>
      </w:r>
    </w:p>
    <w:p>
      <w:pPr>
        <w:pStyle w:val="ListParagraph"/>
        <w:numPr>
          <w:ilvl w:val="0"/>
          <w:numId w:val="2"/>
        </w:numPr>
        <w:spacing w:after="200"/>
      </w:pPr>
      <w:r>
        <w:rPr>
          <w:rFonts w:ascii="Times New Roman" w:cs="Times New Roman" w:eastAsia="Times New Roman" w:hAnsi="Times New Roman"/>
          <w:sz w:val="24"/>
          <w:szCs w:val="24"/>
        </w:rPr>
        <w:t xml:space="preserve">RQ4: Is it feasible to deploy a real-time, clinician-facing diabetes risk tool as a containerised web application with sub-second inference latency?</w:t>
      </w:r>
    </w:p>
    <w:p>
      <w:pPr>
        <w:pStyle w:val="Heading2"/>
      </w:pPr>
      <w:r>
        <w:rPr>
          <w:rFonts w:ascii="Times New Roman" w:cs="Times New Roman" w:eastAsia="Times New Roman" w:hAnsi="Times New Roman"/>
          <w:b/>
          <w:bCs/>
          <w:sz w:val="28"/>
          <w:szCs w:val="28"/>
        </w:rPr>
        <w:t xml:space="preserve">1.4 Scope of the Study</w:t>
      </w:r>
    </w:p>
    <w:p>
      <w:pPr>
        <w:spacing w:after="200"/>
      </w:pPr>
      <w:r>
        <w:rPr>
          <w:rFonts w:ascii="Times New Roman" w:cs="Times New Roman" w:eastAsia="Times New Roman" w:hAnsi="Times New Roman"/>
          <w:sz w:val="24"/>
          <w:szCs w:val="24"/>
        </w:rPr>
        <w:t xml:space="preserve">This study focuses exclusively on supervised binary classification for diabetes risk prediction using structured, tabular clinical data. The primary dataset is the Pima Indians Diabetes Dataset, comprising 768 records of adult female patients of Pima Indian heritage. The study does not collect original patient data and does not involve clinical trial participants, direct patient contact, or real-time integration with any electronic health record system.</w:t>
      </w:r>
    </w:p>
    <w:p>
      <w:pPr>
        <w:spacing w:after="200"/>
      </w:pPr>
      <w:r>
        <w:rPr>
          <w:rFonts w:ascii="Times New Roman" w:cs="Times New Roman" w:eastAsia="Times New Roman" w:hAnsi="Times New Roman"/>
          <w:sz w:val="24"/>
          <w:szCs w:val="24"/>
        </w:rPr>
        <w:t xml:space="preserve">The five classification algorithms examined are: Logistic Regression, Random Forest, XGBoost, LightGBM, and Support Vector Machine. Deep learning approaches such as convolutional or recurrent neural networks are excluded from the primary comparative evaluation, though their applicability to future work is acknowledged. The explainability component is implemented using SHAP TreeExplainer, which is directly optimised for tree-based and ensemble models. LIME-based explanations, while acknowledged in the literature, fall outside the scope of this implementation.</w:t>
      </w:r>
    </w:p>
    <w:p>
      <w:pPr>
        <w:spacing w:after="200"/>
      </w:pPr>
      <w:r>
        <w:rPr>
          <w:rFonts w:ascii="Times New Roman" w:cs="Times New Roman" w:eastAsia="Times New Roman" w:hAnsi="Times New Roman"/>
          <w:sz w:val="24"/>
          <w:szCs w:val="24"/>
        </w:rPr>
        <w:t xml:space="preserve">The deployment target is a web-based application accessible via standard browser interfaces. Mobile application development, integration with NHS digital infrastructure, and clinical validation through prospective patient trials are outside the scope of this dissertation but are identified as clear directions for future work. All performance evaluation is conducted on the held-out test set derived from the Pima dataset; no external validation against a second independent dataset is attempted within this project.</w:t>
      </w:r>
    </w:p>
    <w:p>
      <w:pPr>
        <w:pStyle w:val="Heading2"/>
      </w:pPr>
      <w:r>
        <w:rPr>
          <w:rFonts w:ascii="Times New Roman" w:cs="Times New Roman" w:eastAsia="Times New Roman" w:hAnsi="Times New Roman"/>
          <w:b/>
          <w:bCs/>
          <w:sz w:val="28"/>
          <w:szCs w:val="28"/>
        </w:rPr>
        <w:t xml:space="preserve">1.5 Significance of the Study</w:t>
      </w:r>
    </w:p>
    <w:p>
      <w:pPr>
        <w:spacing w:after="200"/>
      </w:pPr>
      <w:r>
        <w:rPr>
          <w:rFonts w:ascii="Times New Roman" w:cs="Times New Roman" w:eastAsia="Times New Roman" w:hAnsi="Times New Roman"/>
          <w:sz w:val="24"/>
          <w:szCs w:val="24"/>
        </w:rPr>
        <w:t xml:space="preserve">The significance of this research operates across academic, clinical, and societal dimensions. Academically, this project contributes a rigorous, reproducible comparative evaluation of five classification algorithms under standardised class-imbalance correction and hyperparameter optimisation conditions. The open-source GitHub release of code, Jupyter notebooks, and Docker configuration is intended to support replication and extension by the research community. Most existing studies in the diabetes prediction literature report performance for a single algorithm without providing a deployable artefact; this project fills that gap.</w:t>
      </w:r>
    </w:p>
    <w:p>
      <w:pPr>
        <w:spacing w:after="200"/>
      </w:pPr>
      <w:r>
        <w:rPr>
          <w:rFonts w:ascii="Times New Roman" w:cs="Times New Roman" w:eastAsia="Times New Roman" w:hAnsi="Times New Roman"/>
          <w:sz w:val="24"/>
          <w:szCs w:val="24"/>
        </w:rPr>
        <w:t xml:space="preserve">From a clinical and practical standpoint, the deployable web application provides an accessible proof-of-concept for AI-assisted diabetes screening in resource-constrained settings. By integrating SHAP-based explanations, the system directly addresses the primary barrier to clinical AI adoption — clinician distrust of opaque model outputs — and demonstrates a template for building transparent, accountable medical decision-support tools. Internationally, early detection of diabetes at the prediabetic stage has been shown to reduce the risk of developing T2DM by up to 58 per cent through targeted lifestyle interventions (Diabetes Prevention Program Research Group, 2002). A scalable, interpretable screening tool therefore has potential to generate substantial long-term population health benefits and reduce the healthcare cost burden associated with late-stage diabetes complications.</w:t>
      </w:r>
    </w:p>
    <w:p>
      <w:pPr>
        <w:spacing w:after="200"/>
      </w:pPr>
      <w:r>
        <w:rPr>
          <w:rFonts w:ascii="Times New Roman" w:cs="Times New Roman" w:eastAsia="Times New Roman" w:hAnsi="Times New Roman"/>
          <w:sz w:val="24"/>
          <w:szCs w:val="24"/>
        </w:rPr>
        <w:t xml:space="preserve">In the United Kingdom specifically, the NHS Long Term Plan has identified the early identification of individuals at the prediabetic stage as a priority target. The proof-of-concept developed in this project, if extended to a broader and more representative dataset, could provide a direct blueprint for integration into NHS digital health pathways and community-based screening programmes.</w:t>
      </w:r>
    </w:p>
    <w:p>
      <w:pPr>
        <w:pStyle w:val="Heading2"/>
      </w:pPr>
      <w:r>
        <w:rPr>
          <w:rFonts w:ascii="Times New Roman" w:cs="Times New Roman" w:eastAsia="Times New Roman" w:hAnsi="Times New Roman"/>
          <w:b/>
          <w:bCs/>
          <w:sz w:val="28"/>
          <w:szCs w:val="28"/>
        </w:rPr>
        <w:t xml:space="preserve">1.6 Dissertation Structure</w:t>
      </w:r>
    </w:p>
    <w:p>
      <w:pPr>
        <w:spacing w:after="200"/>
      </w:pPr>
      <w:r>
        <w:rPr>
          <w:rFonts w:ascii="Times New Roman" w:cs="Times New Roman" w:eastAsia="Times New Roman" w:hAnsi="Times New Roman"/>
          <w:sz w:val="24"/>
          <w:szCs w:val="24"/>
        </w:rPr>
        <w:t xml:space="preserve">The remainder of this dissertation is structured across five further chapters. Chapter 2 presents the literature review, surveying the global burden of diabetes, the evolution of machine learning for diabetes prediction, the role of ensemble methods and class imbalance handling, and the emerging importance of explainable AI in clinical decision support. Chapter 3 describes the methodology, covering research design, data acquisition and preprocessing, feature engineering, algorithm selection, hyperparameter optimisation, evaluation metrics, and the deployment pipeline. Chapter 4 reports the experimental results, presenting comparative model performance metrics, SHAP feature importance visualisations, and system latency measurements. Chapter 5 provides the conclusion and outlines directions for future work, including potential extensions to broader datasets and NHS-compatible deployment pathways.</w:t>
      </w:r>
    </w:p>
    <w:p>
      <w:pPr>
        <w:pageBreakBefore/>
      </w:pPr>
    </w:p>
    <w:p>
      <w:pPr>
        <w:pStyle w:val="Heading1"/>
      </w:pPr>
      <w:r>
        <w:rPr>
          <w:rFonts w:ascii="Times New Roman" w:cs="Times New Roman" w:eastAsia="Times New Roman" w:hAnsi="Times New Roman"/>
          <w:b/>
          <w:bCs/>
          <w:sz w:val="32"/>
          <w:szCs w:val="32"/>
        </w:rPr>
        <w:t xml:space="preserve">Chapter 2: Literature Review</w:t>
      </w:r>
    </w:p>
    <w:p>
      <w:pPr>
        <w:pStyle w:val="Heading2"/>
      </w:pPr>
      <w:r>
        <w:rPr>
          <w:rFonts w:ascii="Times New Roman" w:cs="Times New Roman" w:eastAsia="Times New Roman" w:hAnsi="Times New Roman"/>
          <w:b/>
          <w:bCs/>
          <w:sz w:val="28"/>
          <w:szCs w:val="28"/>
        </w:rPr>
        <w:t xml:space="preserve">2.1 Introduction</w:t>
      </w:r>
    </w:p>
    <w:p>
      <w:pPr>
        <w:spacing w:after="200"/>
      </w:pPr>
      <w:r>
        <w:rPr>
          <w:rFonts w:ascii="Times New Roman" w:cs="Times New Roman" w:eastAsia="Times New Roman" w:hAnsi="Times New Roman"/>
          <w:sz w:val="24"/>
          <w:szCs w:val="24"/>
        </w:rPr>
        <w:t xml:space="preserve">This chapter provides a structured critical review of the literature underpinning the development of a machine learning system for diabetes risk prediction. The review is organised across six thematic areas: the global epidemiology of diabetes and its implications for automated screening; the history and characteristics of the Pima Indians Diabetes Dataset; supervised machine learning approaches applied to diabetes classification; class imbalance handling techniques in medical datasets; explainable artificial intelligence and its clinical relevance; and current limitations and research gaps in the field. The literature search was conducted using Google Scholar, IEEE Xplore, PubMed, and arXiv, with search terms including “diabetes prediction machine learning”, “Pima Indians Diabetes Dataset classification”, “XGBoost clinical tabular data”, “SMOTE class imbalance medical”, “SHAP explainability clinical AI”, and “interpretable machine learning healthcare”. Publications from 2015 onwards were prioritised, with seminal earlier works included where foundational.</w:t>
      </w:r>
    </w:p>
    <w:p>
      <w:pPr>
        <w:pStyle w:val="Heading2"/>
      </w:pPr>
      <w:r>
        <w:rPr>
          <w:rFonts w:ascii="Times New Roman" w:cs="Times New Roman" w:eastAsia="Times New Roman" w:hAnsi="Times New Roman"/>
          <w:b/>
          <w:bCs/>
          <w:sz w:val="28"/>
          <w:szCs w:val="28"/>
        </w:rPr>
        <w:t xml:space="preserve">2.2 Global Epidemiology of Diabetes and the Case for Automated Screening</w:t>
      </w:r>
    </w:p>
    <w:p>
      <w:pPr>
        <w:spacing w:after="200"/>
      </w:pPr>
      <w:r>
        <w:rPr>
          <w:rFonts w:ascii="Times New Roman" w:cs="Times New Roman" w:eastAsia="Times New Roman" w:hAnsi="Times New Roman"/>
          <w:sz w:val="24"/>
          <w:szCs w:val="24"/>
        </w:rPr>
        <w:t xml:space="preserve">The scale of the global diabetes epidemic provides the foundational justification for this research project. As reported in the eleventh edition of the International Diabetes Federation Diabetes Atlas, diabetes affected an estimated 589 million adults worldwide in 2024, corresponding to 11.11 per cent of the global adult population aged 20 to 79 years (IDF, 2024). Projections to 2050 forecast this number will rise to 853 million people, driven primarily by population ageing and rapid urbanisation in low- and middle-income countries, which are expected to account for 95 per cent of the incremental increase in absolute numbers (IDF, 2024). The countries with the greatest absolute numbers of people living with diabetes in 2024 were China, India, and the United States, while the highest age-standardised prevalence rates were recorded in Pakistan, the Marshall Islands, and Kuwait.</w:t>
      </w:r>
    </w:p>
    <w:p>
      <w:pPr>
        <w:spacing w:after="200"/>
      </w:pPr>
      <w:r>
        <w:rPr>
          <w:rFonts w:ascii="Times New Roman" w:cs="Times New Roman" w:eastAsia="Times New Roman" w:hAnsi="Times New Roman"/>
          <w:sz w:val="24"/>
          <w:szCs w:val="24"/>
        </w:rPr>
        <w:t xml:space="preserve">The United Kingdom faces its own significant diabetes burden. NHS England estimates that approximately 4.4 million people in England have been diagnosed with diabetes, with a further estimated 850,000 undiagnosed cases and 5 to 7 million people living with prediabetes. The NHS Long Term Plan explicitly prioritises improving the proportion of T2DM cases identified at the prediabetic stage, recognising that targeted lifestyle interventions at this stage can reduce the risk of progression to full T2DM by as much as 58 per cent (Diabetes Prevention Programme Research Group, 2002; NHS England, 2019). Against this backdrop, scalable, automated approaches to diabetes risk screening carry substantial public health relevance.</w:t>
      </w:r>
    </w:p>
    <w:p>
      <w:pPr>
        <w:spacing w:after="200"/>
      </w:pPr>
      <w:r>
        <w:rPr>
          <w:rFonts w:ascii="Times New Roman" w:cs="Times New Roman" w:eastAsia="Times New Roman" w:hAnsi="Times New Roman"/>
          <w:sz w:val="24"/>
          <w:szCs w:val="24"/>
        </w:rPr>
        <w:t xml:space="preserve">A particularly acute dimension of the epidemiological challenge is the problem of undiagnosed diabetes. The IDF estimates that approximately 44.7 per cent of adults with diabetes globally are unaware of their condition (IDF, 2024). This high proportion of undiagnosed cases reflects structural barriers including limited access to healthcare, low symptom awareness, and the absence of population-level screening infrastructure in many settings. Machine learning-based risk prediction tools, deployable via accessible web interfaces without requiring specialist laboratory infrastructure, have been proposed as a means of extending the reach of diabetes screening beyond conventional clinical pathways (Shuvo et al., 2023; Chang et al., 2023).</w:t>
      </w:r>
    </w:p>
    <w:p>
      <w:pPr>
        <w:spacing w:after="200"/>
      </w:pPr>
      <w:r>
        <w:rPr>
          <w:rFonts w:ascii="Times New Roman" w:cs="Times New Roman" w:eastAsia="Times New Roman" w:hAnsi="Times New Roman"/>
          <w:sz w:val="24"/>
          <w:szCs w:val="24"/>
        </w:rPr>
        <w:t xml:space="preserve">The economic consequences of diabetes at a global level are also severe. The IDF reports that diabetes-related health expenditure exceeded one trillion United States dollars in 2024, a 338 per cent increase over the preceding seventeen years. These costs are concentrated disproportionately in high-income countries, though the rapid growth in prevalence in lower-income settings suggests a widening economic burden that health systems in these regions are poorly equipped to absorb. Early detection and intervention supported by data-driven tools therefore carries not only clinical but also substantial health-economic significance.</w:t>
      </w:r>
    </w:p>
    <w:p>
      <w:pPr>
        <w:pStyle w:val="Heading2"/>
      </w:pPr>
      <w:r>
        <w:rPr>
          <w:rFonts w:ascii="Times New Roman" w:cs="Times New Roman" w:eastAsia="Times New Roman" w:hAnsi="Times New Roman"/>
          <w:b/>
          <w:bCs/>
          <w:sz w:val="28"/>
          <w:szCs w:val="28"/>
        </w:rPr>
        <w:t xml:space="preserve">2.3 The Pima Indians Diabetes Dataset</w:t>
      </w:r>
    </w:p>
    <w:p>
      <w:pPr>
        <w:spacing w:after="200"/>
      </w:pPr>
      <w:r>
        <w:rPr>
          <w:rFonts w:ascii="Times New Roman" w:cs="Times New Roman" w:eastAsia="Times New Roman" w:hAnsi="Times New Roman"/>
          <w:sz w:val="24"/>
          <w:szCs w:val="24"/>
        </w:rPr>
        <w:t xml:space="preserve">The Pima Indians Diabetes Dataset has occupied a central position in diabetes prediction research for over three decades. Originally compiled by the National Institute of Diabetes and Digestive and Kidney Diseases (NIDDK) from a longitudinal study of the Pima Indian population near Phoenix, Arizona, and subsequently published through the UCI Machine Learning Repository by Dua and Graff (2019), the dataset comprises 768 records of adult female patients of Pima Indian heritage aged 21 years and above. Each record is characterised by eight clinical predictor variables: number of pregnancies, plasma glucose concentration from a two-hour oral glucose tolerance test, diastolic blood pressure, triceps skin fold thickness, two-hour serum insulin level, body mass index (BMI), a diabetes pedigree function encoding family history of diabetes, and patient age. The binary outcome variable classifies each patient as diabetic (outcome = 1) or non-diabetic (outcome = 0).</w:t>
      </w:r>
    </w:p>
    <w:p>
      <w:pPr>
        <w:spacing w:after="200"/>
      </w:pPr>
      <w:r>
        <w:rPr>
          <w:rFonts w:ascii="Times New Roman" w:cs="Times New Roman" w:eastAsia="Times New Roman" w:hAnsi="Times New Roman"/>
          <w:sz w:val="24"/>
          <w:szCs w:val="24"/>
        </w:rPr>
        <w:t xml:space="preserve">The dataset exhibits a moderate class imbalance, with 500 non-diabetic records (65.1 per cent) and 268 diabetic records (34.9 per cent). Several of the clinical features contain biologically implausible zero values, most notably glucose concentration, blood pressure, insulin, skin thickness, and BMI, where a value of zero is physiologically impossible for a living patient. These zero values are widely understood to represent missing data encoded as zero at the time of original data collection, and their treatment through imputation strategies represents a standard preprocessing challenge in the literature (Kavakiotis et al., 2017; Ahmed et al., 2024).</w:t>
      </w:r>
    </w:p>
    <w:p>
      <w:pPr>
        <w:spacing w:after="200"/>
      </w:pPr>
      <w:r>
        <w:rPr>
          <w:rFonts w:ascii="Times New Roman" w:cs="Times New Roman" w:eastAsia="Times New Roman" w:hAnsi="Times New Roman"/>
          <w:sz w:val="24"/>
          <w:szCs w:val="24"/>
        </w:rPr>
        <w:t xml:space="preserve">The Pima Indian population is characterised by an exceptionally high prevalence of T2DM, driven by a combination of genetic susceptibility and a rapid transition from traditional to Western dietary and lifestyle patterns during the twentieth century (Schulz et al., 2006). This population-specific characteristic, while conferring analytical coherence to the dataset as a research benchmark, simultaneously represents a fundamental limitation on its generalisability to other demographic groups. The dataset captures clinical measurements from the late 1980s, meaning it may not reflect contemporary lifestyle factors, medication regimens, or revised diagnostic thresholds. Despite these limitations, its accessibility, clinical relevance, and well-established benchmarking history have made it the most widely used dataset in published diabetes prediction research.</w:t>
      </w:r>
    </w:p>
    <w:p>
      <w:pPr>
        <w:spacing w:after="200"/>
      </w:pPr>
      <w:r>
        <w:rPr>
          <w:rFonts w:ascii="Times New Roman" w:cs="Times New Roman" w:eastAsia="Times New Roman" w:hAnsi="Times New Roman"/>
          <w:sz w:val="24"/>
          <w:szCs w:val="24"/>
        </w:rPr>
        <w:t xml:space="preserve">Chang et al. (2023) provide a comprehensive review of machine learning applications on the Pima Indians Diabetes Dataset, demonstrating its continued relevance as a benchmark while acknowledging that its limited size and demographic homogeneity restrict generalisation. Their analysis confirms that the dataset remains a valid starting point for methodology development and comparative evaluation, provided that its limitations are clearly documented and that researchers position results as dataset-specific rather than clinically generalisable without external validation.</w:t>
      </w:r>
    </w:p>
    <w:p>
      <w:pPr>
        <w:pStyle w:val="Heading2"/>
      </w:pPr>
      <w:r>
        <w:rPr>
          <w:rFonts w:ascii="Times New Roman" w:cs="Times New Roman" w:eastAsia="Times New Roman" w:hAnsi="Times New Roman"/>
          <w:b/>
          <w:bCs/>
          <w:sz w:val="28"/>
          <w:szCs w:val="28"/>
        </w:rPr>
        <w:t xml:space="preserve">2.4 Supervised Machine Learning for Diabetes Prediction</w:t>
      </w:r>
    </w:p>
    <w:p>
      <w:pPr>
        <w:pStyle w:val="Heading3"/>
      </w:pPr>
      <w:r>
        <w:rPr>
          <w:rFonts w:ascii="Times New Roman" w:cs="Times New Roman" w:eastAsia="Times New Roman" w:hAnsi="Times New Roman"/>
          <w:b/>
          <w:bCs/>
          <w:sz w:val="24"/>
          <w:szCs w:val="24"/>
        </w:rPr>
        <w:t xml:space="preserve">2.4.1 Logistic Regression</w:t>
      </w:r>
    </w:p>
    <w:p>
      <w:pPr>
        <w:spacing w:after="200"/>
      </w:pPr>
      <w:r>
        <w:rPr>
          <w:rFonts w:ascii="Times New Roman" w:cs="Times New Roman" w:eastAsia="Times New Roman" w:hAnsi="Times New Roman"/>
          <w:sz w:val="24"/>
          <w:szCs w:val="24"/>
        </w:rPr>
        <w:t xml:space="preserve">Logistic Regression has long served as the canonical baseline for binary clinical classification tasks. As a linear probabilistic model, it estimates the probability that a given input vector belongs to the positive class using the logistic sigmoid function, producing well-calibrated probability outputs that map directly to clinical risk scores. In the context of diabetes prediction, Logistic Regression applied to the Pima dataset typically achieves accuracy in the range of 77 to 82 per cent and AUC-ROC values between 0.80 and 0.83 without class-imbalance correction (Kavakiotis et al., 2017; Rastogi and Bansal, 2023). While these results are respectable for a linear model, they fall short of the performance achievable through ensemble methods. Logistic Regression remains valuable as a transparent, interpretable baseline and as a comparative reference point for evaluating the added value of more complex algorithms.</w:t>
      </w:r>
    </w:p>
    <w:p>
      <w:pPr>
        <w:pStyle w:val="Heading3"/>
      </w:pPr>
      <w:r>
        <w:rPr>
          <w:rFonts w:ascii="Times New Roman" w:cs="Times New Roman" w:eastAsia="Times New Roman" w:hAnsi="Times New Roman"/>
          <w:b/>
          <w:bCs/>
          <w:sz w:val="24"/>
          <w:szCs w:val="24"/>
        </w:rPr>
        <w:t xml:space="preserve">2.4.2 Random Forest</w:t>
      </w:r>
    </w:p>
    <w:p>
      <w:pPr>
        <w:spacing w:after="200"/>
      </w:pPr>
      <w:r>
        <w:rPr>
          <w:rFonts w:ascii="Times New Roman" w:cs="Times New Roman" w:eastAsia="Times New Roman" w:hAnsi="Times New Roman"/>
          <w:sz w:val="24"/>
          <w:szCs w:val="24"/>
        </w:rPr>
        <w:t xml:space="preserve">Random Forest is a bootstrap aggregating ensemble method that constructs a collection of decision trees on randomly sampled subsets of the training data and features, aggregating predictions through majority voting for classification tasks (Breiman, 2001). Its ability to capture non-linear feature interactions, handle high-dimensional inputs, and produce inherent estimates of feature importance through Gini impurity or mean decrease in accuracy has made it one of the most frequently applied algorithms in clinical data classification. On the Pima dataset, Random Forest has consistently achieved accuracy in the range of 76 to 83 per cent and AUC-ROC values between 0.82 and 0.87 in multiple comparative studies (Kavakiotis et al., 2017; Ahmed et al., 2024).</w:t>
      </w:r>
    </w:p>
    <w:p>
      <w:pPr>
        <w:spacing w:after="200"/>
      </w:pPr>
      <w:r>
        <w:rPr>
          <w:rFonts w:ascii="Times New Roman" w:cs="Times New Roman" w:eastAsia="Times New Roman" w:hAnsi="Times New Roman"/>
          <w:sz w:val="24"/>
          <w:szCs w:val="24"/>
        </w:rPr>
        <w:t xml:space="preserve">Ganie et al. (2023) demonstrated the strong performance of ensemble methods including Random Forest on the Pima dataset in a comparative study of boosting algorithms, finding that tree-based ensembles consistently outperformed single classifiers across multiple performance metrics. Noor et al. (2025) reported that Random Forest achieved 96.9 per cent accuracy and an AUC of 0.998 on a larger diabetes prediction dataset after SMOTE balancing, though they cautioned that such results should be regarded as dataset-specific proof-of-concept rather than indicators of clinical generalisability.</w:t>
      </w:r>
    </w:p>
    <w:p>
      <w:pPr>
        <w:pStyle w:val="Heading3"/>
      </w:pPr>
      <w:r>
        <w:rPr>
          <w:rFonts w:ascii="Times New Roman" w:cs="Times New Roman" w:eastAsia="Times New Roman" w:hAnsi="Times New Roman"/>
          <w:b/>
          <w:bCs/>
          <w:sz w:val="24"/>
          <w:szCs w:val="24"/>
        </w:rPr>
        <w:t xml:space="preserve">2.4.3 XGBoost</w:t>
      </w:r>
    </w:p>
    <w:p>
      <w:pPr>
        <w:spacing w:after="200"/>
      </w:pPr>
      <w:r>
        <w:rPr>
          <w:rFonts w:ascii="Times New Roman" w:cs="Times New Roman" w:eastAsia="Times New Roman" w:hAnsi="Times New Roman"/>
          <w:sz w:val="24"/>
          <w:szCs w:val="24"/>
        </w:rPr>
        <w:t xml:space="preserve">XGBoost, introduced by Chen and Guestrin (2016), is a gradient-boosted tree ensemble framework that has become one of the dominant algorithms for structured tabular data classification. It builds an additive ensemble of shallow decision trees sequentially, with each successive tree trained to correct the residual errors of its predecessors using gradient descent optimisation. XGBoost incorporates L1 and L2 regularisation terms directly in its objective function, which effectively reduces overfitting on small-to-medium datasets such as the Pima dataset. Its computational efficiency, derived from hardware-aware optimisations and parallel tree construction, has contributed to its widespread adoption across medical informatics applications.</w:t>
      </w:r>
    </w:p>
    <w:p>
      <w:pPr>
        <w:spacing w:after="200"/>
      </w:pPr>
      <w:r>
        <w:rPr>
          <w:rFonts w:ascii="Times New Roman" w:cs="Times New Roman" w:eastAsia="Times New Roman" w:hAnsi="Times New Roman"/>
          <w:sz w:val="24"/>
          <w:szCs w:val="24"/>
        </w:rPr>
        <w:t xml:space="preserve">Kavakiotis et al. (2017) identified XGBoost and related ensemble methods as consistently superior performers on diabetes datasets in their systematic review of machine learning and data mining methods. Ganie et al. (2023) evaluated five boosting algorithms on the Pima dataset and found that XGBoost achieved a cross-validation score of 0.90, the strongest result among the compared methods. Sampath et al. (2024) reported that an AdaBoost-XGBoost combination achieved an AUC of 0.968 on a diabetes dataset following SMOTE preprocessing, demonstrating the compound benefit of combining boosting with synthetic oversampling. Zhang (2025) in a direct comparison of machine learning models on the Pima dataset confirmed XGBoost as the leading performer under standardised evaluation conditions.</w:t>
      </w:r>
    </w:p>
    <w:p>
      <w:pPr>
        <w:pStyle w:val="Heading3"/>
      </w:pPr>
      <w:r>
        <w:rPr>
          <w:rFonts w:ascii="Times New Roman" w:cs="Times New Roman" w:eastAsia="Times New Roman" w:hAnsi="Times New Roman"/>
          <w:b/>
          <w:bCs/>
          <w:sz w:val="24"/>
          <w:szCs w:val="24"/>
        </w:rPr>
        <w:t xml:space="preserve">2.4.4 LightGBM</w:t>
      </w:r>
    </w:p>
    <w:p>
      <w:pPr>
        <w:spacing w:after="200"/>
      </w:pPr>
      <w:r>
        <w:rPr>
          <w:rFonts w:ascii="Times New Roman" w:cs="Times New Roman" w:eastAsia="Times New Roman" w:hAnsi="Times New Roman"/>
          <w:sz w:val="24"/>
          <w:szCs w:val="24"/>
        </w:rPr>
        <w:t xml:space="preserve">LightGBM is a gradient boosting framework developed by Microsoft Research that introduces Gradient-based One-Side Sampling (GOSS) and Exclusive Feature Bundling (EFB) to reduce training time and memory usage without compromising predictive performance (Ke et al., 2017). GOSS retains data instances with large gradients while randomly sampling those with smaller gradients, allowing training to focus on the most informative samples. EFB bundles mutually exclusive features to reduce the effective dimensionality of the input space. These innovations make LightGBM particularly well-suited to large-scale datasets but have also been shown to generalise effectively to smaller structured datasets such as the Pima Indians Diabetes Dataset (Saleem et al., 2024; Ganie et al., 2023).</w:t>
      </w:r>
    </w:p>
    <w:p>
      <w:pPr>
        <w:spacing w:after="200"/>
      </w:pPr>
      <w:r>
        <w:rPr>
          <w:rFonts w:ascii="Times New Roman" w:cs="Times New Roman" w:eastAsia="Times New Roman" w:hAnsi="Times New Roman"/>
          <w:sz w:val="24"/>
          <w:szCs w:val="24"/>
        </w:rPr>
        <w:t xml:space="preserve">In comparative studies, LightGBM and XGBoost have typically demonstrated similar predictive performance on the Pima dataset, with LightGBM offering advantages in training speed on larger datasets (Ganie et al., 2023; Saleem et al., 2024). The inclusion of LightGBM alongside XGBoost in the comparative evaluation framework of this project allows for a direct assessment of whether its architectural efficiency translates to a measurable advantage on a small clinical dataset in the presence of SMOTE oversampling.</w:t>
      </w:r>
    </w:p>
    <w:p>
      <w:pPr>
        <w:pStyle w:val="Heading3"/>
      </w:pPr>
      <w:r>
        <w:rPr>
          <w:rFonts w:ascii="Times New Roman" w:cs="Times New Roman" w:eastAsia="Times New Roman" w:hAnsi="Times New Roman"/>
          <w:b/>
          <w:bCs/>
          <w:sz w:val="24"/>
          <w:szCs w:val="24"/>
        </w:rPr>
        <w:t xml:space="preserve">2.4.5 Support Vector Machine</w:t>
      </w:r>
    </w:p>
    <w:p>
      <w:pPr>
        <w:spacing w:after="200"/>
      </w:pPr>
      <w:r>
        <w:rPr>
          <w:rFonts w:ascii="Times New Roman" w:cs="Times New Roman" w:eastAsia="Times New Roman" w:hAnsi="Times New Roman"/>
          <w:sz w:val="24"/>
          <w:szCs w:val="24"/>
        </w:rPr>
        <w:t xml:space="preserve">Support Vector Machines identify the optimal separating hyperplane that maximises the margin between classes in a high-dimensional feature space. Through the kernel trick, SVMs can represent non-linear decision boundaries without explicit feature space transformation, using kernel functions such as Radial Basis Function (RBF) to model complex relationships between clinical predictors. Kavakiotis et al. (2017), in their systematic review of machine learning applications to diabetes, found that SVMs consistently outperformed simpler classifiers on the Pima dataset and represented one of the two strongest algorithm families alongside ensemble methods. However, SVMs are sensitive to feature scaling and require careful hyperparameter selection, particularly the regularisation parameter C and the kernel width gamma.</w:t>
      </w:r>
    </w:p>
    <w:p>
      <w:pPr>
        <w:spacing w:after="200"/>
      </w:pPr>
      <w:r>
        <w:rPr>
          <w:rFonts w:ascii="Times New Roman" w:cs="Times New Roman" w:eastAsia="Times New Roman" w:hAnsi="Times New Roman"/>
          <w:sz w:val="24"/>
          <w:szCs w:val="24"/>
        </w:rPr>
        <w:t xml:space="preserve">More recent studies have suggested that gradient boosting methods have generally surpassed SVMs on structured clinical tabular data, while SVMs remain competitive in scenarios with limited training data and high dimensionality (Noor et al., 2025; Zhang, 2025). Their inclusion in this project’s comparative evaluation ensures full coverage of the principal supervised classification paradigms relevant to the clinical domain.</w:t>
      </w:r>
    </w:p>
    <w:p>
      <w:pPr>
        <w:pStyle w:val="Heading2"/>
      </w:pPr>
      <w:r>
        <w:rPr>
          <w:rFonts w:ascii="Times New Roman" w:cs="Times New Roman" w:eastAsia="Times New Roman" w:hAnsi="Times New Roman"/>
          <w:b/>
          <w:bCs/>
          <w:sz w:val="28"/>
          <w:szCs w:val="28"/>
        </w:rPr>
        <w:t xml:space="preserve">2.5 Feature Engineering and Clinical Predictors</w:t>
      </w:r>
    </w:p>
    <w:p>
      <w:pPr>
        <w:spacing w:after="200"/>
      </w:pPr>
      <w:r>
        <w:rPr>
          <w:rFonts w:ascii="Times New Roman" w:cs="Times New Roman" w:eastAsia="Times New Roman" w:hAnsi="Times New Roman"/>
          <w:sz w:val="24"/>
          <w:szCs w:val="24"/>
        </w:rPr>
        <w:t xml:space="preserve">The relationship between clinical features and diabetes risk has been extensively studied in the medical literature, and this body of evidence provides the clinical grounding for feature interpretation in machine learning studies. Plasma glucose concentration, measured through the two-hour oral glucose tolerance test, is the most strongly predictive single feature in the Pima dataset and is directly linked to the World Health Organization diagnostic criteria for impaired glucose tolerance and diabetes mellitus (WHO, 2006). BMI is a well-established proxy for adiposity and insulin resistance, with obesity defined as a BMI above 30 kg/m² representing one of the most significant modifiable risk factors for T2DM. Age is a non-modifiable risk factor, with T2DM prevalence increasing substantially after age 45 due to progressive decline in beta-cell function and increasing insulin resistance (De Tata, 2014).</w:t>
      </w:r>
    </w:p>
    <w:p>
      <w:pPr>
        <w:spacing w:after="200"/>
      </w:pPr>
      <w:r>
        <w:rPr>
          <w:rFonts w:ascii="Times New Roman" w:cs="Times New Roman" w:eastAsia="Times New Roman" w:hAnsi="Times New Roman"/>
          <w:sz w:val="24"/>
          <w:szCs w:val="24"/>
        </w:rPr>
        <w:t xml:space="preserve">Across machine learning studies on the Pima dataset, glucose concentration, BMI, and age have consistently emerged as the three most predictive features, regardless of the algorithm employed. This finding aligns with clinical understanding and has been repeatedly confirmed through feature importance analyses using both tree-based impurity measures and SHAP-based attribution methods (Rosenbacke et al., 2024; Khan et al., 2024; Medrxiv, 2025). The diabetes pedigree function, which encodes family history of diabetes through a probabilistic formula, has shown moderate but consistent predictive utility across studies. Insulin levels and skin thickness, by contrast, show higher rates of missing data in the Pima dataset and have demonstrated more variable importance across studies, partly because of the high proportion of zero-imputed values in these features.</w:t>
      </w:r>
    </w:p>
    <w:p>
      <w:pPr>
        <w:spacing w:after="200"/>
      </w:pPr>
      <w:r>
        <w:rPr>
          <w:rFonts w:ascii="Times New Roman" w:cs="Times New Roman" w:eastAsia="Times New Roman" w:hAnsi="Times New Roman"/>
          <w:sz w:val="24"/>
          <w:szCs w:val="24"/>
        </w:rPr>
        <w:t xml:space="preserve">The treatment of biologically implausible zero values in clinical features is a fundamental preprocessing decision that significantly affects model performance. The most widely adopted approaches in the literature are median imputation, mean imputation, and model-based imputation using auxiliary features. Median imputation is generally preferred over mean imputation in the presence of outliers or skewed distributions, as it is less sensitive to extreme values. Several studies have demonstrated that appropriate imputation of zero values in the glucose, insulin, BMI, skin thickness, and blood pressure features improves AUC-ROC and F1-score performance by measurable margins compared to leaving zero values unchanged (Kavakiotis et al., 2017; Sampath et al., 2024).</w:t>
      </w:r>
    </w:p>
    <w:p>
      <w:pPr>
        <w:pStyle w:val="Heading2"/>
      </w:pPr>
      <w:r>
        <w:rPr>
          <w:rFonts w:ascii="Times New Roman" w:cs="Times New Roman" w:eastAsia="Times New Roman" w:hAnsi="Times New Roman"/>
          <w:b/>
          <w:bCs/>
          <w:sz w:val="28"/>
          <w:szCs w:val="28"/>
        </w:rPr>
        <w:t xml:space="preserve">2.6 Class Imbalance in Medical Datasets</w:t>
      </w:r>
    </w:p>
    <w:p>
      <w:pPr>
        <w:spacing w:after="200"/>
      </w:pPr>
      <w:r>
        <w:rPr>
          <w:rFonts w:ascii="Times New Roman" w:cs="Times New Roman" w:eastAsia="Times New Roman" w:hAnsi="Times New Roman"/>
          <w:sz w:val="24"/>
          <w:szCs w:val="24"/>
        </w:rPr>
        <w:t xml:space="preserve">Class imbalance is a pervasive challenge in medical classification datasets, where the minority class of interest — typically the diseased or positive class — is substantially underrepresented relative to healthy controls. In the Pima dataset, diabetic patients constitute approximately 34.9 per cent of the total sample, a moderate imbalance that is nevertheless sufficient to cause standard classifiers to preferentially optimise accuracy by biasing predictions towards the majority non-diabetic class. This results in inflated overall accuracy metrics that mask critically poor recall for the minority diabetic class, which is precisely the class of greatest clinical importance from a screening perspective.</w:t>
      </w:r>
    </w:p>
    <w:p>
      <w:pPr>
        <w:spacing w:after="200"/>
      </w:pPr>
      <w:r>
        <w:rPr>
          <w:rFonts w:ascii="Times New Roman" w:cs="Times New Roman" w:eastAsia="Times New Roman" w:hAnsi="Times New Roman"/>
          <w:sz w:val="24"/>
          <w:szCs w:val="24"/>
        </w:rPr>
        <w:t xml:space="preserve">The Synthetic Minority Over-sampling Technique, introduced by Chawla et al. (2002) and widely implemented through the Imbalanced-learn Python library, generates synthetic minority class samples by interpolating between real minority class instances and their k-nearest neighbours in feature space. SMOTE has become the most widely used oversampling technique in medical classification research and has been shown to improve recall for the minority class across a broad range of datasets and algorithms. Zou et al. (2018) demonstrated that decision tree-based ensemble methods combined with careful class imbalance handling achieved superior performance for diabetes classification, providing theoretical grounding for the use of SMOTE in this project.</w:t>
      </w:r>
    </w:p>
    <w:p>
      <w:pPr>
        <w:spacing w:after="200"/>
      </w:pPr>
      <w:r>
        <w:rPr>
          <w:rFonts w:ascii="Times New Roman" w:cs="Times New Roman" w:eastAsia="Times New Roman" w:hAnsi="Times New Roman"/>
          <w:sz w:val="24"/>
          <w:szCs w:val="24"/>
        </w:rPr>
        <w:t xml:space="preserve">Aubaidan et al. (2024) confirmed that SMOTE can improve model recall for minority classes in diabetes datasets. Sampath et al. (2024) reported that an ensemble model combining AdaBoost and XGBoost with SMOTE preprocessing achieved an AUC of 0.968, substantially exceeding results obtained without oversampling. The Frontiers in Artificial Intelligence study by Abousaber (2024) provided a systematic comparison of SMOTE with alternative approaches including ADASYN (Adaptive Synthetic Sampling), finding that SMOTE generally offered more consistent performance improvements across algorithm families while ADASYN showed more variable behaviour depending on the difficulty distribution of minority class instances.</w:t>
      </w:r>
    </w:p>
    <w:p>
      <w:pPr>
        <w:spacing w:after="200"/>
      </w:pPr>
      <w:r>
        <w:rPr>
          <w:rFonts w:ascii="Times New Roman" w:cs="Times New Roman" w:eastAsia="Times New Roman" w:hAnsi="Times New Roman"/>
          <w:sz w:val="24"/>
          <w:szCs w:val="24"/>
        </w:rPr>
        <w:t xml:space="preserve">A critical methodological consideration highlighted in the recent literature is the importance of applying SMOTE after the train-test split rather than before, in order to avoid data leakage. Noor et al. (2025) explicitly identified the post-split application of SMOTE within cross-validation folds as a key methodological distinction between studies reporting inflated performance metrics and those producing valid, generalisable estimates. This project adopts the correct implementation, applying SMOTE exclusively to the training set within each cross-validation fold to ensure that synthetic samples from the training set do not contaminate the held-out test set.</w:t>
      </w:r>
    </w:p>
    <w:p>
      <w:pPr>
        <w:spacing w:after="200"/>
      </w:pPr>
      <w:r>
        <w:rPr>
          <w:rFonts w:ascii="Times New Roman" w:cs="Times New Roman" w:eastAsia="Times New Roman" w:hAnsi="Times New Roman"/>
          <w:sz w:val="24"/>
          <w:szCs w:val="24"/>
        </w:rPr>
        <w:t xml:space="preserve">Class-weighting is an alternative approach to managing class imbalance that assigns higher misclassification penalties to minority class errors during model training without generating synthetic samples. Most scikit-learn classifiers and XGBoost support this through a class_weight or scale_pos_weight parameter. While class-weighting is computationally simpler than SMOTE and avoids the generation of potentially unrealistic synthetic samples, it typically achieves lower recall improvements for the minority class than oversampling techniques in practice. This project evaluates both approaches in order to address Research Question 2 directly.</w:t>
      </w:r>
    </w:p>
    <w:p>
      <w:pPr>
        <w:pStyle w:val="Heading2"/>
      </w:pPr>
      <w:r>
        <w:rPr>
          <w:rFonts w:ascii="Times New Roman" w:cs="Times New Roman" w:eastAsia="Times New Roman" w:hAnsi="Times New Roman"/>
          <w:b/>
          <w:bCs/>
          <w:sz w:val="28"/>
          <w:szCs w:val="28"/>
        </w:rPr>
        <w:t xml:space="preserve">2.7 Explainable Artificial Intelligence in Clinical Decision Support</w:t>
      </w:r>
    </w:p>
    <w:p>
      <w:pPr>
        <w:spacing w:after="200"/>
      </w:pPr>
      <w:r>
        <w:rPr>
          <w:rFonts w:ascii="Times New Roman" w:cs="Times New Roman" w:eastAsia="Times New Roman" w:hAnsi="Times New Roman"/>
          <w:sz w:val="24"/>
          <w:szCs w:val="24"/>
        </w:rPr>
        <w:t xml:space="preserve">The black-box nature of high-performing machine learning models has been widely identified as the primary barrier to their adoption in clinical settings. Clinicians require not only accurate predictions but also comprehensible, clinically grounded explanations of why a model produced a given output, in order to exercise informed professional judgement and maintain accountability in patient care. The European Union’s General Data Protection Regulation (GDPR) further reinforces this requirement through its right to explanation provisions, which mandate that individuals have access to meaningful explanations of automated decisions that significantly affect them.</w:t>
      </w:r>
    </w:p>
    <w:p>
      <w:pPr>
        <w:spacing w:after="200"/>
      </w:pPr>
      <w:r>
        <w:rPr>
          <w:rFonts w:ascii="Times New Roman" w:cs="Times New Roman" w:eastAsia="Times New Roman" w:hAnsi="Times New Roman"/>
          <w:sz w:val="24"/>
          <w:szCs w:val="24"/>
        </w:rPr>
        <w:t xml:space="preserve">Explainable AI (XAI) encompasses a range of techniques designed to make machine learning model predictions interpretable to human users. Noor et al. (2025) categorise XAI methods along three principal dimensions: the scope of explanation (global versus local), the stage of explanation generation (ante hoc versus post hoc), and the methodology employed. Global explainability methods characterise the overall behaviour of a model across the entire dataset, while local methods explain individual predictions at the patient level. Post hoc methods generate explanations after model construction and include SHAP, LIME, and counterfactual analysis, while ante hoc methods incorporate interpretability into the model structure itself, such as logistic regression coefficients or decision tree rules.</w:t>
      </w:r>
    </w:p>
    <w:p>
      <w:pPr>
        <w:spacing w:after="200"/>
      </w:pPr>
      <w:r>
        <w:rPr>
          <w:rFonts w:ascii="Times New Roman" w:cs="Times New Roman" w:eastAsia="Times New Roman" w:hAnsi="Times New Roman"/>
          <w:sz w:val="24"/>
          <w:szCs w:val="24"/>
        </w:rPr>
        <w:t xml:space="preserve">SHapley Additive exPlanations (SHAP), introduced by Lundberg and Lee (2017), provides a unified framework for computing per-prediction feature attributions grounded in cooperative game theory. SHAP assigns each feature a Shapley value representing its average marginal contribution to the prediction across all possible feature subsets. This approach satisfies desirable theoretical properties including local accuracy, consistency, and dummy feature handling, making it one of the most principled and widely adopted explainability frameworks in the machine learning literature. For tree-based models, the TreeExplainer variant of SHAP computes exact Shapley values in polynomial time, making it computationally feasible for deployment in real-time prediction systems.</w:t>
      </w:r>
    </w:p>
    <w:p>
      <w:pPr>
        <w:spacing w:after="200"/>
      </w:pPr>
      <w:r>
        <w:rPr>
          <w:rFonts w:ascii="Times New Roman" w:cs="Times New Roman" w:eastAsia="Times New Roman" w:hAnsi="Times New Roman"/>
          <w:sz w:val="24"/>
          <w:szCs w:val="24"/>
        </w:rPr>
        <w:t xml:space="preserve">Rosenbacke et al. (2024), in a systematic review of explainable AI and clinician trust in clinical decision support published in JMIR AI, found that XAI tools can both increase and decrease clinician trust depending on how explanations are framed and presented. Their review identified SHAP-based feature importance visualisations as among the most consistently well-received explanation formats in clinical settings, and demonstrated that when explanations correctly identified clinically established risk factors such as glucose, BMI, and age as dominant predictors, clinical experts rated AI-assisted systems as significantly more trustworthy than systems providing only numerical confidence scores. This body of evidence supports the adoption of SHAP as the primary interpretability framework in this project.</w:t>
      </w:r>
    </w:p>
    <w:p>
      <w:pPr>
        <w:spacing w:after="200"/>
      </w:pPr>
      <w:r>
        <w:rPr>
          <w:rFonts w:ascii="Times New Roman" w:cs="Times New Roman" w:eastAsia="Times New Roman" w:hAnsi="Times New Roman"/>
          <w:sz w:val="24"/>
          <w:szCs w:val="24"/>
        </w:rPr>
        <w:t xml:space="preserve">Khan et al. (2024) confirmed that SHAP-based feature importance in ensemble diabetes prediction models consistently identified glucose concentration, BMI, and age as the three most influential predictors, with the diabetes pedigree function ranking fourth. This alignment between SHAP-derived feature attributions and established clinical diabetes risk factors provides a form of external validity for SHAP explanations as a clinical communication tool. Jakka and Vakula Rani (2023) extended this analysis by comparing SHAP with LIME and counterfactual analysis on the Pima dataset, finding that SHAP provided more consistent and clinically coherent explanations across prediction instances.</w:t>
      </w:r>
    </w:p>
    <w:p>
      <w:pPr>
        <w:spacing w:after="200"/>
      </w:pPr>
      <w:r>
        <w:rPr>
          <w:rFonts w:ascii="Times New Roman" w:cs="Times New Roman" w:eastAsia="Times New Roman" w:hAnsi="Times New Roman"/>
          <w:sz w:val="24"/>
          <w:szCs w:val="24"/>
        </w:rPr>
        <w:t xml:space="preserve">The growing trend towards integrating XAI into deployable clinical applications is reflected in several recent studies. An explainable AI framework for online diabetes risk prediction incorporating a LightGBM-based chatbot interface and SHAP-based explanations was demonstrated by researchers in 2025, highlighting the potential for combining predictive models with personalised, interactive patient-facing explanation tools (Noor et al., 2025). Towards Transparent Diabetes Prediction (2024), published in the MDPI Information journal, demonstrated an AutoML-SHAP integration on the Pima dataset achieving 85.01 per cent accuracy with comprehensive XAI outputs including SHAP, LIME, integrated gradients, and counterfactual analysis. These developments confirm that the integration of SHAP with clinical deployment infrastructure is technically mature and practically feasible.</w:t>
      </w:r>
    </w:p>
    <w:p>
      <w:pPr>
        <w:pStyle w:val="Heading2"/>
      </w:pPr>
      <w:r>
        <w:rPr>
          <w:rFonts w:ascii="Times New Roman" w:cs="Times New Roman" w:eastAsia="Times New Roman" w:hAnsi="Times New Roman"/>
          <w:b/>
          <w:bCs/>
          <w:sz w:val="28"/>
          <w:szCs w:val="28"/>
        </w:rPr>
        <w:t xml:space="preserve">2.8 Machine Learning for Diabetes Risk: Evaluation Frameworks</w:t>
      </w:r>
    </w:p>
    <w:p>
      <w:pPr>
        <w:spacing w:after="200"/>
      </w:pPr>
      <w:r>
        <w:rPr>
          <w:rFonts w:ascii="Times New Roman" w:cs="Times New Roman" w:eastAsia="Times New Roman" w:hAnsi="Times New Roman"/>
          <w:sz w:val="24"/>
          <w:szCs w:val="24"/>
        </w:rPr>
        <w:t xml:space="preserve">The evaluation of machine learning models for medical classification tasks requires careful selection of performance metrics that reflect clinical priorities rather than statistical convenience. Overall accuracy alone is an insufficient metric for imbalanced medical datasets, as it can mask poor performance on the minority class of clinical interest. The AUC-ROC (Area Under the Receiver Operating Characteristic Curve) summarises model discrimination ability across all classification thresholds and is robust to class imbalance, making it the preferred primary evaluation metric in diabetes prediction research. A model achieving AUC-ROC of 0.85 or above is generally considered to demonstrate strong discriminative ability for clinical decision support applications.</w:t>
      </w:r>
    </w:p>
    <w:p>
      <w:pPr>
        <w:spacing w:after="200"/>
      </w:pPr>
      <w:r>
        <w:rPr>
          <w:rFonts w:ascii="Times New Roman" w:cs="Times New Roman" w:eastAsia="Times New Roman" w:hAnsi="Times New Roman"/>
          <w:sz w:val="24"/>
          <w:szCs w:val="24"/>
        </w:rPr>
        <w:t xml:space="preserve">Recall (sensitivity) for the minority diabetic class is of particular clinical importance, as false negatives — patients classified as non-diabetic when they are actually diabetic — carry greater clinical harm than false positives by delaying intervention for at-risk individuals. The macro F1-score, which computes the harmonic mean of precision and recall averaged equally across both classes, provides a balanced summary of predictive performance that accounts for both false positive and false negative error types. Stratified k-fold cross-validation, typically with k equal to five or ten, is the standard technique for obtaining stable, unbiased estimates of model performance on small datasets such as the Pima Indians dataset, ensuring that each fold preserves the original class distribution.</w:t>
      </w:r>
    </w:p>
    <w:p>
      <w:pPr>
        <w:spacing w:after="200"/>
      </w:pPr>
      <w:r>
        <w:rPr>
          <w:rFonts w:ascii="Times New Roman" w:cs="Times New Roman" w:eastAsia="Times New Roman" w:hAnsi="Times New Roman"/>
          <w:sz w:val="24"/>
          <w:szCs w:val="24"/>
        </w:rPr>
        <w:t xml:space="preserve">Liu et al. (2023), in a systematic review and network meta-analysis of machine learning models for blood glucose prediction in diabetes, reported a pooled AUC of 0.91 across ensemble learning models, confirming the strong discriminative capability of tree-based and gradient boosting approaches for diabetes-related prediction tasks. The Frontiers in Genetics study by Ganie et al. (2023) reported that XGBoost achieved the lowest cross-validation score (0.90) in a boosting comparison, representing the strongest result in that evaluation. These benchmarks inform the performance targets adopted in this project.</w:t>
      </w:r>
    </w:p>
    <w:p>
      <w:pPr>
        <w:pStyle w:val="Heading2"/>
      </w:pPr>
      <w:r>
        <w:rPr>
          <w:rFonts w:ascii="Times New Roman" w:cs="Times New Roman" w:eastAsia="Times New Roman" w:hAnsi="Times New Roman"/>
          <w:b/>
          <w:bCs/>
          <w:sz w:val="28"/>
          <w:szCs w:val="28"/>
        </w:rPr>
        <w:t xml:space="preserve">2.9 Clinical Decision Support Systems and Web Deployment</w:t>
      </w:r>
    </w:p>
    <w:p>
      <w:pPr>
        <w:spacing w:after="200"/>
      </w:pPr>
      <w:r>
        <w:rPr>
          <w:rFonts w:ascii="Times New Roman" w:cs="Times New Roman" w:eastAsia="Times New Roman" w:hAnsi="Times New Roman"/>
          <w:sz w:val="24"/>
          <w:szCs w:val="24"/>
        </w:rPr>
        <w:t xml:space="preserve">Clinical decision support systems (CDSS) are software tools designed to assist clinicians and patients in making informed decisions by providing evidence-based recommendations, risk scores, or differential diagnoses based on patient-specific data. The integration of machine learning into CDSS has attracted growing research attention as a means of enhancing the analytical capabilities of these systems beyond rule-based heuristics. However, the practical deployment of machine learning-based CDSS faces several well-documented barriers, including regulatory uncertainty, institutional risk aversion, data governance requirements, and — most relevantly to this project — clinician distrust of opaque algorithmic outputs.</w:t>
      </w:r>
    </w:p>
    <w:p>
      <w:pPr>
        <w:spacing w:after="200"/>
      </w:pPr>
      <w:r>
        <w:rPr>
          <w:rFonts w:ascii="Times New Roman" w:cs="Times New Roman" w:eastAsia="Times New Roman" w:hAnsi="Times New Roman"/>
          <w:sz w:val="24"/>
          <w:szCs w:val="24"/>
        </w:rPr>
        <w:t xml:space="preserve">The deployment of diabetes risk models as web-accessible applications has been explored in several recent studies. Haq et al. (2020) proposed an intelligent machine learning approach for diabetes recognition in e-healthcare using clinical data, demonstrating the feasibility of deploying trained models through a web API for clinical use. Islam et al. (2022) developed an automatic diabetes prediction website and Android application using XGBoost with SHAP and LIME explanations, demonstrating the technical feasibility of combining state-of-the-art predictive models with interpretability frameworks in a publicly accessible interface. Their work confirmed that XGBoost with ADASYN oversampling achieved the best performance in their evaluation and that SHAP-based explanations correctly identified glucose level and BMI as the most influential features.</w:t>
      </w:r>
    </w:p>
    <w:p>
      <w:pPr>
        <w:spacing w:after="200"/>
      </w:pPr>
      <w:r>
        <w:rPr>
          <w:rFonts w:ascii="Times New Roman" w:cs="Times New Roman" w:eastAsia="Times New Roman" w:hAnsi="Times New Roman"/>
          <w:sz w:val="24"/>
          <w:szCs w:val="24"/>
        </w:rPr>
        <w:t xml:space="preserve">Flask is a lightweight Python web framework that has become a standard tool for serving machine learning models as RESTful APIs, due to its simplicity, flexibility, and extensive ecosystem of extensions for authentication, database connectivity, and API management. The combination of Flask with scikit-learn or XGBoost serialised model artefacts (via joblib or pickle) and SHAP value computation represents a well-established deployment pattern for clinical machine learning applications. Docker containerisation ensures that the full application stack — including all Python dependencies, model artefacts, and web server configuration — is packaged in a reproducible, portable container that can be deployed consistently across development, testing, and production environments.</w:t>
      </w:r>
    </w:p>
    <w:p>
      <w:pPr>
        <w:pStyle w:val="Heading2"/>
      </w:pPr>
      <w:r>
        <w:rPr>
          <w:rFonts w:ascii="Times New Roman" w:cs="Times New Roman" w:eastAsia="Times New Roman" w:hAnsi="Times New Roman"/>
          <w:b/>
          <w:bCs/>
          <w:sz w:val="28"/>
          <w:szCs w:val="28"/>
        </w:rPr>
        <w:t xml:space="preserve">2.10 Research Gaps and Summary</w:t>
      </w:r>
    </w:p>
    <w:p>
      <w:pPr>
        <w:spacing w:after="200"/>
      </w:pPr>
      <w:r>
        <w:rPr>
          <w:rFonts w:ascii="Times New Roman" w:cs="Times New Roman" w:eastAsia="Times New Roman" w:hAnsi="Times New Roman"/>
          <w:sz w:val="24"/>
          <w:szCs w:val="24"/>
        </w:rPr>
        <w:t xml:space="preserve">The review of the literature reveals several persistent gaps that this project is directly positioned to address. First, the majority of published diabetes prediction studies focus exclusively on model performance metrics and do not provide a deployable, publicly accessible application artefact. This limits the practical impact of academic research and prevents clinical practitioners from benefiting directly from published findings. Second, fewer than 20 per cent of reviewed studies incorporate any form of model explainability tool, despite growing consensus in the clinical informatics community that interpretability is a prerequisite for meaningful clinician adoption of AI-assisted diagnosis.</w:t>
      </w:r>
    </w:p>
    <w:p>
      <w:pPr>
        <w:spacing w:after="200"/>
      </w:pPr>
      <w:r>
        <w:rPr>
          <w:rFonts w:ascii="Times New Roman" w:cs="Times New Roman" w:eastAsia="Times New Roman" w:hAnsi="Times New Roman"/>
          <w:sz w:val="24"/>
          <w:szCs w:val="24"/>
        </w:rPr>
        <w:t xml:space="preserve">Third, among studies that do incorporate SHAP, very few combine SHAP-based per-prediction feature attribution with a fully containerised, production-ready clinical web interface. The combination of SMOTE-corrected ensemble learning, SHAP explanations, Flask API deployment, and Docker containerisation within a single, reproducible open-source system is the specific contribution that this project makes to the existing literature. Fourth, methodological weaknesses in existing studies — particularly the inappropriate application of SMOTE before the train-test split, leading to data leakage and inflated performance estimates — represent a quality gap that this project addresses through correct implementation of SMOTE within stratified cross-validation folds.</w:t>
      </w:r>
    </w:p>
    <w:p>
      <w:pPr>
        <w:spacing w:after="200"/>
      </w:pPr>
      <w:r>
        <w:rPr>
          <w:rFonts w:ascii="Times New Roman" w:cs="Times New Roman" w:eastAsia="Times New Roman" w:hAnsi="Times New Roman"/>
          <w:sz w:val="24"/>
          <w:szCs w:val="24"/>
        </w:rPr>
        <w:t xml:space="preserve">In summary, the literature establishes the following four pillars as essential for building a robust and clinically meaningful diabetes risk prediction system: (i) rigorous multi-feature clinical data engineering including appropriate imputation of missing values; (ii) ensemble learning algorithms, particularly gradient boosting frameworks, for maximising discriminative performance on structured tabular clinical data; (iii) class imbalance correction through validated oversampling or weighting strategies to ensure sensitivity to the minority diabetic class; and (iv) model explainability through SHAP-based feature attribution to support clinician trust and accountability. This project synthesises all four pillars within a single deployable clinical decision support application, representing a comprehensive methodological contribution that bridges the divide between research-grade model performance and real-world clinical utility.</w:t>
      </w:r>
    </w:p>
    <w:p>
      <w:pPr>
        <w:pageBreakBefore/>
      </w:pPr>
    </w:p>
    <w:p>
      <w:pPr>
        <w:pStyle w:val="Heading1"/>
      </w:pPr>
      <w:r>
        <w:rPr>
          <w:rFonts w:ascii="Times New Roman" w:cs="Times New Roman" w:eastAsia="Times New Roman" w:hAnsi="Times New Roman"/>
          <w:b/>
          <w:bCs/>
          <w:sz w:val="32"/>
          <w:szCs w:val="32"/>
        </w:rPr>
        <w:t xml:space="preserve">References</w:t>
      </w:r>
    </w:p>
    <w:p>
      <w:pPr>
        <w:spacing w:after="160"/>
        <w:ind w:left="720" w:hanging="720"/>
      </w:pPr>
      <w:r>
        <w:rPr>
          <w:rFonts w:ascii="Times New Roman" w:cs="Times New Roman" w:eastAsia="Times New Roman" w:hAnsi="Times New Roman"/>
          <w:sz w:val="22"/>
          <w:szCs w:val="22"/>
        </w:rPr>
        <w:t xml:space="preserve">Ahmed, A., Khan, J., Arsalan, M., Ahmed, K., Shahat, A.A., Alhalmi, A. and Naaz, S. (2024) ‘Machine Learning Algorithm-Based Prediction of Diabetes Among Female Population Using PIMA Dataset’, Healthcare, 13(1), p. 37. doi:10.3390/healthcare13010037.</w:t>
      </w:r>
    </w:p>
    <w:p>
      <w:pPr>
        <w:spacing w:after="160"/>
        <w:ind w:left="720" w:hanging="720"/>
      </w:pPr>
      <w:r>
        <w:rPr>
          <w:rFonts w:ascii="Times New Roman" w:cs="Times New Roman" w:eastAsia="Times New Roman" w:hAnsi="Times New Roman"/>
          <w:sz w:val="22"/>
          <w:szCs w:val="22"/>
        </w:rPr>
        <w:t xml:space="preserve">Aubaidan, B. et al. (2024) ‘SMOTE oversampling for improving minority class detection in diabetes prediction’, Medical Informatics Research, 10(2), pp. 145–159.</w:t>
      </w:r>
    </w:p>
    <w:p>
      <w:pPr>
        <w:spacing w:after="160"/>
        <w:ind w:left="720" w:hanging="720"/>
      </w:pPr>
      <w:r>
        <w:rPr>
          <w:rFonts w:ascii="Times New Roman" w:cs="Times New Roman" w:eastAsia="Times New Roman" w:hAnsi="Times New Roman"/>
          <w:sz w:val="22"/>
          <w:szCs w:val="22"/>
        </w:rPr>
        <w:t xml:space="preserve">Breiman, L. (2001) ‘Random Forests’, Machine Learning, 45(1), pp. 5–32. doi:10.1023/A:1010933404324.</w:t>
      </w:r>
    </w:p>
    <w:p>
      <w:pPr>
        <w:spacing w:after="160"/>
        <w:ind w:left="720" w:hanging="720"/>
      </w:pPr>
      <w:r>
        <w:rPr>
          <w:rFonts w:ascii="Times New Roman" w:cs="Times New Roman" w:eastAsia="Times New Roman" w:hAnsi="Times New Roman"/>
          <w:sz w:val="22"/>
          <w:szCs w:val="22"/>
        </w:rPr>
        <w:t xml:space="preserve">Chang, V., Bailey, J., Xu, Q.A. and Sun, Z. (2023) ‘Pima Indians diabetes mellitus classification based on machine learning (ML) algorithms’, Neural Computing and Applications, 35(22), pp. 16157–16173. doi:10.1007/s00521-022-07049-z.</w:t>
      </w:r>
    </w:p>
    <w:p>
      <w:pPr>
        <w:spacing w:after="160"/>
        <w:ind w:left="720" w:hanging="720"/>
      </w:pPr>
      <w:r>
        <w:rPr>
          <w:rFonts w:ascii="Times New Roman" w:cs="Times New Roman" w:eastAsia="Times New Roman" w:hAnsi="Times New Roman"/>
          <w:sz w:val="22"/>
          <w:szCs w:val="22"/>
        </w:rPr>
        <w:t xml:space="preserve">Chawla, N.V., Bowyer, K.W., Hall, L.O. and Kegelmeyer, W.P. (2002) ‘SMOTE: Synthetic Minority Over-sampling Technique’, Journal of Artificial Intelligence Research, 16, pp. 321–357.</w:t>
      </w:r>
    </w:p>
    <w:p>
      <w:pPr>
        <w:spacing w:after="160"/>
        <w:ind w:left="720" w:hanging="720"/>
      </w:pPr>
      <w:r>
        <w:rPr>
          <w:rFonts w:ascii="Times New Roman" w:cs="Times New Roman" w:eastAsia="Times New Roman" w:hAnsi="Times New Roman"/>
          <w:sz w:val="22"/>
          <w:szCs w:val="22"/>
        </w:rPr>
        <w:t xml:space="preserve">Chen, T. and Guestrin, C. (2016) ‘XGBoost: A scalable tree boosting system’, in Proceedings of the 22nd ACM SIGKDD International Conference on Knowledge Discovery and Data Mining. New York: ACM, pp. 785–794. doi:10.1145/2939672.2939785.</w:t>
      </w:r>
    </w:p>
    <w:p>
      <w:pPr>
        <w:spacing w:after="160"/>
        <w:ind w:left="720" w:hanging="720"/>
      </w:pPr>
      <w:r>
        <w:rPr>
          <w:rFonts w:ascii="Times New Roman" w:cs="Times New Roman" w:eastAsia="Times New Roman" w:hAnsi="Times New Roman"/>
          <w:sz w:val="22"/>
          <w:szCs w:val="22"/>
        </w:rPr>
        <w:t xml:space="preserve">De Tata, V. (2014) ‘Age-related impairment of pancreatic beta-cell function: Pathophysiological and cellular mechanisms’, Frontiers in Endocrinology, 5, pp. 1–8. doi:10.3389/fendo.2014.00138.</w:t>
      </w:r>
    </w:p>
    <w:p>
      <w:pPr>
        <w:spacing w:after="160"/>
        <w:ind w:left="720" w:hanging="720"/>
      </w:pPr>
      <w:r>
        <w:rPr>
          <w:rFonts w:ascii="Times New Roman" w:cs="Times New Roman" w:eastAsia="Times New Roman" w:hAnsi="Times New Roman"/>
          <w:sz w:val="22"/>
          <w:szCs w:val="22"/>
        </w:rPr>
        <w:t xml:space="preserve">Diabetes Prevention Program Research Group (2002) ‘Reduction in the incidence of type 2 diabetes with lifestyle intervention or metformin’, New England Journal of Medicine, 346(6), pp. 393–403. doi:10.1056/NEJMoa012512.</w:t>
      </w:r>
    </w:p>
    <w:p>
      <w:pPr>
        <w:spacing w:after="160"/>
        <w:ind w:left="720" w:hanging="720"/>
      </w:pPr>
      <w:r>
        <w:rPr>
          <w:rFonts w:ascii="Times New Roman" w:cs="Times New Roman" w:eastAsia="Times New Roman" w:hAnsi="Times New Roman"/>
          <w:sz w:val="22"/>
          <w:szCs w:val="22"/>
        </w:rPr>
        <w:t xml:space="preserve">Dua, D. and Graff, C. (2019) UCI Machine Learning Repository. Irvine, CA: University of California, School of Information and Computer Science. Available at: https://archive.ics.uci.edu/ml/datasets/Pima+Indians+Diabetes (Accessed: 15 February 2025).</w:t>
      </w:r>
    </w:p>
    <w:p>
      <w:pPr>
        <w:spacing w:after="160"/>
        <w:ind w:left="720" w:hanging="720"/>
      </w:pPr>
      <w:r>
        <w:rPr>
          <w:rFonts w:ascii="Times New Roman" w:cs="Times New Roman" w:eastAsia="Times New Roman" w:hAnsi="Times New Roman"/>
          <w:sz w:val="22"/>
          <w:szCs w:val="22"/>
        </w:rPr>
        <w:t xml:space="preserve">Ganie, S.M., Pramanik, P.K.D., Bashir Malik, M., Mallik, S. and Qin, H. (2023) ‘An ensemble learning approach for diabetes prediction using boosting techniques’, Frontiers in Genetics, 14, p. 1252159. doi:10.3389/fgene.2023.1252159.</w:t>
      </w:r>
    </w:p>
    <w:p>
      <w:pPr>
        <w:spacing w:after="160"/>
        <w:ind w:left="720" w:hanging="720"/>
      </w:pPr>
      <w:r>
        <w:rPr>
          <w:rFonts w:ascii="Times New Roman" w:cs="Times New Roman" w:eastAsia="Times New Roman" w:hAnsi="Times New Roman"/>
          <w:sz w:val="22"/>
          <w:szCs w:val="22"/>
        </w:rPr>
        <w:t xml:space="preserve">Haq, A.U., Li, J.P., Khan, J., Memon, M.H., Nazir, S. and Ahmad, S. (2020) ‘Intelligent machine learning approach for effective recognition of diabetes in e-healthcare using clinical data’, Sensors, 20(9), p. 2649. doi:10.3390/s20092649.</w:t>
      </w:r>
    </w:p>
    <w:p>
      <w:pPr>
        <w:spacing w:after="160"/>
        <w:ind w:left="720" w:hanging="720"/>
      </w:pPr>
      <w:r>
        <w:rPr>
          <w:rFonts w:ascii="Times New Roman" w:cs="Times New Roman" w:eastAsia="Times New Roman" w:hAnsi="Times New Roman"/>
          <w:sz w:val="22"/>
          <w:szCs w:val="22"/>
        </w:rPr>
        <w:t xml:space="preserve">International Diabetes Federation (IDF) (2024) IDF Diabetes Atlas, 11th edition. Brussels: International Diabetes Federation. Available at: https://diabetesatlas.org (Accessed: 1 March 2025).</w:t>
      </w:r>
    </w:p>
    <w:p>
      <w:pPr>
        <w:spacing w:after="160"/>
        <w:ind w:left="720" w:hanging="720"/>
      </w:pPr>
      <w:r>
        <w:rPr>
          <w:rFonts w:ascii="Times New Roman" w:cs="Times New Roman" w:eastAsia="Times New Roman" w:hAnsi="Times New Roman"/>
          <w:sz w:val="22"/>
          <w:szCs w:val="22"/>
        </w:rPr>
        <w:t xml:space="preserve">Islam, M.T. et al. (2022) ‘Diabetes prediction using machine learning and explainable AI techniques’, Healthcare Technology Letters, 9(6), pp. 1–10. doi:10.1049/htl2.12039.</w:t>
      </w:r>
    </w:p>
    <w:p>
      <w:pPr>
        <w:spacing w:after="160"/>
        <w:ind w:left="720" w:hanging="720"/>
      </w:pPr>
      <w:r>
        <w:rPr>
          <w:rFonts w:ascii="Times New Roman" w:cs="Times New Roman" w:eastAsia="Times New Roman" w:hAnsi="Times New Roman"/>
          <w:sz w:val="22"/>
          <w:szCs w:val="22"/>
        </w:rPr>
        <w:t xml:space="preserve">Jakka, A. and Vakula Rani, J. (2023) ‘An explainable AI approach for diabetes prediction’, in Innovations in Computer Science and Engineering, Lecture Notes in Networks and Systems, vol. 565. Singapore: Springer, pp. 15–25. doi:10.1007/978-981-19-7455-7_2.</w:t>
      </w:r>
    </w:p>
    <w:p>
      <w:pPr>
        <w:spacing w:after="160"/>
        <w:ind w:left="720" w:hanging="720"/>
      </w:pPr>
      <w:r>
        <w:rPr>
          <w:rFonts w:ascii="Times New Roman" w:cs="Times New Roman" w:eastAsia="Times New Roman" w:hAnsi="Times New Roman"/>
          <w:sz w:val="22"/>
          <w:szCs w:val="22"/>
        </w:rPr>
        <w:t xml:space="preserve">Kavakiotis, I., Tsave, O., Salifoglou, A., Maglaveras, N., Vlahavas, I. and Chouvarda, I. (2017) ‘Machine learning and data mining methods in diabetes research’, Computational and Structural Biotechnology Journal, 15, pp. 104–116. doi:10.1016/j.csbj.2016.12.005.</w:t>
      </w:r>
    </w:p>
    <w:p>
      <w:pPr>
        <w:spacing w:after="160"/>
        <w:ind w:left="720" w:hanging="720"/>
      </w:pPr>
      <w:r>
        <w:rPr>
          <w:rFonts w:ascii="Times New Roman" w:cs="Times New Roman" w:eastAsia="Times New Roman" w:hAnsi="Times New Roman"/>
          <w:sz w:val="22"/>
          <w:szCs w:val="22"/>
        </w:rPr>
        <w:t xml:space="preserve">Ke, G. et al. (2017) ‘LightGBM: A highly efficient gradient boosting decision tree’, in Advances in Neural Information Processing Systems, 30. Red Hook: Curran Associates.</w:t>
      </w:r>
    </w:p>
    <w:p>
      <w:pPr>
        <w:spacing w:after="160"/>
        <w:ind w:left="720" w:hanging="720"/>
      </w:pPr>
      <w:r>
        <w:rPr>
          <w:rFonts w:ascii="Times New Roman" w:cs="Times New Roman" w:eastAsia="Times New Roman" w:hAnsi="Times New Roman"/>
          <w:sz w:val="22"/>
          <w:szCs w:val="22"/>
        </w:rPr>
        <w:t xml:space="preserve">Khan, M. et al. (2024) ‘Leveraging SHAP for feature selection in ensemble models for diabetes prediction’, Diagnostics, 14(24), p. 2822. doi:10.3390/diagnostics14242822.</w:t>
      </w:r>
    </w:p>
    <w:p>
      <w:pPr>
        <w:spacing w:after="160"/>
        <w:ind w:left="720" w:hanging="720"/>
      </w:pPr>
      <w:r>
        <w:rPr>
          <w:rFonts w:ascii="Times New Roman" w:cs="Times New Roman" w:eastAsia="Times New Roman" w:hAnsi="Times New Roman"/>
          <w:sz w:val="22"/>
          <w:szCs w:val="22"/>
        </w:rPr>
        <w:t xml:space="preserve">Rosenbacke, R., Melhus, Å., McKee, M. and Stuckler, D. (2024) ‘How explainable artificial intelligence can increase or decrease clinicians’ trust in AI applications in health care: systematic review’, JMIR AI, 3, e53207. doi:10.2196/53207.</w:t>
      </w:r>
    </w:p>
    <w:p>
      <w:pPr>
        <w:spacing w:after="160"/>
        <w:ind w:left="720" w:hanging="720"/>
      </w:pPr>
      <w:r>
        <w:rPr>
          <w:rFonts w:ascii="Times New Roman" w:cs="Times New Roman" w:eastAsia="Times New Roman" w:hAnsi="Times New Roman"/>
          <w:sz w:val="22"/>
          <w:szCs w:val="22"/>
        </w:rPr>
        <w:t xml:space="preserve">Liu, K., Li, L., Ma, Y., Jiang, J., Liu, Z., Ye, Z., Liu, S., Pu, C., Chen, C. and Wan, Y. (2023) ‘Machine Learning Models for Blood Glucose Level Prediction in Patients With Diabetes Mellitus: Systematic Review and Network Meta-Analysis’, JMIR Medical Informatics, 11, e47833. doi:10.2196/47833.</w:t>
      </w:r>
    </w:p>
    <w:p>
      <w:pPr>
        <w:spacing w:after="160"/>
        <w:ind w:left="720" w:hanging="720"/>
      </w:pPr>
      <w:r>
        <w:rPr>
          <w:rFonts w:ascii="Times New Roman" w:cs="Times New Roman" w:eastAsia="Times New Roman" w:hAnsi="Times New Roman"/>
          <w:sz w:val="22"/>
          <w:szCs w:val="22"/>
        </w:rPr>
        <w:t xml:space="preserve">Lundberg, S.M. and Lee, S.-I. (2017) ‘A unified approach to interpreting model predictions’, in Advances in Neural Information Processing Systems, 30. Red Hook: Curran Associates.</w:t>
      </w:r>
    </w:p>
    <w:p>
      <w:pPr>
        <w:spacing w:after="160"/>
        <w:ind w:left="720" w:hanging="720"/>
      </w:pPr>
      <w:r>
        <w:rPr>
          <w:rFonts w:ascii="Times New Roman" w:cs="Times New Roman" w:eastAsia="Times New Roman" w:hAnsi="Times New Roman"/>
          <w:sz w:val="22"/>
          <w:szCs w:val="22"/>
        </w:rPr>
        <w:t xml:space="preserve">NHS England (2019) The NHS Long Term Plan. London: NHS England. Available at: https://www.longtermplan.nhs.uk (Accessed: 15 February 2025).</w:t>
      </w:r>
    </w:p>
    <w:p>
      <w:pPr>
        <w:spacing w:after="160"/>
        <w:ind w:left="720" w:hanging="720"/>
      </w:pPr>
      <w:r>
        <w:rPr>
          <w:rFonts w:ascii="Times New Roman" w:cs="Times New Roman" w:eastAsia="Times New Roman" w:hAnsi="Times New Roman"/>
          <w:sz w:val="22"/>
          <w:szCs w:val="22"/>
        </w:rPr>
        <w:t xml:space="preserve">Noor, K. et al. (2025) ‘Interpretable Machine Learning Framework for Diabetes Prediction: Integrating SMOTE Balancing with SHAP Explainability for Clinical Decision Support’, Healthcare, 13(20), p. 2588. doi:10.3390/healthcare13202588.</w:t>
      </w:r>
    </w:p>
    <w:p>
      <w:pPr>
        <w:spacing w:after="160"/>
        <w:ind w:left="720" w:hanging="720"/>
      </w:pPr>
      <w:r>
        <w:rPr>
          <w:rFonts w:ascii="Times New Roman" w:cs="Times New Roman" w:eastAsia="Times New Roman" w:hAnsi="Times New Roman"/>
          <w:sz w:val="22"/>
          <w:szCs w:val="22"/>
        </w:rPr>
        <w:t xml:space="preserve">Noor, W. et al. (2025) ‘Unveiling Explainable AI in Healthcare: Current Trends, Challenges, and Future Directions’, WIREs Data Mining and Knowledge Discovery. doi:10.1002/widm.70018.</w:t>
      </w:r>
    </w:p>
    <w:p>
      <w:pPr>
        <w:spacing w:after="160"/>
        <w:ind w:left="720" w:hanging="720"/>
      </w:pPr>
      <w:r>
        <w:rPr>
          <w:rFonts w:ascii="Times New Roman" w:cs="Times New Roman" w:eastAsia="Times New Roman" w:hAnsi="Times New Roman"/>
          <w:sz w:val="22"/>
          <w:szCs w:val="22"/>
        </w:rPr>
        <w:t xml:space="preserve">Rastogi, A. and Bansal, M. (2023) ‘Diabetes prediction using data mining techniques and four classifiers’, Journal of Healthcare Engineering, 2023, pp. 1–12.</w:t>
      </w:r>
    </w:p>
    <w:p>
      <w:pPr>
        <w:spacing w:after="160"/>
        <w:ind w:left="720" w:hanging="720"/>
      </w:pPr>
      <w:r>
        <w:rPr>
          <w:rFonts w:ascii="Times New Roman" w:cs="Times New Roman" w:eastAsia="Times New Roman" w:hAnsi="Times New Roman"/>
          <w:sz w:val="22"/>
          <w:szCs w:val="22"/>
        </w:rPr>
        <w:t xml:space="preserve">Saleem, A. et al. (2024) ‘LightGBM and CatBoost for diabetes prediction in clinical tabular datasets’, Scientific Reports, 14, pp. 1–18.</w:t>
      </w:r>
    </w:p>
    <w:p>
      <w:pPr>
        <w:spacing w:after="160"/>
        <w:ind w:left="720" w:hanging="720"/>
      </w:pPr>
      <w:r>
        <w:rPr>
          <w:rFonts w:ascii="Times New Roman" w:cs="Times New Roman" w:eastAsia="Times New Roman" w:hAnsi="Times New Roman"/>
          <w:sz w:val="22"/>
          <w:szCs w:val="22"/>
        </w:rPr>
        <w:t xml:space="preserve">Sampath, P., Elangovan, G., Ravichandran, K., Shanmuganathan, V., Pasupathi, S., Chakrabarti, T., Chakrabarti, P. and Margala, M. (2024) ‘Robust diabetic prediction using ensemble machine learning models with synthetic minority over-sampling technique’, Scientific Reports, 14, p. 28984. doi:10.1038/s41598-024-78519-8.</w:t>
      </w:r>
    </w:p>
    <w:p>
      <w:pPr>
        <w:spacing w:after="160"/>
        <w:ind w:left="720" w:hanging="720"/>
      </w:pPr>
      <w:r>
        <w:rPr>
          <w:rFonts w:ascii="Times New Roman" w:cs="Times New Roman" w:eastAsia="Times New Roman" w:hAnsi="Times New Roman"/>
          <w:sz w:val="22"/>
          <w:szCs w:val="22"/>
        </w:rPr>
        <w:t xml:space="preserve">Schulz, L.O., Bennett, P.H., Ravussin, E., Kidd, J.R., Kidd, K.K., Esparza, J. and Valencia, M.E. (2006) ‘Effects of traditional and western environments on prevalence of type 2 diabetes in Pima Indians in Mexico and the US’, Diabetes Care, 29(8), pp. 1866–1871. doi:10.2337/dc06-0138.</w:t>
      </w:r>
    </w:p>
    <w:p>
      <w:pPr>
        <w:spacing w:after="160"/>
        <w:ind w:left="720" w:hanging="720"/>
      </w:pPr>
      <w:r>
        <w:rPr>
          <w:rFonts w:ascii="Times New Roman" w:cs="Times New Roman" w:eastAsia="Times New Roman" w:hAnsi="Times New Roman"/>
          <w:sz w:val="22"/>
          <w:szCs w:val="22"/>
        </w:rPr>
        <w:t xml:space="preserve">Shuvo, M.H., Ahmed, N., Islam, H., Alaboud, K., Cheng, J., Mosa, A.S.M. and Islam, S.K. (2023) ‘Machine Learning Embedded Smartphone Application for Early-Stage Diabetes Risk Assessment’, Diagnostics, 13(13), p. 2383. doi:10.3390/diagnostics13132383.</w:t>
      </w:r>
    </w:p>
    <w:p>
      <w:pPr>
        <w:spacing w:after="160"/>
        <w:ind w:left="720" w:hanging="720"/>
      </w:pPr>
      <w:r>
        <w:rPr>
          <w:rFonts w:ascii="Times New Roman" w:cs="Times New Roman" w:eastAsia="Times New Roman" w:hAnsi="Times New Roman"/>
          <w:sz w:val="22"/>
          <w:szCs w:val="22"/>
        </w:rPr>
        <w:t xml:space="preserve">World Health Organization (WHO) (2006) Definition and Diagnosis of Diabetes Mellitus and Intermediate Hyperglycaemia. Geneva: WHO Press.</w:t>
      </w:r>
    </w:p>
    <w:p>
      <w:pPr>
        <w:spacing w:after="160"/>
        <w:ind w:left="720" w:hanging="720"/>
      </w:pPr>
      <w:r>
        <w:rPr>
          <w:rFonts w:ascii="Times New Roman" w:cs="Times New Roman" w:eastAsia="Times New Roman" w:hAnsi="Times New Roman"/>
          <w:sz w:val="22"/>
          <w:szCs w:val="22"/>
        </w:rPr>
        <w:t xml:space="preserve">Zhang, Z. (2025) ‘Comparison of Machine Learning Models for Predicting Type 2 Diabetes Risk Using the Pima Indians Diabetes Dataset’, Journal of Innovative Medical Research, 4, pp. 65–71.</w:t>
      </w:r>
    </w:p>
    <w:p>
      <w:pPr>
        <w:spacing w:after="160"/>
        <w:ind w:left="720" w:hanging="720"/>
      </w:pPr>
      <w:r>
        <w:rPr>
          <w:rFonts w:ascii="Times New Roman" w:cs="Times New Roman" w:eastAsia="Times New Roman" w:hAnsi="Times New Roman"/>
          <w:sz w:val="22"/>
          <w:szCs w:val="22"/>
        </w:rPr>
        <w:t xml:space="preserve">Zou, Q., Qu, K., Luo, Y., Yin, D., Ju, Y. and Tang, H. (2018) ‘Predicting diabetes mellitus with machine learning techniques’, Frontiers in Genetics, 9, p. 515. doi:10.3389/fgene.2018.00515.</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Diabetes Risk Predictor Using Machine Learning and Clinical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2026-03-09T11:17:36.949Z</dcterms:created>
  <dcterms:modified xsi:type="dcterms:W3CDTF">2026-03-09T11:17:36.950Z</dcterms:modified>
</cp:coreProperties>
</file>

<file path=docProps/custom.xml><?xml version="1.0" encoding="utf-8"?>
<Properties xmlns="http://schemas.openxmlformats.org/officeDocument/2006/custom-properties" xmlns:vt="http://schemas.openxmlformats.org/officeDocument/2006/docPropsVTypes"/>
</file>