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66653b69f5d93967b4691a5faa6bbb9aa4633e"/>
    <w:p>
      <w:pPr>
        <w:pStyle w:val="Heading1"/>
      </w:pPr>
      <w:r>
        <w:t xml:space="preserve">Stakeholder Value Proposition: AI-Powered Payment Authorization System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value proposition of the AI-powered payment authorization system with CallSign trust levels from three critical stakeholder perspectives: Banks, OpenAI, and End Users.</w:t>
      </w:r>
    </w:p>
    <w:p>
      <w:r>
        <w:pict>
          <v:rect style="width:0;height:1.5pt" o:hralign="center" o:hrstd="t" o:hr="t"/>
        </w:pict>
      </w:r>
    </w:p>
    <w:bookmarkEnd w:id="9"/>
    <w:bookmarkStart w:id="15" w:name="banks-perspective"/>
    <w:p>
      <w:pPr>
        <w:pStyle w:val="Heading2"/>
      </w:pPr>
      <w:r>
        <w:t xml:space="preserve">🏦 Bank’s Perspective</w:t>
      </w:r>
    </w:p>
    <w:bookmarkStart w:id="13" w:name="primary-value-drivers"/>
    <w:p>
      <w:pPr>
        <w:pStyle w:val="Heading3"/>
      </w:pPr>
      <w:r>
        <w:rPr>
          <w:b/>
          <w:bCs/>
        </w:rPr>
        <w:t xml:space="preserve">Primary Value Drivers</w:t>
      </w:r>
    </w:p>
    <w:bookmarkStart w:id="10" w:name="risk-mitigation-fraud-prevention"/>
    <w:p>
      <w:pPr>
        <w:pStyle w:val="Heading4"/>
      </w:pPr>
      <w:r>
        <w:t xml:space="preserve">Risk Mitigation &amp; Fraud Prevention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Multi-layered Trust Framework</w:t>
      </w:r>
      <w:r>
        <w:t xml:space="preserve">: L2 (Identity), L3 (Behavioral), L4 (Regulatory) provide comprehensive risk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Risk Scoring</w:t>
      </w:r>
      <w:r>
        <w:t xml:space="preserve">: Dynamic evaluation of device reputation, IP/ASN analysis, velocity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Compliance</w:t>
      </w:r>
      <w:r>
        <w:t xml:space="preserve">: Built-in compliance with PSD2, Open Banking standards, and AML requirements</w:t>
      </w:r>
    </w:p>
    <w:bookmarkEnd w:id="10"/>
    <w:bookmarkStart w:id="11" w:name="operational-efficiency"/>
    <w:p>
      <w:pPr>
        <w:pStyle w:val="Heading4"/>
      </w:pPr>
      <w:r>
        <w:t xml:space="preserve">Operational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Reduced Manual Reviews</w:t>
      </w:r>
      <w:r>
        <w:t xml:space="preserve">: Automated risk assessment reduces human intervention by 70-80%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 False Positives</w:t>
      </w:r>
      <w:r>
        <w:t xml:space="preserve">: Behavioral trust patterns reduce legitimate transaction blocks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Streamlined Integration</w:t>
      </w:r>
      <w:r>
        <w:t xml:space="preserve">: Standard OAuth2/OpenID Connect with minimal API changes</w:t>
      </w:r>
    </w:p>
    <w:bookmarkEnd w:id="11"/>
    <w:bookmarkStart w:id="12" w:name="revenue-protection"/>
    <w:p>
      <w:pPr>
        <w:pStyle w:val="Heading4"/>
      </w:pPr>
      <w:r>
        <w:t xml:space="preserve">Revenue Protection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Fraud Loss Reduction</w:t>
      </w:r>
      <w:r>
        <w:t xml:space="preserve">: Multi-factor authentication and behavioral analysis reduce fraud by 60-85%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Retention</w:t>
      </w:r>
      <w:r>
        <w:t xml:space="preserve">: Seamless UX reduces abandonment rates during payment 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Cost Savings</w:t>
      </w:r>
      <w:r>
        <w:t xml:space="preserve">: Automated regulatory reporting and audit trails</w:t>
      </w:r>
    </w:p>
    <w:bookmarkEnd w:id="12"/>
    <w:bookmarkEnd w:id="13"/>
    <w:bookmarkStart w:id="14" w:name="technical-benefits"/>
    <w:p>
      <w:pPr>
        <w:pStyle w:val="Heading3"/>
      </w:pPr>
      <w:r>
        <w:rPr>
          <w:b/>
          <w:bCs/>
        </w:rPr>
        <w:t xml:space="preserve">Technical Benefits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Sender-Constrained Tokens</w:t>
      </w:r>
      <w:r>
        <w:t xml:space="preserve">: DPoP/mTLS binding prevents token theft and replay attacks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Short-lived Tokens</w:t>
      </w:r>
      <w:r>
        <w:t xml:space="preserve">: 2-5 minute expiration minimizes exposure window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Introspection Capability</w:t>
      </w:r>
      <w:r>
        <w:t xml:space="preserve">: Real-time token validation and claims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Trail</w:t>
      </w:r>
      <w:r>
        <w:t xml:space="preserve">: Complete transaction telemetry for regulatory reporting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openais-perspective"/>
    <w:p>
      <w:pPr>
        <w:pStyle w:val="Heading2"/>
      </w:pPr>
      <w:r>
        <w:t xml:space="preserve">🤖 OpenAI’s Perspective</w:t>
      </w:r>
    </w:p>
    <w:bookmarkStart w:id="18" w:name="strategic-value"/>
    <w:p>
      <w:pPr>
        <w:pStyle w:val="Heading3"/>
      </w:pPr>
      <w:r>
        <w:rPr>
          <w:b/>
          <w:bCs/>
        </w:rPr>
        <w:t xml:space="preserve">Strategic Value</w:t>
      </w:r>
    </w:p>
    <w:bookmarkStart w:id="16" w:name="market-expansion"/>
    <w:p>
      <w:pPr>
        <w:pStyle w:val="Heading4"/>
      </w:pPr>
      <w:r>
        <w:t xml:space="preserve">Market Expansion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Services Entry</w:t>
      </w:r>
      <w:r>
        <w:t xml:space="preserve">: Direct integration into high-value, regulated payment 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Enterprise AI Adoption</w:t>
      </w:r>
      <w:r>
        <w:t xml:space="preserve">: Demonstrates AI capability in mission-critical financial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B2B Revenue Growth</w:t>
      </w:r>
      <w:r>
        <w:t xml:space="preserve">: Premium API usage for financial institutions</w:t>
      </w:r>
    </w:p>
    <w:bookmarkEnd w:id="16"/>
    <w:bookmarkStart w:id="17" w:name="technology-advancement"/>
    <w:p>
      <w:pPr>
        <w:pStyle w:val="Heading4"/>
      </w:pPr>
      <w:r>
        <w:t xml:space="preserve">Technology Advancement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Real-world AI Training</w:t>
      </w:r>
      <w:r>
        <w:t xml:space="preserve">: Payment behavior data improves fraud detection models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Case Learning</w:t>
      </w:r>
      <w:r>
        <w:t xml:space="preserve">: Complex financial scenarios enhance AI decision-making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 AI</w:t>
      </w:r>
      <w:r>
        <w:t xml:space="preserve">: Experience with compliance-driven AI implementations</w:t>
      </w:r>
    </w:p>
    <w:bookmarkEnd w:id="17"/>
    <w:bookmarkEnd w:id="18"/>
    <w:bookmarkStart w:id="20" w:name="business-benefits"/>
    <w:p>
      <w:pPr>
        <w:pStyle w:val="Heading3"/>
      </w:pPr>
      <w:r>
        <w:rPr>
          <w:b/>
          <w:bCs/>
        </w:rPr>
        <w:t xml:space="preserve">Business Benefits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Premium API Pricing</w:t>
      </w:r>
      <w:r>
        <w:t xml:space="preserve">: Financial services command 3-5x higher API rates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Long-term Contracts</w:t>
      </w:r>
      <w:r>
        <w:t xml:space="preserve">: Banks prefer multi-year agreements for critical 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 Customers</w:t>
      </w:r>
      <w:r>
        <w:t xml:space="preserve">: Major bank implementations drive additional sales</w:t>
      </w:r>
    </w:p>
    <w:bookmarkStart w:id="19" w:name="innovation-opportunities"/>
    <w:p>
      <w:pPr>
        <w:pStyle w:val="Heading4"/>
      </w:pPr>
      <w:r>
        <w:t xml:space="preserve">Innovation Opportunities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Behavioral AI</w:t>
      </w:r>
      <w:r>
        <w:t xml:space="preserve">: Advanced pattern recognition for fraud detection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Regulatory AI</w:t>
      </w:r>
      <w:r>
        <w:t xml:space="preserve">: Automated compliance monitoring and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Modeling</w:t>
      </w:r>
      <w:r>
        <w:t xml:space="preserve">: Sophisticated financial risk assessment algorithms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users-perspective"/>
    <w:p>
      <w:pPr>
        <w:pStyle w:val="Heading2"/>
      </w:pPr>
      <w:r>
        <w:t xml:space="preserve">👤 User’s Perspective</w:t>
      </w:r>
    </w:p>
    <w:bookmarkStart w:id="24" w:name="enhanced-experience"/>
    <w:p>
      <w:pPr>
        <w:pStyle w:val="Heading3"/>
      </w:pPr>
      <w:r>
        <w:rPr>
          <w:b/>
          <w:bCs/>
        </w:rPr>
        <w:t xml:space="preserve">Enhanced Experience</w:t>
      </w:r>
    </w:p>
    <w:bookmarkStart w:id="22" w:name="security-trust"/>
    <w:p>
      <w:pPr>
        <w:pStyle w:val="Heading4"/>
      </w:pPr>
      <w:r>
        <w:t xml:space="preserve">Security &amp; Trust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Multi-factor Protection</w:t>
      </w:r>
      <w:r>
        <w:t xml:space="preserve">: WebAuthn/FIDO2 provides strong authentication without complexity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Transparent Security</w:t>
      </w:r>
      <w:r>
        <w:t xml:space="preserve">: Clear indication of protection levels builds confidence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Fraud Protection</w:t>
      </w:r>
      <w:r>
        <w:t xml:space="preserve">: Advanced AI reduces risk of unauthorized transactions</w:t>
      </w:r>
    </w:p>
    <w:bookmarkEnd w:id="22"/>
    <w:bookmarkStart w:id="23" w:name="convenience-speed"/>
    <w:p>
      <w:pPr>
        <w:pStyle w:val="Heading4"/>
      </w:pPr>
      <w:r>
        <w:t xml:space="preserve">Convenience &amp; Speed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Seamless Flow</w:t>
      </w:r>
      <w:r>
        <w:t xml:space="preserve">: Single authentication covers multiple payment scenarios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Reduced Friction</w:t>
      </w:r>
      <w:r>
        <w:t xml:space="preserve">: Smart risk assessment minimizes unnecessary challenges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Optimized</w:t>
      </w:r>
      <w:r>
        <w:t xml:space="preserve">: Push notifications and biometric authentication</w:t>
      </w:r>
    </w:p>
    <w:bookmarkEnd w:id="23"/>
    <w:bookmarkEnd w:id="24"/>
    <w:bookmarkStart w:id="26" w:name="user-benefits"/>
    <w:p>
      <w:pPr>
        <w:pStyle w:val="Heading3"/>
      </w:pPr>
      <w:r>
        <w:rPr>
          <w:b/>
          <w:bCs/>
        </w:rPr>
        <w:t xml:space="preserve">User Benefits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Peace of Mind</w:t>
      </w:r>
      <w:r>
        <w:t xml:space="preserve">: Advanced fraud detection protects financial assets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 Savings</w:t>
      </w:r>
      <w:r>
        <w:t xml:space="preserve">: Streamlined authentication reduces payment completion time by 40-60%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Universal Access</w:t>
      </w:r>
      <w:r>
        <w:t xml:space="preserve">: Works across multiple banks and payment providers</w:t>
      </w:r>
    </w:p>
    <w:bookmarkStart w:id="25" w:name="privacy-control"/>
    <w:p>
      <w:pPr>
        <w:pStyle w:val="Heading4"/>
      </w:pPr>
      <w:r>
        <w:t xml:space="preserve">Privacy &amp; Control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 Management</w:t>
      </w:r>
      <w:r>
        <w:t xml:space="preserve">: Clear authorization for specific payment amounts and merchants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Minimization</w:t>
      </w:r>
      <w:r>
        <w:t xml:space="preserve">: Only necessary data shared with payment providers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Capability</w:t>
      </w:r>
      <w:r>
        <w:t xml:space="preserve">: Complete transaction history and approval records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quantified-value-metrics"/>
    <w:p>
      <w:pPr>
        <w:pStyle w:val="Heading2"/>
      </w:pPr>
      <w:r>
        <w:t xml:space="preserve">📊 Quantified Value Metrics</w:t>
      </w:r>
    </w:p>
    <w:bookmarkStart w:id="28" w:name="bank-roi"/>
    <w:p>
      <w:pPr>
        <w:pStyle w:val="Heading3"/>
      </w:pPr>
      <w:r>
        <w:t xml:space="preserve">Bank 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Annual Value*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Reduction</w:t>
            </w:r>
          </w:p>
        </w:tc>
        <w:tc>
          <w:tcPr/>
          <w:p>
            <w:pPr>
              <w:pStyle w:val="Compact"/>
            </w:pPr>
            <w:r>
              <w:t xml:space="preserve">60-85%</w:t>
            </w:r>
          </w:p>
        </w:tc>
        <w:tc>
          <w:tcPr/>
          <w:p>
            <w:pPr>
              <w:pStyle w:val="Compact"/>
            </w:pPr>
            <w:r>
              <w:t xml:space="preserve">$2-5M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Reduction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$500K-1M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Cost Savings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$300K-800K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Retention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$1-3M</w:t>
            </w:r>
          </w:p>
        </w:tc>
      </w:tr>
    </w:tbl>
    <w:bookmarkEnd w:id="28"/>
    <w:bookmarkStart w:id="29" w:name="openai-revenue-opportunity"/>
    <w:p>
      <w:pPr>
        <w:pStyle w:val="Heading3"/>
      </w:pPr>
      <w:r>
        <w:t xml:space="preserve">OpenAI Revenue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  <w:tc>
          <w:tcPr/>
          <w:p>
            <w:pPr>
              <w:pStyle w:val="Compact"/>
            </w:pPr>
            <w:r>
              <w:t xml:space="preserve">Growth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API Usage</w:t>
            </w:r>
          </w:p>
        </w:tc>
        <w:tc>
          <w:tcPr/>
          <w:p>
            <w:pPr>
              <w:pStyle w:val="Compact"/>
            </w:pPr>
            <w:r>
              <w:t xml:space="preserve">$10-50M annually</w:t>
            </w:r>
          </w:p>
        </w:tc>
        <w:tc>
          <w:tcPr/>
          <w:p>
            <w:pPr>
              <w:pStyle w:val="Compact"/>
            </w:pPr>
            <w:r>
              <w:t xml:space="preserve">200-400%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Contracts</w:t>
            </w:r>
          </w:p>
        </w:tc>
        <w:tc>
          <w:tcPr/>
          <w:p>
            <w:pPr>
              <w:pStyle w:val="Compact"/>
            </w:pPr>
            <w:r>
              <w:t xml:space="preserve">$5-25M per bank</w:t>
            </w:r>
          </w:p>
        </w:tc>
        <w:tc>
          <w:tcPr/>
          <w:p>
            <w:pPr>
              <w:pStyle w:val="Compact"/>
            </w:pPr>
            <w:r>
              <w:t xml:space="preserve">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Licensing</w:t>
            </w:r>
          </w:p>
        </w:tc>
        <w:tc>
          <w:tcPr/>
          <w:p>
            <w:pPr>
              <w:pStyle w:val="Compact"/>
            </w:pPr>
            <w:r>
              <w:t xml:space="preserve">$1-5M per implementation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29"/>
    <w:bookmarkStart w:id="30" w:name="user-experience-gains"/>
    <w:p>
      <w:pPr>
        <w:pStyle w:val="Heading3"/>
      </w:pPr>
      <w:r>
        <w:t xml:space="preserve">User Experience Gains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Completion Time</w:t>
            </w:r>
          </w:p>
        </w:tc>
        <w:tc>
          <w:tcPr/>
          <w:p>
            <w:pPr>
              <w:pStyle w:val="Compact"/>
            </w:pPr>
            <w:r>
              <w:t xml:space="preserve">40-60%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Failures</w:t>
            </w:r>
          </w:p>
        </w:tc>
        <w:tc>
          <w:tcPr/>
          <w:p>
            <w:pPr>
              <w:pStyle w:val="Compact"/>
            </w:pPr>
            <w:r>
              <w:t xml:space="preserve">80%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Incidents</w:t>
            </w:r>
          </w:p>
        </w:tc>
        <w:tc>
          <w:tcPr/>
          <w:p>
            <w:pPr>
              <w:pStyle w:val="Compact"/>
            </w:pPr>
            <w:r>
              <w:t xml:space="preserve">90%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25-40% increase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competitive-advantages"/>
    <w:p>
      <w:pPr>
        <w:pStyle w:val="Heading2"/>
      </w:pPr>
      <w:r>
        <w:t xml:space="preserve">🎯 Competitive Advantages</w:t>
      </w:r>
    </w:p>
    <w:bookmarkStart w:id="32" w:name="for-banks"/>
    <w:p>
      <w:pPr>
        <w:pStyle w:val="Heading3"/>
      </w:pPr>
      <w:r>
        <w:rPr>
          <w:b/>
          <w:bCs/>
        </w:rPr>
        <w:t xml:space="preserve">For Banks</w:t>
      </w:r>
    </w:p>
    <w:p>
      <w:pPr>
        <w:pStyle w:val="Compact"/>
        <w:numPr>
          <w:ilvl w:val="0"/>
          <w:numId w:val="1013"/>
        </w:numPr>
      </w:pPr>
      <w:r>
        <w:t xml:space="preserve">First-mover advantage in AI-powered payment security</w:t>
      </w:r>
    </w:p>
    <w:p>
      <w:pPr>
        <w:pStyle w:val="Compact"/>
        <w:numPr>
          <w:ilvl w:val="0"/>
          <w:numId w:val="1013"/>
        </w:numPr>
      </w:pPr>
      <w:r>
        <w:t xml:space="preserve">Differentiated customer experience</w:t>
      </w:r>
    </w:p>
    <w:p>
      <w:pPr>
        <w:pStyle w:val="Compact"/>
        <w:numPr>
          <w:ilvl w:val="0"/>
          <w:numId w:val="1013"/>
        </w:numPr>
      </w:pPr>
      <w:r>
        <w:t xml:space="preserve">Regulatory compliance leadership</w:t>
      </w:r>
    </w:p>
    <w:p>
      <w:pPr>
        <w:pStyle w:val="Compact"/>
        <w:numPr>
          <w:ilvl w:val="0"/>
          <w:numId w:val="1013"/>
        </w:numPr>
      </w:pPr>
      <w:r>
        <w:t xml:space="preserve">Reduced operational risk</w:t>
      </w:r>
    </w:p>
    <w:bookmarkEnd w:id="32"/>
    <w:bookmarkStart w:id="33" w:name="for-openai"/>
    <w:p>
      <w:pPr>
        <w:pStyle w:val="Heading3"/>
      </w:pPr>
      <w:r>
        <w:rPr>
          <w:b/>
          <w:bCs/>
        </w:rPr>
        <w:t xml:space="preserve">For OpenAI</w:t>
      </w:r>
    </w:p>
    <w:p>
      <w:pPr>
        <w:pStyle w:val="Compact"/>
        <w:numPr>
          <w:ilvl w:val="0"/>
          <w:numId w:val="1014"/>
        </w:numPr>
      </w:pPr>
      <w:r>
        <w:t xml:space="preserve">Exclusive financial services AI platform</w:t>
      </w:r>
    </w:p>
    <w:p>
      <w:pPr>
        <w:pStyle w:val="Compact"/>
        <w:numPr>
          <w:ilvl w:val="0"/>
          <w:numId w:val="1014"/>
        </w:numPr>
      </w:pPr>
      <w:r>
        <w:t xml:space="preserve">High-value enterprise customer base</w:t>
      </w:r>
    </w:p>
    <w:p>
      <w:pPr>
        <w:pStyle w:val="Compact"/>
        <w:numPr>
          <w:ilvl w:val="0"/>
          <w:numId w:val="1014"/>
        </w:numPr>
      </w:pPr>
      <w:r>
        <w:t xml:space="preserve">Regulatory-compliant AI showcase</w:t>
      </w:r>
    </w:p>
    <w:p>
      <w:pPr>
        <w:pStyle w:val="Compact"/>
        <w:numPr>
          <w:ilvl w:val="0"/>
          <w:numId w:val="1014"/>
        </w:numPr>
      </w:pPr>
      <w:r>
        <w:t xml:space="preserve">Recurring revenue model</w:t>
      </w:r>
    </w:p>
    <w:bookmarkEnd w:id="33"/>
    <w:bookmarkStart w:id="34" w:name="for-users"/>
    <w:p>
      <w:pPr>
        <w:pStyle w:val="Heading3"/>
      </w:pPr>
      <w:r>
        <w:rPr>
          <w:b/>
          <w:bCs/>
        </w:rPr>
        <w:t xml:space="preserve">For Users</w:t>
      </w:r>
    </w:p>
    <w:p>
      <w:pPr>
        <w:pStyle w:val="Compact"/>
        <w:numPr>
          <w:ilvl w:val="0"/>
          <w:numId w:val="1015"/>
        </w:numPr>
      </w:pPr>
      <w:r>
        <w:t xml:space="preserve">Bank-grade security with consumer simplicity</w:t>
      </w:r>
    </w:p>
    <w:p>
      <w:pPr>
        <w:pStyle w:val="Compact"/>
        <w:numPr>
          <w:ilvl w:val="0"/>
          <w:numId w:val="1015"/>
        </w:numPr>
      </w:pPr>
      <w:r>
        <w:t xml:space="preserve">Universal payment protection</w:t>
      </w:r>
    </w:p>
    <w:p>
      <w:pPr>
        <w:pStyle w:val="Compact"/>
        <w:numPr>
          <w:ilvl w:val="0"/>
          <w:numId w:val="1015"/>
        </w:numPr>
      </w:pPr>
      <w:r>
        <w:t xml:space="preserve">Transparent security processes</w:t>
      </w:r>
    </w:p>
    <w:p>
      <w:pPr>
        <w:pStyle w:val="Compact"/>
        <w:numPr>
          <w:ilvl w:val="0"/>
          <w:numId w:val="1015"/>
        </w:numPr>
      </w:pPr>
      <w:r>
        <w:t xml:space="preserve">Enhanced fraud protection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mplementation-roadmap"/>
    <w:p>
      <w:pPr>
        <w:pStyle w:val="Heading2"/>
      </w:pPr>
      <w:r>
        <w:t xml:space="preserve">🚀 Implementation Roadmap</w:t>
      </w:r>
    </w:p>
    <w:bookmarkStart w:id="36" w:name="phase-1-foundation-months-1-3"/>
    <w:p>
      <w:pPr>
        <w:pStyle w:val="Heading3"/>
      </w:pPr>
      <w:r>
        <w:t xml:space="preserve">Phase 1: Foundation (Months 1-3)</w:t>
      </w:r>
    </w:p>
    <w:p>
      <w:pPr>
        <w:pStyle w:val="Compact"/>
        <w:numPr>
          <w:ilvl w:val="0"/>
          <w:numId w:val="1016"/>
        </w:numPr>
      </w:pPr>
      <w:r>
        <w:t xml:space="preserve">Core trust level implementation</w:t>
      </w:r>
    </w:p>
    <w:p>
      <w:pPr>
        <w:pStyle w:val="Compact"/>
        <w:numPr>
          <w:ilvl w:val="0"/>
          <w:numId w:val="1016"/>
        </w:numPr>
      </w:pPr>
      <w:r>
        <w:t xml:space="preserve">Basic risk engine integration</w:t>
      </w:r>
    </w:p>
    <w:p>
      <w:pPr>
        <w:pStyle w:val="Compact"/>
        <w:numPr>
          <w:ilvl w:val="0"/>
          <w:numId w:val="1016"/>
        </w:numPr>
      </w:pPr>
      <w:r>
        <w:t xml:space="preserve">Pilot bank deployment</w:t>
      </w:r>
    </w:p>
    <w:bookmarkEnd w:id="36"/>
    <w:bookmarkStart w:id="37" w:name="phase-2-enhancement-months-4-6"/>
    <w:p>
      <w:pPr>
        <w:pStyle w:val="Heading3"/>
      </w:pPr>
      <w:r>
        <w:t xml:space="preserve">Phase 2: Enhancement (Months 4-6)</w:t>
      </w:r>
    </w:p>
    <w:p>
      <w:pPr>
        <w:pStyle w:val="Compact"/>
        <w:numPr>
          <w:ilvl w:val="0"/>
          <w:numId w:val="1017"/>
        </w:numPr>
      </w:pPr>
      <w:r>
        <w:t xml:space="preserve">Advanced behavioral analytics</w:t>
      </w:r>
    </w:p>
    <w:p>
      <w:pPr>
        <w:pStyle w:val="Compact"/>
        <w:numPr>
          <w:ilvl w:val="0"/>
          <w:numId w:val="1017"/>
        </w:numPr>
      </w:pPr>
      <w:r>
        <w:t xml:space="preserve">Multi-bank interoperability</w:t>
      </w:r>
    </w:p>
    <w:p>
      <w:pPr>
        <w:pStyle w:val="Compact"/>
        <w:numPr>
          <w:ilvl w:val="0"/>
          <w:numId w:val="1017"/>
        </w:numPr>
      </w:pPr>
      <w:r>
        <w:t xml:space="preserve">Mobile app integration</w:t>
      </w:r>
    </w:p>
    <w:bookmarkEnd w:id="37"/>
    <w:bookmarkStart w:id="38" w:name="phase-3-scale-months-7-12"/>
    <w:p>
      <w:pPr>
        <w:pStyle w:val="Heading3"/>
      </w:pPr>
      <w:r>
        <w:t xml:space="preserve">Phase 3: Scale (Months 7-12)</w:t>
      </w:r>
    </w:p>
    <w:p>
      <w:pPr>
        <w:pStyle w:val="Compact"/>
        <w:numPr>
          <w:ilvl w:val="0"/>
          <w:numId w:val="1018"/>
        </w:numPr>
      </w:pPr>
      <w:r>
        <w:t xml:space="preserve">Full regulatory compliance</w:t>
      </w:r>
    </w:p>
    <w:p>
      <w:pPr>
        <w:pStyle w:val="Compact"/>
        <w:numPr>
          <w:ilvl w:val="0"/>
          <w:numId w:val="1018"/>
        </w:numPr>
      </w:pPr>
      <w:r>
        <w:t xml:space="preserve">Advanced AI features</w:t>
      </w:r>
    </w:p>
    <w:p>
      <w:pPr>
        <w:pStyle w:val="Compact"/>
        <w:numPr>
          <w:ilvl w:val="0"/>
          <w:numId w:val="1018"/>
        </w:numPr>
      </w:pPr>
      <w:r>
        <w:t xml:space="preserve">Market expansion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*Values based on mid-size regional bank ($10-50B assets) processing 1M+ transactions monthly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2025-11-28T08:47:45Z</dcterms:created>
  <dcterms:modified xsi:type="dcterms:W3CDTF">2025-11-28T08:47:45Z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