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Project Executable Files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84"/>
        <w:gridCol w:w="5184"/>
      </w:tblGrid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 March 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SWTID-2026-9680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Project Executable Files</w:t>
      </w:r>
    </w:p>
    <w:p>
      <w:pPr>
        <w:pStyle w:val="Normal"/>
        <w:rPr/>
      </w:pPr>
      <w:r>
        <w:rPr/>
        <w:t>This submission documents the executable and deployable project components of PocketSmart AI. The project is designed as a web-based AI recommendation system with a frontend, backend API routes, Gemini AI integration, authentication/session handling, and planner modules.</w:t>
      </w:r>
    </w:p>
    <w:p>
      <w:pPr>
        <w:pStyle w:val="Normal"/>
        <w:rPr/>
      </w:pPr>
      <w:r>
        <w:rPr>
          <w:b/>
          <w:sz w:val="26"/>
        </w:rPr>
        <w:t>Step 1: Submission Checklist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S.No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Item to Submit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Submitted (Yes / No / NA)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Complete source code (all files and folders)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README / Setup Guide (instructions to run the project)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 – not specified in source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requirements.txt / package.json / dependency file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 – not specified in source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Database schema / seed files (if applicable)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 – not specified in source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Environment configuration file (.env.example or similar)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 – .env environment is used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Deployed application URL (if hosted)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 – not specified in source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APK / Executable binary (if applicable for mobile/desktop apps)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 – web application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Dockerfile / Containerization config (if applicable)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 – not specified in source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 files and test results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 – testing and optimization activities are documented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Demo video or walkthrough (if required)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 – not specified in source</w:t>
            </w:r>
          </w:p>
        </w:tc>
      </w:tr>
    </w:tbl>
    <w:p>
      <w:pPr>
        <w:pStyle w:val="Normal"/>
        <w:rPr/>
      </w:pPr>
      <w:r>
        <w:rPr>
          <w:b/>
          <w:sz w:val="26"/>
        </w:rPr>
        <w:t>Step 2: File / Folder Structure</w:t>
      </w:r>
    </w:p>
    <w:p>
      <w:pPr>
        <w:pStyle w:val="Normal"/>
        <w:rPr/>
      </w:pPr>
      <w:r>
        <w:rPr/>
        <w:t>The project source describes the following modular structure and executable components:</w:t>
      </w:r>
    </w:p>
    <w:p>
      <w:pPr>
        <w:pStyle w:val="ListBullet"/>
        <w:numPr>
          <w:ilvl w:val="0"/>
          <w:numId w:val="1"/>
        </w:numPr>
        <w:rPr/>
      </w:pPr>
      <w:r>
        <w:rPr/>
        <w:t>main.py – FastAPI backend entry point and server startup.</w:t>
      </w:r>
    </w:p>
    <w:p>
      <w:pPr>
        <w:pStyle w:val="ListBullet"/>
        <w:numPr>
          <w:ilvl w:val="0"/>
          <w:numId w:val="1"/>
        </w:numPr>
        <w:rPr/>
      </w:pPr>
      <w:r>
        <w:rPr/>
        <w:t>routes/ – API endpoints and routing logic.</w:t>
      </w:r>
    </w:p>
    <w:p>
      <w:pPr>
        <w:pStyle w:val="ListBullet"/>
        <w:numPr>
          <w:ilvl w:val="0"/>
          <w:numId w:val="1"/>
        </w:numPr>
        <w:rPr/>
      </w:pPr>
      <w:r>
        <w:rPr/>
        <w:t>services/ – Recommendation logic and AI calls.</w:t>
      </w:r>
    </w:p>
    <w:p>
      <w:pPr>
        <w:pStyle w:val="ListBullet"/>
        <w:numPr>
          <w:ilvl w:val="0"/>
          <w:numId w:val="1"/>
        </w:numPr>
        <w:rPr/>
      </w:pPr>
      <w:r>
        <w:rPr/>
        <w:t>models/ – Input/output schemas.</w:t>
      </w:r>
    </w:p>
    <w:p>
      <w:pPr>
        <w:pStyle w:val="ListBullet"/>
        <w:numPr>
          <w:ilvl w:val="0"/>
          <w:numId w:val="1"/>
        </w:numPr>
        <w:rPr/>
      </w:pPr>
      <w:r>
        <w:rPr/>
        <w:t>gemini_utils.py – Gemini prompt orchestration, budget formatting, domain segmentation and image analysis.</w:t>
      </w:r>
    </w:p>
    <w:p>
      <w:pPr>
        <w:pStyle w:val="ListBullet"/>
        <w:numPr>
          <w:ilvl w:val="0"/>
          <w:numId w:val="1"/>
        </w:numPr>
        <w:rPr/>
      </w:pPr>
      <w:r>
        <w:rPr/>
        <w:t>templates/ – HTML/Jinja2 frontend templates.</w:t>
      </w:r>
    </w:p>
    <w:p>
      <w:pPr>
        <w:pStyle w:val="ListBullet"/>
        <w:numPr>
          <w:ilvl w:val="0"/>
          <w:numId w:val="1"/>
        </w:numPr>
        <w:rPr/>
      </w:pPr>
      <w:r>
        <w:rPr/>
        <w:t>Static/frontend resources – HTML/CSS/JavaScript used for the interactive interface.</w:t>
      </w:r>
    </w:p>
    <w:p>
      <w:pPr>
        <w:pStyle w:val="ListBullet"/>
        <w:numPr>
          <w:ilvl w:val="0"/>
          <w:numId w:val="1"/>
        </w:numPr>
        <w:rPr/>
      </w:pPr>
      <w:r>
        <w:rPr/>
        <w:t>.env – environment configuration used by the project.</w:t>
      </w:r>
    </w:p>
    <w:p>
      <w:pPr>
        <w:pStyle w:val="Normal"/>
        <w:rPr/>
      </w:pPr>
      <w:r>
        <w:rPr/>
        <w:t>Main planner routes include /generate-home, /generate-party and /generate-jewelry. Authentication/session routes include /register, /login, /logout, /token, /session-info and /session-data. The /history route retrieves previous recommendation queries and results.</w:t>
      </w:r>
    </w:p>
    <w:p>
      <w:pPr>
        <w:pStyle w:val="Normal"/>
        <w:rPr/>
      </w:pPr>
      <w:r>
        <w:rPr>
          <w:b/>
          <w:sz w:val="26"/>
        </w:rPr>
        <w:t>Step 3: Deployment / Access Details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84"/>
        <w:gridCol w:w="5184"/>
      </w:tblGrid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Hosted / Deployed URL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specified in project source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Login Credentials (Demo)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specified in project source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Platform / Hosting Provider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specified in project source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Repository Link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specified in project source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Demo Video Link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specified in project source</w:t>
            </w:r>
          </w:p>
        </w:tc>
      </w:tr>
    </w:tbl>
    <w:p>
      <w:pPr>
        <w:pStyle w:val="Normal"/>
        <w:rPr/>
      </w:pPr>
      <w:r>
        <w:rPr>
          <w:b/>
          <w:sz w:val="26"/>
        </w:rPr>
        <w:t>Step 4: Run Instructions</w:t>
      </w:r>
    </w:p>
    <w:p>
      <w:pPr>
        <w:pStyle w:val="Normal"/>
        <w:rPr/>
      </w:pPr>
      <w:r>
        <w:rPr/>
        <w:t>1. Set up the project environment and required Python dependencies.</w:t>
      </w:r>
    </w:p>
    <w:p>
      <w:pPr>
        <w:pStyle w:val="Normal"/>
        <w:rPr/>
      </w:pPr>
      <w:r>
        <w:rPr/>
        <w:t>2. Configure the environment variables and Gemini API access in the .env configuration.</w:t>
      </w:r>
    </w:p>
    <w:p>
      <w:pPr>
        <w:pStyle w:val="Normal"/>
        <w:rPr/>
      </w:pPr>
      <w:r>
        <w:rPr/>
        <w:t>3. Ensure Gemini 1.5 Flash Pro API connectivity is available for AI recommendations.</w:t>
      </w:r>
    </w:p>
    <w:p>
      <w:pPr>
        <w:pStyle w:val="Normal"/>
        <w:rPr/>
      </w:pPr>
      <w:r>
        <w:rPr/>
        <w:t>4. Start the FastAPI application using the project's main entry point (main.py).</w:t>
      </w:r>
    </w:p>
    <w:p>
      <w:pPr>
        <w:pStyle w:val="Normal"/>
        <w:rPr/>
      </w:pPr>
      <w:r>
        <w:rPr/>
        <w:t>5. The application starts the server using uvicorn when the script is run directly.</w:t>
      </w:r>
    </w:p>
    <w:p>
      <w:pPr>
        <w:pStyle w:val="Normal"/>
        <w:rPr/>
      </w:pPr>
      <w:r>
        <w:rPr/>
        <w:t>6. Open the web interface and register/login to access the personalized planner modules.</w:t>
      </w:r>
    </w:p>
    <w:p>
      <w:pPr>
        <w:pStyle w:val="Normal"/>
        <w:rPr/>
      </w:pPr>
      <w:r>
        <w:rPr/>
        <w:t>7. Select Home, Party or Jewelry Planner, enter the required budget/preferences, and submit the form.</w:t>
      </w:r>
    </w:p>
    <w:p>
      <w:pPr>
        <w:pStyle w:val="Normal"/>
        <w:rPr/>
      </w:pPr>
      <w:r>
        <w:rPr/>
        <w:t>8. Review the AI-generated recommendations and use the History page to review previous queries/results.</w:t>
      </w:r>
    </w:p>
    <w:p>
      <w:pPr>
        <w:pStyle w:val="Normal"/>
        <w:rPr/>
      </w:pPr>
      <w:r>
        <w:rPr>
          <w:b/>
          <w:sz w:val="26"/>
        </w:rPr>
        <w:t>Step 5: Known Issues / Limitations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S.No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Known Issue / Limitation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Workaround / Status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Deployment URL and hosting details are not specified in the project source.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Provide actual deployment details if hosted.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Repository, demo credentials and demo video links are not specified.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Add them during final submission if available.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The project mentions mock API calls or simulated scraping for external platforms.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 configured integrations or valid data sources when deploying.</w:t>
            </w:r>
          </w:p>
        </w:tc>
      </w:tr>
    </w:tbl>
    <w:sectPr>
      <w:type w:val="nextPage"/>
      <w:pgSz w:w="12240" w:h="15840"/>
      <w:pgMar w:left="936" w:right="936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2</Pages>
  <Words>532</Words>
  <Characters>3143</Characters>
  <CharactersWithSpaces>3595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2026-09-30T13:57:40Z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