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</w:pPr>
      <w:r>
        <w:rPr>
          <w:rFonts w:ascii="Calibri" w:hAnsi="Calibri"/>
          <w:b/>
          <w:i w:val="0"/>
          <w:color w:val="A85F08"/>
          <w:sz w:val="18"/>
        </w:rPr>
        <w:t>GOLDEN HOUR</w:t>
      </w:r>
    </w:p>
    <w:p>
      <w:pPr>
        <w:spacing w:before="0" w:after="140"/>
        <w:jc w:val="center"/>
      </w:pPr>
      <w:r>
        <w:rPr>
          <w:rFonts w:ascii="Georgia" w:hAnsi="Georgia"/>
          <w:b w:val="0"/>
          <w:i w:val="0"/>
          <w:color w:val="101416"/>
          <w:sz w:val="68"/>
        </w:rPr>
        <w:t>Product + Visual Design Brief</w:t>
      </w:r>
    </w:p>
    <w:p>
      <w:pPr>
        <w:spacing w:before="0" w:after="240"/>
        <w:jc w:val="center"/>
      </w:pPr>
      <w:r>
        <w:rPr>
          <w:rFonts w:ascii="Calibri" w:hAnsi="Calibri"/>
          <w:b w:val="0"/>
          <w:i w:val="0"/>
          <w:color w:val="686963"/>
          <w:sz w:val="28"/>
        </w:rPr>
        <w:t>Premium public entry point → separate multi-page Cyber Fraud Action Room</w:t>
      </w:r>
    </w:p>
    <w:p>
      <w:pPr>
        <w:spacing w:before="0" w:after="360"/>
        <w:jc w:val="center"/>
      </w:pPr>
      <w:r>
        <w:rPr>
          <w:rFonts w:ascii="Calibri" w:hAnsi="Calibri"/>
          <w:b/>
          <w:i w:val="0"/>
          <w:color w:val="A85F08"/>
          <w:sz w:val="19"/>
        </w:rPr>
        <w:t>Architecture reset • implemented V2 • visual approval and handoff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59" cy="3749039"/>
            <wp:docPr id="1" name="Picture 1" descr="Abstract Golden Hour visual direction with an ivory clock, evidence paper, interrupted path, and graphite containment graphics." title="Abstract Golden Hour visual direction with an ivory clock, evidence paper, in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visual-north-st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59" cy="374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/>
          <w:i/>
          <w:color w:val="686963"/>
          <w:sz w:val="17"/>
        </w:rPr>
        <w:t>North-star material language: warm evidence surface, interrupted transaction path, focused graphite command surface.</w:t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686963"/>
          <w:sz w:val="20"/>
        </w:rPr>
        <w:t>Prepared for Aariz • 25 August 2026</w:t>
      </w:r>
    </w:p>
    <w:p>
      <w:pPr>
        <w:spacing w:before="0" w:after="0"/>
        <w:jc w:val="center"/>
      </w:pPr>
      <w:r>
        <w:rPr>
          <w:rFonts w:ascii="Calibri" w:hAnsi="Calibri"/>
          <w:b w:val="0"/>
          <w:i/>
          <w:color w:val="686963"/>
          <w:sz w:val="17"/>
        </w:rPr>
        <w:t>Independent OpenAI hackathon prototype • no government or bank affiliation</w:t>
      </w:r>
    </w:p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i w:val="0"/>
          <w:color w:val="A85F08"/>
          <w:sz w:val="17"/>
        </w:rPr>
        <w:t>DECISION SUMMARY</w:t>
      </w:r>
    </w:p>
    <w:p>
      <w:pPr>
        <w:pStyle w:val="Heading1"/>
      </w:pPr>
      <w:r>
        <w:t>The product is now an application, not a long landing page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0E6"/>
            <w:vAlign w:val="center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A85F08"/>
                <w:sz w:val="16"/>
              </w:rPr>
              <w:t>ARCHITECTURE DECISION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171A1C"/>
                <w:sz w:val="30"/>
              </w:rPr>
              <w:t>Short public entry. Deep operational workspace.</w:t>
            </w:r>
          </w:p>
          <w:p>
            <w:pPr>
              <w:spacing w:after="0"/>
            </w:pPr>
            <w:r>
              <w:rPr>
                <w:rFonts w:ascii="Calibri" w:hAnsi="Calibri"/>
                <w:color w:val="686963"/>
                <w:sz w:val="21"/>
              </w:rPr>
              <w:t>The landing page communicates the promise and routes the situation. Every response job lives on a fresh page inside the Action Room, so urgent guidance never competes with marketing content.</w:t>
            </w:r>
          </w:p>
        </w:tc>
      </w:tr>
    </w:tbl>
    <w:p>
      <w:pPr>
        <w:spacing w:after="20"/>
      </w:pPr>
    </w:p>
    <w:p>
      <w:pPr>
        <w:pStyle w:val="Heading2"/>
        <w:spacing w:before="0" w:after="120"/>
      </w:pPr>
      <w:r>
        <w:rPr>
          <w:rFonts w:ascii="Calibri" w:hAnsi="Calibri"/>
          <w:b w:val="0"/>
          <w:i w:val="0"/>
          <w:color w:val="171A1C"/>
        </w:rPr>
        <w:t>What changed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The earlier eight-section landing-led concept is superseded as the primary information architecture.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The public page now has four purposeful bands: emergency utility, product hero, situation routing, and a concise product/prototype boundary.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The Action Room is a separate graphite application shell with dedicated pages for triage, urgent actions, money trail, evidence, complaint drafting, recovery tracking, and frozen accounts.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All original working capabilities were ported into the V2 folder and verified end to end.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The original repository root remains unchanged; V2 is isolated under /v2.</w:t>
      </w:r>
    </w:p>
    <w:p>
      <w:pPr>
        <w:pStyle w:val="Heading2"/>
        <w:spacing w:before="0" w:after="120"/>
      </w:pPr>
      <w:r>
        <w:rPr>
          <w:rFonts w:ascii="Calibri" w:hAnsi="Calibri"/>
          <w:b w:val="0"/>
          <w:i w:val="0"/>
          <w:color w:val="171A1C"/>
        </w:rPr>
        <w:t>Approval position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71A1C"/>
          <w:sz w:val="22"/>
        </w:rPr>
        <w:t>This brief documents the implemented direction. The core architecture, visual system, and functionality are working; remaining work is product polish, legal review, and deployment choice rather than rebuilding the concept.</w:t>
      </w:r>
    </w:p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i w:val="0"/>
          <w:color w:val="A85F08"/>
          <w:sz w:val="17"/>
        </w:rPr>
        <w:t>INFORMATION ARCHITECTURE</w:t>
      </w:r>
    </w:p>
    <w:p>
      <w:pPr>
        <w:pStyle w:val="Heading1"/>
      </w:pPr>
      <w:r>
        <w:t>One job per page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71A1C"/>
          <w:sz w:val="22"/>
        </w:rPr>
        <w:t>The route map is deliberately explicit. A hackathon judge can understand the product quickly, while a distressed user can enter a task without scanning a marketing page.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01416"/>
          </w:tcPr>
          <w:p>
            <w:r>
              <w:rPr>
                <w:rFonts w:ascii="Calibri" w:hAnsi="Calibri"/>
                <w:b/>
                <w:color w:val="FFFAF1"/>
                <w:sz w:val="18"/>
              </w:rPr>
              <w:t>Surface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101416"/>
          </w:tcPr>
          <w:p>
            <w:r>
              <w:rPr>
                <w:rFonts w:ascii="Calibri" w:hAnsi="Calibri"/>
                <w:b/>
                <w:color w:val="FFFAF1"/>
                <w:sz w:val="18"/>
              </w:rPr>
              <w:t>Route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101416"/>
          </w:tcPr>
          <w:p>
            <w:r>
              <w:rPr>
                <w:rFonts w:ascii="Calibri" w:hAnsi="Calibri"/>
                <w:b/>
                <w:color w:val="FFFAF1"/>
                <w:sz w:val="18"/>
              </w:rPr>
              <w:t>Single job</w:t>
            </w:r>
          </w:p>
        </w:tc>
      </w:tr>
      <w:tr>
        <w:tc>
          <w:tcPr>
            <w:tcW w:type="dxa" w:w="1800"/>
            <w:shd w:fill="F5F0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Public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Explain the product and route the situation</w:t>
            </w:r>
          </w:p>
        </w:tc>
      </w:tr>
      <w:tr>
        <w:tc>
          <w:tcPr>
            <w:tcW w:type="dxa" w:w="1800"/>
            <w:shd w:fill="EFE7D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Overview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/action-room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Resume or choose a workspace</w:t>
            </w:r>
          </w:p>
        </w:tc>
      </w:tr>
      <w:tr>
        <w:tc>
          <w:tcPr>
            <w:tcW w:type="dxa" w:w="1800"/>
            <w:shd w:fill="EFE7D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Triage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/action-room/intake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Create the local case</w:t>
            </w:r>
          </w:p>
        </w:tc>
      </w:tr>
      <w:tr>
        <w:tc>
          <w:tcPr>
            <w:tcW w:type="dxa" w:w="1800"/>
            <w:shd w:fill="EFE7D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Urgent actions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/action-room/what-to-do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Prioritized first-hour guidance</w:t>
            </w:r>
          </w:p>
        </w:tc>
      </w:tr>
      <w:tr>
        <w:tc>
          <w:tcPr>
            <w:tcW w:type="dxa" w:w="1800"/>
            <w:shd w:fill="EFE7D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Case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/action-room/case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Run and log the original action sequence</w:t>
            </w:r>
          </w:p>
        </w:tc>
      </w:tr>
      <w:tr>
        <w:tc>
          <w:tcPr>
            <w:tcW w:type="dxa" w:w="1800"/>
            <w:shd w:fill="EFE7D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Money trail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/action-room/money-trail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Visual layer model and assumptions</w:t>
            </w:r>
          </w:p>
        </w:tc>
      </w:tr>
      <w:tr>
        <w:tc>
          <w:tcPr>
            <w:tcW w:type="dxa" w:w="1800"/>
            <w:shd w:fill="EFE7D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Evidence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/action-room/evidence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Preservation checklist</w:t>
            </w:r>
          </w:p>
        </w:tc>
      </w:tr>
      <w:tr>
        <w:tc>
          <w:tcPr>
            <w:tcW w:type="dxa" w:w="1800"/>
            <w:shd w:fill="EFE7D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Complaint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/action-room/complaint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OpenAI chronology + bank notice</w:t>
            </w:r>
          </w:p>
        </w:tc>
      </w:tr>
      <w:tr>
        <w:tc>
          <w:tcPr>
            <w:tcW w:type="dxa" w:w="1800"/>
            <w:shd w:fill="EFE7D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Recovery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/action-room/recovery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Local actions and simulated stages</w:t>
            </w:r>
          </w:p>
        </w:tc>
      </w:tr>
      <w:tr>
        <w:tc>
          <w:tcPr>
            <w:tcW w:type="dxa" w:w="1800"/>
            <w:shd w:fill="EFE7D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Frozen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/action-room/frozen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Separate account-restraint workflow</w:t>
            </w:r>
          </w:p>
        </w:tc>
      </w:tr>
      <w:tr>
        <w:tc>
          <w:tcPr>
            <w:tcW w:type="dxa" w:w="1800"/>
            <w:shd w:fill="EBE4D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Methodology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/methodology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Sources, privacy, real vs. simulated</w:t>
            </w:r>
          </w:p>
        </w:tc>
      </w:tr>
    </w:tbl>
    <w:p>
      <w:pPr>
        <w:pStyle w:val="Heading2"/>
        <w:spacing w:before="0" w:after="120"/>
      </w:pPr>
      <w:r>
        <w:rPr>
          <w:rFonts w:ascii="Calibri" w:hAnsi="Calibri"/>
          <w:b w:val="0"/>
          <w:i w:val="0"/>
          <w:color w:val="171A1C"/>
        </w:rPr>
        <w:t>Compatibility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86963"/>
          <w:sz w:val="21"/>
        </w:rPr>
        <w:t>Legacy routes /act, /case, /frozen, and /how-it-works redirect to their V2 equivalents. Existing demo links therefore continue to work.</w:t>
      </w:r>
    </w:p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i w:val="0"/>
          <w:color w:val="A85F08"/>
          <w:sz w:val="17"/>
        </w:rPr>
        <w:t>CAPABILITY PARITY</w:t>
      </w:r>
    </w:p>
    <w:p>
      <w:pPr>
        <w:pStyle w:val="Heading1"/>
      </w:pPr>
      <w:r>
        <w:t>Original functionality, reorganized and preserved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71A1C"/>
          <w:sz w:val="22"/>
        </w:rPr>
        <w:t>The architecture changed; the product capabilities did not disappear. This matrix is the implementation contract used for the end-to-end test.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1550"/>
        <w:gridCol w:w="2200"/>
        <w:gridCol w:w="331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101416"/>
          </w:tcPr>
          <w:p>
            <w:r>
              <w:rPr>
                <w:rFonts w:ascii="Calibri" w:hAnsi="Calibri"/>
                <w:b/>
                <w:color w:val="FFFAF1"/>
                <w:sz w:val="18"/>
              </w:rPr>
              <w:t>Capability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shd w:fill="101416"/>
          </w:tcPr>
          <w:p>
            <w:r>
              <w:rPr>
                <w:rFonts w:ascii="Calibri" w:hAnsi="Calibri"/>
                <w:b/>
                <w:color w:val="FFFAF1"/>
                <w:sz w:val="18"/>
              </w:rPr>
              <w:t>Status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101416"/>
          </w:tcPr>
          <w:p>
            <w:r>
              <w:rPr>
                <w:rFonts w:ascii="Calibri" w:hAnsi="Calibri"/>
                <w:b/>
                <w:color w:val="FFFAF1"/>
                <w:sz w:val="18"/>
              </w:rPr>
              <w:t>V2 route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shd w:fill="101416"/>
          </w:tcPr>
          <w:p>
            <w:r>
              <w:rPr>
                <w:rFonts w:ascii="Calibri" w:hAnsi="Calibri"/>
                <w:b/>
                <w:color w:val="FFFAF1"/>
                <w:sz w:val="18"/>
              </w:rPr>
              <w:t>Notes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Four-question triage</w:t>
            </w:r>
          </w:p>
        </w:tc>
        <w:tc>
          <w:tcPr>
            <w:tcW w:type="dxa" w:w="1550"/>
            <w:vAlign w:val="center"/>
            <w:shd w:fill="E1EEE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Preserved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/action-room/intake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Amount, route, time, authorisation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Urgent action sequence</w:t>
            </w:r>
          </w:p>
        </w:tc>
        <w:tc>
          <w:tcPr>
            <w:tcW w:type="dxa" w:w="1550"/>
            <w:vAlign w:val="center"/>
            <w:shd w:fill="E1EEE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Preserved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/action-room/case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1930, freeze, bank, evidence, FIR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Recovery clock + layer model</w:t>
            </w:r>
          </w:p>
        </w:tc>
        <w:tc>
          <w:tcPr>
            <w:tcW w:type="dxa" w:w="1550"/>
            <w:vAlign w:val="center"/>
            <w:shd w:fill="E1EEE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Preserved + relabeled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/action-room/money-trail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Illustrative model, not personal probability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English/Hindi call script</w:t>
            </w:r>
          </w:p>
        </w:tc>
        <w:tc>
          <w:tcPr>
            <w:tcW w:type="dxa" w:w="1550"/>
            <w:vAlign w:val="center"/>
            <w:shd w:fill="E1EEE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Preserved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/action-room/case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Bilingual 1930 guidance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OpenAI chronology</w:t>
            </w:r>
          </w:p>
        </w:tc>
        <w:tc>
          <w:tcPr>
            <w:tcW w:type="dxa" w:w="1550"/>
            <w:vAlign w:val="center"/>
            <w:shd w:fill="E1EEE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Preserved + verified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/action-room/complaint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Server key plus deterministic fallback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Evidence checklist</w:t>
            </w:r>
          </w:p>
        </w:tc>
        <w:tc>
          <w:tcPr>
            <w:tcW w:type="dxa" w:w="1550"/>
            <w:vAlign w:val="center"/>
            <w:shd w:fill="E1EEE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Preserved + promoted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/action-room/evidence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Dedicated page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Recovery-stage machine</w:t>
            </w:r>
          </w:p>
        </w:tc>
        <w:tc>
          <w:tcPr>
            <w:tcW w:type="dxa" w:w="1550"/>
            <w:vAlign w:val="center"/>
            <w:shd w:fill="E1EEE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Preserved + promoted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/action-room/recovery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Dedicated page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Frozen-account test</w:t>
            </w:r>
          </w:p>
        </w:tc>
        <w:tc>
          <w:tcPr>
            <w:tcW w:type="dxa" w:w="1550"/>
            <w:vAlign w:val="center"/>
            <w:shd w:fill="E1EEE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Preserved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/action-room/frozen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Position, bank letter, RTI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1A1C"/>
                <w:sz w:val="17"/>
              </w:rPr>
              <w:t>Real vs. mocked</w:t>
            </w:r>
          </w:p>
        </w:tc>
        <w:tc>
          <w:tcPr>
            <w:tcW w:type="dxa" w:w="1550"/>
            <w:vAlign w:val="center"/>
            <w:shd w:fill="F3DFB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Updated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/methodology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71A1C"/>
                <w:sz w:val="17"/>
              </w:rPr>
              <w:t>Current primary sources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i w:val="0"/>
          <w:color w:val="A85F08"/>
          <w:sz w:val="17"/>
        </w:rPr>
        <w:t>EXPERIENCE MODEL</w:t>
      </w:r>
    </w:p>
    <w:p>
      <w:pPr>
        <w:pStyle w:val="Heading1"/>
      </w:pPr>
      <w:r>
        <w:t>Two surfaces with different jobs</w:t>
      </w:r>
    </w:p>
    <w:p>
      <w:pPr>
        <w:pStyle w:val="Heading2"/>
        <w:spacing w:before="0" w:after="120"/>
      </w:pPr>
      <w:r>
        <w:rPr>
          <w:rFonts w:ascii="Calibri" w:hAnsi="Calibri"/>
          <w:b w:val="0"/>
          <w:i w:val="0"/>
          <w:color w:val="171A1C"/>
        </w:rPr>
        <w:t>Public surface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71A1C"/>
          <w:sz w:val="22"/>
        </w:rPr>
        <w:t>Warm ivory, editorial typography, calm explanation, one generated hero asset, and strong situation routing. This surface earns trust and gets out of the way.</w:t>
      </w:r>
    </w:p>
    <w:p>
      <w:pPr>
        <w:pStyle w:val="Heading2"/>
        <w:spacing w:before="0" w:after="120"/>
      </w:pPr>
      <w:r>
        <w:rPr>
          <w:rFonts w:ascii="Calibri" w:hAnsi="Calibri"/>
          <w:b w:val="0"/>
          <w:i w:val="0"/>
          <w:color w:val="171A1C"/>
        </w:rPr>
        <w:t>Action Room surface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71A1C"/>
          <w:sz w:val="22"/>
        </w:rPr>
        <w:t>Deep graphite, amber task focus, persistent emergency access, local-case status, and dedicated navigation. This surface is a tool, not a campaign.</w:t>
      </w:r>
    </w:p>
    <w:p>
      <w:pPr>
        <w:pStyle w:val="Heading2"/>
        <w:spacing w:before="0" w:after="120"/>
      </w:pPr>
      <w:r>
        <w:rPr>
          <w:rFonts w:ascii="Calibri" w:hAnsi="Calibri"/>
          <w:b w:val="0"/>
          <w:i w:val="0"/>
          <w:color w:val="171A1C"/>
        </w:rPr>
        <w:t>Victim path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171A1C"/>
          <w:sz w:val="22"/>
        </w:rPr>
        <w:t xml:space="preserve">Triage. </w:t>
      </w:r>
      <w:r>
        <w:rPr>
          <w:rFonts w:ascii="Calibri" w:hAnsi="Calibri"/>
          <w:color w:val="171A1C"/>
          <w:sz w:val="22"/>
        </w:rPr>
        <w:t>Answer amount, payment route, time window, and authorisation.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171A1C"/>
          <w:sz w:val="22"/>
        </w:rPr>
        <w:t xml:space="preserve">Act. </w:t>
      </w:r>
      <w:r>
        <w:rPr>
          <w:rFonts w:ascii="Calibri" w:hAnsi="Calibri"/>
          <w:color w:val="171A1C"/>
          <w:sz w:val="22"/>
        </w:rPr>
        <w:t>Call 1930, prepare the freeze request, notify the bank, preserve evidence, and prepare FIR information.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171A1C"/>
          <w:sz w:val="22"/>
        </w:rPr>
        <w:t xml:space="preserve">Document. </w:t>
      </w:r>
      <w:r>
        <w:rPr>
          <w:rFonts w:ascii="Calibri" w:hAnsi="Calibri"/>
          <w:color w:val="171A1C"/>
          <w:sz w:val="22"/>
        </w:rPr>
        <w:t>Use evidence to build an editable complaint chronology and written bank notice.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171A1C"/>
          <w:sz w:val="22"/>
        </w:rPr>
        <w:t xml:space="preserve">Track. </w:t>
      </w:r>
      <w:r>
        <w:rPr>
          <w:rFonts w:ascii="Calibri" w:hAnsi="Calibri"/>
          <w:color w:val="171A1C"/>
          <w:sz w:val="22"/>
        </w:rPr>
        <w:t>Log actions, references, simulated stages, and next follow-up.</w:t>
      </w:r>
    </w:p>
    <w:p>
      <w:pPr>
        <w:pStyle w:val="Heading2"/>
        <w:spacing w:before="0" w:after="120"/>
      </w:pPr>
      <w:r>
        <w:rPr>
          <w:rFonts w:ascii="Calibri" w:hAnsi="Calibri"/>
          <w:b w:val="0"/>
          <w:i w:val="0"/>
          <w:color w:val="171A1C"/>
        </w:rPr>
        <w:t>Frozen-account path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171A1C"/>
          <w:sz w:val="22"/>
        </w:rPr>
        <w:t xml:space="preserve">Diagnose. </w:t>
      </w:r>
      <w:r>
        <w:rPr>
          <w:rFonts w:ascii="Calibri" w:hAnsi="Calibri"/>
          <w:color w:val="171A1C"/>
          <w:sz w:val="22"/>
        </w:rPr>
        <w:t>Capture state, duration, balance held, disputed amount, legal section, scope, notice, and Magistrate information.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171A1C"/>
          <w:sz w:val="22"/>
        </w:rPr>
        <w:t xml:space="preserve">Understand. </w:t>
      </w:r>
      <w:r>
        <w:rPr>
          <w:rFonts w:ascii="Calibri" w:hAnsi="Calibri"/>
          <w:color w:val="171A1C"/>
          <w:sz w:val="22"/>
        </w:rPr>
        <w:t>Show the strength and limits of the position using sourced rules.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171A1C"/>
          <w:sz w:val="22"/>
        </w:rPr>
        <w:t xml:space="preserve">Respond. </w:t>
      </w:r>
      <w:r>
        <w:rPr>
          <w:rFonts w:ascii="Calibri" w:hAnsi="Calibri"/>
          <w:color w:val="171A1C"/>
          <w:sz w:val="22"/>
        </w:rPr>
        <w:t>Generate a bank letter and RTI draft without pretending to provide legal representation.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171A1C"/>
          <w:sz w:val="22"/>
        </w:rPr>
        <w:t xml:space="preserve">Escalate. </w:t>
      </w:r>
      <w:r>
        <w:rPr>
          <w:rFonts w:ascii="Calibri" w:hAnsi="Calibri"/>
          <w:color w:val="171A1C"/>
          <w:sz w:val="22"/>
        </w:rPr>
        <w:t>Preserve the written record and track review points.</w:t>
      </w:r>
    </w:p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i w:val="0"/>
          <w:color w:val="A85F08"/>
          <w:sz w:val="17"/>
        </w:rPr>
        <w:t>VISUAL SYSTEM</w:t>
      </w:r>
    </w:p>
    <w:p>
      <w:pPr>
        <w:pStyle w:val="Heading1"/>
      </w:pPr>
      <w:r>
        <w:t>Calm emergency intelligence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0E6"/>
            <w:vAlign w:val="center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A85F08"/>
                <w:sz w:val="16"/>
              </w:rPr>
              <w:t>PALETTE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171A1C"/>
                <w:sz w:val="30"/>
              </w:rPr>
              <w:t>Ivory → graphite, with amber as the operational signal</w:t>
            </w:r>
          </w:p>
          <w:p>
            <w:pPr>
              <w:spacing w:after="0"/>
            </w:pPr>
            <w:r>
              <w:rPr>
                <w:rFonts w:ascii="Calibri" w:hAnsi="Calibri"/>
                <w:color w:val="686963"/>
                <w:sz w:val="21"/>
              </w:rPr>
              <w:t>Public: Ivory #F5F0E6, Ink #171A1C, warm paper grain. App: Graphite #101416, warm white #F5F0E6, Amber #E9A23B. Red is reserved for destructive or overdue states.</w:t>
            </w:r>
          </w:p>
        </w:tc>
      </w:tr>
    </w:tbl>
    <w:p>
      <w:pPr>
        <w:spacing w:after="20"/>
      </w:pPr>
    </w:p>
    <w:p>
      <w:pPr>
        <w:pStyle w:val="Heading2"/>
        <w:spacing w:before="0" w:after="120"/>
      </w:pPr>
      <w:r>
        <w:rPr>
          <w:rFonts w:ascii="Calibri" w:hAnsi="Calibri"/>
          <w:b w:val="0"/>
          <w:i w:val="0"/>
          <w:color w:val="171A1C"/>
        </w:rPr>
        <w:t>Typography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DM Serif Display carries public headlines and app page titles as an editorial signal.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Manrope carries controls, navigation, forms, and operational copy.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JetBrains Mono carries case IDs, timing, stage metadata, and numeric values.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Noto Sans Devanagari supports Hindi guidance without substituting person imagery or flags.</w:t>
      </w:r>
    </w:p>
    <w:p>
      <w:pPr>
        <w:pStyle w:val="Heading2"/>
        <w:spacing w:before="0" w:after="120"/>
      </w:pPr>
      <w:r>
        <w:rPr>
          <w:rFonts w:ascii="Calibri" w:hAnsi="Calibri"/>
          <w:b w:val="0"/>
          <w:i w:val="0"/>
          <w:color w:val="171A1C"/>
        </w:rPr>
        <w:t>Component language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Rounded task cards with precise borders and shallow depth; selective glass only where focus or hierarchy benefits.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Thin Phosphor icons for clocks, paths, documents, banks, phones, calendars, exports, and evidence. No shield/padlock identity and no person icon.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Progress rails, audit timelines, transaction paths, status chips, evidence checklists, and generated-document panes replace long explanatory text.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Motion is limited to transform and opacity, supports reduced motion, and never delays an urgent action.</w:t>
      </w:r>
    </w:p>
    <w:p>
      <w:r>
        <w:br w:type="page"/>
      </w:r>
    </w:p>
    <w:p>
      <w:pPr>
        <w:pStyle w:val="FigurePageTitle"/>
        <w:spacing w:before="0" w:after="120"/>
      </w:pPr>
      <w:r>
        <w:rPr>
          <w:rFonts w:ascii="Calibri" w:hAnsi="Calibri"/>
          <w:b w:val="0"/>
          <w:i w:val="0"/>
          <w:color w:val="171A1C"/>
        </w:rPr>
        <w:t>Implemented public landing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794760" cy="6677723"/>
            <wp:docPr id="2" name="Picture 2" descr="Full desktop screenshot of the warm ivory Golden Hour public landing page." title="Full desktop screenshot of the warm ivory Golden Hour public landing p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la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667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/>
          <w:i/>
          <w:color w:val="686963"/>
          <w:sz w:val="17"/>
        </w:rPr>
        <w:t>Live V2 desktop landing capture.</w:t>
      </w:r>
    </w:p>
    <w:p>
      <w:r>
        <w:br w:type="page"/>
      </w:r>
    </w:p>
    <w:p>
      <w:pPr>
        <w:pStyle w:val="FigurePageTitle"/>
        <w:spacing w:before="0" w:after="120"/>
      </w:pPr>
      <w:r>
        <w:rPr>
          <w:rFonts w:ascii="Calibri" w:hAnsi="Calibri"/>
          <w:b w:val="0"/>
          <w:i w:val="0"/>
          <w:color w:val="171A1C"/>
        </w:rPr>
        <w:t>Implemented Action Room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5617527"/>
            <wp:docPr id="3" name="Picture 3" descr="Desktop screenshot of the deep graphite Action Room with persistent navigation and workspace cards." title="Desktop screenshot of the deep graphite Action Room with persistent navigation 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action-roo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/>
          <w:i/>
          <w:color w:val="686963"/>
          <w:sz w:val="17"/>
        </w:rPr>
        <w:t>Live V2 desktop Action Room overview capture.</w:t>
      </w:r>
    </w:p>
    <w:p>
      <w:pPr>
        <w:spacing w:before="0" w:after="120"/>
      </w:pPr>
      <w:r>
        <w:rPr>
          <w:rFonts w:ascii="Calibri" w:hAnsi="Calibri"/>
          <w:b w:val="0"/>
          <w:i/>
          <w:color w:val="686963"/>
          <w:sz w:val="20"/>
        </w:rPr>
        <w:t>The public/app transition is not a theme toggle. It is a deliberate context switch from explanation to operation.</w:t>
      </w:r>
    </w:p>
    <w:p>
      <w:r>
        <w:br w:type="page"/>
      </w:r>
    </w:p>
    <w:p>
      <w:pPr>
        <w:pStyle w:val="FigurePageTitle"/>
        <w:spacing w:before="0" w:after="120"/>
      </w:pPr>
      <w:r>
        <w:rPr>
          <w:rFonts w:ascii="Calibri" w:hAnsi="Calibri"/>
          <w:b w:val="0"/>
          <w:i w:val="0"/>
          <w:color w:val="171A1C"/>
        </w:rPr>
        <w:t>Implemented case workflow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996036" cy="6537960"/>
            <wp:docPr id="4" name="Picture 4" descr="Desktop screenshot of the Golden Hour case workspace with recovery clock, money layer map, call script, and urgent actions." title="Desktop screenshot of the Golden Hour case workspace with recovery clock, money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c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6036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/>
          <w:i/>
          <w:color w:val="686963"/>
          <w:sz w:val="17"/>
        </w:rPr>
        <w:t>Live V2 case screen after triage.</w:t>
      </w:r>
    </w:p>
    <w:p>
      <w:r>
        <w:br w:type="page"/>
      </w:r>
    </w:p>
    <w:p>
      <w:pPr>
        <w:pStyle w:val="FigurePageTitle"/>
        <w:spacing w:before="0" w:after="120"/>
      </w:pPr>
      <w:r>
        <w:rPr>
          <w:rFonts w:ascii="Calibri" w:hAnsi="Calibri"/>
          <w:b w:val="0"/>
          <w:i w:val="0"/>
          <w:color w:val="171A1C"/>
        </w:rPr>
        <w:t>Implemented mobile surfaces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975452" cy="6629400"/>
            <wp:docPr id="5" name="Picture 5" descr="Tall mobile screenshot of the Golden Hour public landing page." title="Tall mobile screenshot of the Golden Hour public landing p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land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5452" cy="6629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123627" cy="6629400"/>
            <wp:docPr id="6" name="Picture 6" descr="Tall mobile screenshot of the Golden Hour Action Room with bottom navigation." title="Tall mobile screenshot of the Golden Hour Action Room with bottom navig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action-ro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3627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i/>
          <w:color w:val="686963"/>
          <w:sz w:val="17"/>
        </w:rPr>
        <w:t>Live mobile captures: public landing (left) and separate Action Room application (right).</w:t>
      </w:r>
    </w:p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i w:val="0"/>
          <w:color w:val="A85F08"/>
          <w:sz w:val="17"/>
        </w:rPr>
        <w:t>GENERATED VISUAL DIRECTION</w:t>
      </w:r>
    </w:p>
    <w:p>
      <w:pPr>
        <w:pStyle w:val="Heading1"/>
      </w:pPr>
      <w:r>
        <w:t>North star and operational concepts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71A1C"/>
          <w:sz w:val="22"/>
        </w:rPr>
        <w:t>The image-generation work established the material language before implementation: clocks, interrupted transaction paths, evidence documents, bank/process objects, and graphite containment surfaces. It deliberately excludes people, faces, hands, silhouettes, avatars, shields, and padlocks.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052"/>
            <wp:docPr id="7" name="Picture 7" descr="Generated deep graphite desktop Action Room interface concept with amber task focus and no people." title="Generated deep graphite desktop Action Room interface concept with amber task f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esktop-action-room-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/>
          <w:i/>
          <w:color w:val="686963"/>
          <w:sz w:val="17"/>
        </w:rPr>
        <w:t>Generated desktop Action Room concept used to set hierarchy and task density.</w:t>
      </w:r>
    </w:p>
    <w:p>
      <w:r>
        <w:br w:type="page"/>
      </w:r>
    </w:p>
    <w:p>
      <w:pPr>
        <w:pStyle w:val="FigurePageTitle"/>
        <w:spacing w:before="0" w:after="120"/>
      </w:pPr>
      <w:r>
        <w:rPr>
          <w:rFonts w:ascii="Calibri" w:hAnsi="Calibri"/>
          <w:b w:val="0"/>
          <w:i w:val="0"/>
          <w:color w:val="171A1C"/>
        </w:rPr>
        <w:t>Victim flow concepts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487168" cy="5265755"/>
            <wp:docPr id="8" name="Picture 8" descr="Generated mobile triage screen." title="Generated mobile triage scre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obile-victim-tri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26575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487168" cy="5265755"/>
            <wp:docPr id="9" name="Picture 9" descr="Generated mobile urgent-action screen." title="Generated mobile urgent-action scre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obile-victim-act-n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265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i/>
          <w:color w:val="686963"/>
          <w:sz w:val="17"/>
        </w:rPr>
        <w:t>Generated victim path: triage and act-now stages.</w:t>
      </w:r>
    </w:p>
    <w:p>
      <w:r>
        <w:br w:type="page"/>
      </w:r>
    </w:p>
    <w:p>
      <w:pPr>
        <w:pStyle w:val="FigurePageTitle"/>
        <w:spacing w:before="0" w:after="120"/>
      </w:pPr>
      <w:r>
        <w:rPr>
          <w:rFonts w:ascii="Calibri" w:hAnsi="Calibri"/>
          <w:b w:val="0"/>
          <w:i w:val="0"/>
          <w:color w:val="171A1C"/>
        </w:rPr>
        <w:t>Victim flow concepts — continued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487168" cy="5242052"/>
            <wp:docPr id="10" name="Picture 10" descr="Generated mobile evidence-building screen." title="Generated mobile evidence-building scre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mobile-victim-build-evid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24205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487168" cy="5242052"/>
            <wp:docPr id="11" name="Picture 11" descr="Generated mobile recovery-tracking screen." title="Generated mobile recovery-tracking scre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mobile-victim-track-recove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242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i/>
          <w:color w:val="686963"/>
          <w:sz w:val="17"/>
        </w:rPr>
        <w:t>Generated victim path: evidence and recovery tracking stages.</w:t>
      </w:r>
    </w:p>
    <w:p>
      <w:r>
        <w:br w:type="page"/>
      </w:r>
    </w:p>
    <w:p>
      <w:pPr>
        <w:pStyle w:val="FigurePageTitle"/>
        <w:spacing w:before="0" w:after="120"/>
      </w:pPr>
      <w:r>
        <w:rPr>
          <w:rFonts w:ascii="Calibri" w:hAnsi="Calibri"/>
          <w:b w:val="0"/>
          <w:i w:val="0"/>
          <w:color w:val="171A1C"/>
        </w:rPr>
        <w:t>Frozen-account concepts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487168" cy="5242052"/>
            <wp:docPr id="12" name="Picture 12" descr="Generated mobile frozen-account diagnosis screen." title="Generated mobile frozen-account diagnosis scre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mobile-frozen-diagno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24205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487168" cy="5242052"/>
            <wp:docPr id="13" name="Picture 13" descr="Generated mobile frozen-account position screen." title="Generated mobile frozen-account position scre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mobile-frozen-understan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242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i/>
          <w:color w:val="686963"/>
          <w:sz w:val="17"/>
        </w:rPr>
        <w:t>Generated frozen-account path: diagnose and understand stages.</w:t>
      </w:r>
    </w:p>
    <w:p>
      <w:r>
        <w:br w:type="page"/>
      </w:r>
    </w:p>
    <w:p>
      <w:pPr>
        <w:pStyle w:val="FigurePageTitle"/>
        <w:spacing w:before="0" w:after="120"/>
      </w:pPr>
      <w:r>
        <w:rPr>
          <w:rFonts w:ascii="Calibri" w:hAnsi="Calibri"/>
          <w:b w:val="0"/>
          <w:i w:val="0"/>
          <w:color w:val="171A1C"/>
        </w:rPr>
        <w:t>Frozen-account concepts — continued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487168" cy="5539870"/>
            <wp:docPr id="14" name="Picture 14" descr="Generated mobile frozen-account response screen." title="Generated mobile frozen-account response scre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mobile-frozen-generate-respons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53987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487168" cy="4419282"/>
            <wp:docPr id="15" name="Picture 15" descr="Generated mobile frozen-account escalation screen." title="Generated mobile frozen-account escalation scre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mobile-frozen-track-escal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4419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i/>
          <w:color w:val="686963"/>
          <w:sz w:val="17"/>
        </w:rPr>
        <w:t>Generated frozen-account path: response drafting and escalation tracking.</w:t>
      </w:r>
    </w:p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i w:val="0"/>
          <w:color w:val="A85F08"/>
          <w:sz w:val="17"/>
        </w:rPr>
        <w:t>MODEL, PRIVACY, AND SAFETY</w:t>
      </w:r>
    </w:p>
    <w:p>
      <w:pPr>
        <w:pStyle w:val="Heading1"/>
      </w:pPr>
      <w:r>
        <w:t>The model is bounded; the emergency workflow is deterministic</w:t>
      </w:r>
    </w:p>
    <w:p>
      <w:pPr>
        <w:pStyle w:val="Heading2"/>
        <w:spacing w:before="0" w:after="120"/>
      </w:pPr>
      <w:r>
        <w:rPr>
          <w:rFonts w:ascii="Calibri" w:hAnsi="Calibri"/>
          <w:b w:val="0"/>
          <w:i w:val="0"/>
          <w:color w:val="171A1C"/>
        </w:rPr>
        <w:t>OpenAI use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Only the complaint chronology uses the OpenAI API.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The key is read server-side from OPENAI_API_KEY or the existing local OPENAI_KEY variable; it is never exposed through NEXT_PUBLIC_.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The system prompt forbids invented identifiers, preserves the authorisation branch, and requires missing-detail placeholders.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A deterministic template completes the workflow if the model is unavailable, rejected, or returns empty content.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The production smoke test returned a real model-generated draft during verification.</w:t>
      </w:r>
    </w:p>
    <w:p>
      <w:pPr>
        <w:pStyle w:val="Heading2"/>
        <w:spacing w:before="0" w:after="120"/>
      </w:pPr>
      <w:r>
        <w:rPr>
          <w:rFonts w:ascii="Calibri" w:hAnsi="Calibri"/>
          <w:b w:val="0"/>
          <w:i w:val="0"/>
          <w:color w:val="171A1C"/>
        </w:rPr>
        <w:t>Local data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No sign-up, database, or case analytics.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The case record is versioned in browser local storage and can be erased from the Action Room.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Only an explicit drafting action sends the narrative and minimal incident context to the server.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The UI repeatedly warns against Aadhaar, PAN, OTP, PIN, passwords, and full card details.</w:t>
      </w:r>
    </w:p>
    <w:p>
      <w:pPr>
        <w:pStyle w:val="Heading2"/>
        <w:spacing w:before="0" w:after="120"/>
      </w:pPr>
      <w:r>
        <w:rPr>
          <w:rFonts w:ascii="Calibri" w:hAnsi="Calibri"/>
          <w:b w:val="0"/>
          <w:i w:val="0"/>
          <w:color w:val="171A1C"/>
        </w:rPr>
        <w:t>Public-safety language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The product says REPORT NOW and explains why speed supports containment; it does not publish a personal recovery probability.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1930 and cybercrime.gov.in are presented as official channels.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Frozen-account outputs say general information, not legal advice, and distinguish sourced rules from case-specific review.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All synthetic references and simulated stages are labeled at the point of use.</w:t>
      </w:r>
    </w:p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i w:val="0"/>
          <w:color w:val="A85F08"/>
          <w:sz w:val="17"/>
        </w:rPr>
        <w:t>PRIMARY SOURCES</w:t>
      </w:r>
    </w:p>
    <w:p>
      <w:pPr>
        <w:pStyle w:val="Heading1"/>
      </w:pPr>
      <w:r>
        <w:t>Current procedural and factual references</w:t>
      </w:r>
    </w:p>
    <w:p>
      <w:pPr>
        <w:spacing w:after="40"/>
      </w:pPr>
      <w:r>
        <w:rPr>
          <w:rFonts w:ascii="Calibri" w:hAnsi="Calibri"/>
          <w:b/>
          <w:color w:val="171A1C"/>
          <w:sz w:val="21"/>
        </w:rPr>
        <w:t>Ministry of Home Affairs parliamentary answer, 24 March 2026</w:t>
      </w:r>
    </w:p>
    <w:p>
      <w:pPr>
        <w:spacing w:after="40"/>
        <w:ind w:left="288"/>
      </w:pPr>
      <w:r>
        <w:rPr>
          <w:rFonts w:ascii="Calibri" w:hAnsi="Calibri"/>
          <w:color w:val="686963"/>
          <w:sz w:val="19"/>
        </w:rPr>
        <w:t>Official reporting workflow and national channels.</w:t>
      </w:r>
    </w:p>
    <w:p>
      <w:pPr>
        <w:spacing w:after="180"/>
        <w:ind w:left="288"/>
      </w:pPr>
      <w:hyperlink r:id="rId26">
        <w:r>
          <w:rPr>
            <w:color w:val="A85F08"/>
            <w:u w:val="single"/>
          </w:rPr>
          <w:t>https://www.mha.gov.in/MHA1/Par2017/pdfs/par2026-pdfs/LS24032026/5124.pdf</w:t>
        </w:r>
      </w:hyperlink>
    </w:p>
    <w:p>
      <w:pPr>
        <w:spacing w:after="40"/>
      </w:pPr>
      <w:r>
        <w:rPr>
          <w:rFonts w:ascii="Calibri" w:hAnsi="Calibri"/>
          <w:b/>
          <w:color w:val="171A1C"/>
          <w:sz w:val="21"/>
        </w:rPr>
        <w:t>Press Information Bureau release, 21 August 2026</w:t>
      </w:r>
    </w:p>
    <w:p>
      <w:pPr>
        <w:spacing w:after="40"/>
        <w:ind w:left="288"/>
      </w:pPr>
      <w:r>
        <w:rPr>
          <w:rFonts w:ascii="Calibri" w:hAnsi="Calibri"/>
          <w:color w:val="686963"/>
          <w:sz w:val="19"/>
        </w:rPr>
        <w:t>As of 30 June 2026, Rs 11,158 crore saved across 32.80 lakh complaints; an aggregate, not a personal probability.</w:t>
      </w:r>
    </w:p>
    <w:p>
      <w:pPr>
        <w:spacing w:after="180"/>
        <w:ind w:left="288"/>
      </w:pPr>
      <w:hyperlink r:id="rId27">
        <w:r>
          <w:rPr>
            <w:color w:val="A85F08"/>
            <w:u w:val="single"/>
          </w:rPr>
          <w:t>https://www.pib.gov.in/PressReleasePage.aspx?PRID=2301973&amp;lang=2&amp;reg=48</w:t>
        </w:r>
      </w:hyperlink>
    </w:p>
    <w:p>
      <w:pPr>
        <w:spacing w:after="40"/>
      </w:pPr>
      <w:r>
        <w:rPr>
          <w:rFonts w:ascii="Calibri" w:hAnsi="Calibri"/>
          <w:b/>
          <w:color w:val="171A1C"/>
          <w:sz w:val="21"/>
        </w:rPr>
        <w:t>RBI customer-protection circular RBI/2017-18/15</w:t>
      </w:r>
    </w:p>
    <w:p>
      <w:pPr>
        <w:spacing w:after="40"/>
        <w:ind w:left="288"/>
      </w:pPr>
      <w:r>
        <w:rPr>
          <w:rFonts w:ascii="Calibri" w:hAnsi="Calibri"/>
          <w:color w:val="686963"/>
          <w:sz w:val="19"/>
        </w:rPr>
        <w:t>Unauthorised electronic-banking liability and notification timelines.</w:t>
      </w:r>
    </w:p>
    <w:p>
      <w:pPr>
        <w:spacing w:after="180"/>
        <w:ind w:left="288"/>
      </w:pPr>
      <w:hyperlink r:id="rId28">
        <w:r>
          <w:rPr>
            <w:color w:val="A85F08"/>
            <w:u w:val="single"/>
          </w:rPr>
          <w:t>https://www.rbi.org.in/commonman/English/scripts/Notification.aspx?Id=2623</w:t>
        </w:r>
      </w:hyperlink>
    </w:p>
    <w:p>
      <w:pPr>
        <w:spacing w:after="40"/>
      </w:pPr>
      <w:r>
        <w:rPr>
          <w:rFonts w:ascii="Calibri" w:hAnsi="Calibri"/>
          <w:b/>
          <w:color w:val="171A1C"/>
          <w:sz w:val="21"/>
        </w:rPr>
        <w:t>Bharatiya Nagarik Suraksha Sanhita, 2023</w:t>
      </w:r>
    </w:p>
    <w:p>
      <w:pPr>
        <w:spacing w:after="40"/>
        <w:ind w:left="288"/>
      </w:pPr>
      <w:r>
        <w:rPr>
          <w:rFonts w:ascii="Calibri" w:hAnsi="Calibri"/>
          <w:color w:val="686963"/>
          <w:sz w:val="19"/>
        </w:rPr>
        <w:t>Official text for sections 94, 106, and 107.</w:t>
      </w:r>
    </w:p>
    <w:p>
      <w:pPr>
        <w:spacing w:after="180"/>
        <w:ind w:left="288"/>
      </w:pPr>
      <w:hyperlink r:id="rId29">
        <w:r>
          <w:rPr>
            <w:color w:val="A85F08"/>
            <w:u w:val="single"/>
          </w:rPr>
          <w:t>https://www.indiacode.nic.in/bitstream/123456789/21920/1/the_bharatiya_nagarik_suraksha_sanhita%2C_2023.pdf</w:t>
        </w:r>
      </w:hyperlink>
    </w:p>
    <w:p>
      <w:pPr>
        <w:spacing w:after="40"/>
      </w:pPr>
      <w:r>
        <w:rPr>
          <w:rFonts w:ascii="Calibri" w:hAnsi="Calibri"/>
          <w:b/>
          <w:color w:val="171A1C"/>
          <w:sz w:val="21"/>
        </w:rPr>
        <w:t>Delhi High Court judgment, 2026</w:t>
      </w:r>
    </w:p>
    <w:p>
      <w:pPr>
        <w:spacing w:after="40"/>
        <w:ind w:left="288"/>
      </w:pPr>
      <w:r>
        <w:rPr>
          <w:rFonts w:ascii="Calibri" w:hAnsi="Calibri"/>
          <w:color w:val="686963"/>
          <w:sz w:val="19"/>
        </w:rPr>
        <w:t>Discussion of debit-freeze power under section 106 and the separate section 107 process.</w:t>
      </w:r>
    </w:p>
    <w:p>
      <w:pPr>
        <w:spacing w:after="180"/>
        <w:ind w:left="288"/>
      </w:pPr>
      <w:hyperlink r:id="rId30">
        <w:r>
          <w:rPr>
            <w:color w:val="A85F08"/>
            <w:u w:val="single"/>
          </w:rPr>
          <w:t>https://delhihighcourt.nic.in/app/showlogo/1769248155_eb87a6191c1f9386_596_41982025.pdf/2026</w:t>
        </w:r>
      </w:hyperlink>
    </w:p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i w:val="0"/>
          <w:color w:val="A85F08"/>
          <w:sz w:val="17"/>
        </w:rPr>
        <w:t>VERIFICATION AND HANDOFF</w:t>
      </w:r>
    </w:p>
    <w:p>
      <w:pPr>
        <w:pStyle w:val="Heading1"/>
      </w:pPr>
      <w:r>
        <w:t>Implementation acceptance checklist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PASS — Production build passes across 19 routes.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PASS — ESLint passes with zero warnings.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PASS — Desktop and mobile landing surfaces render without overlays or missing assets.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PASS — Action Room navigation works across dedicated pages.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PASS — Four-question triage creates and persists a local case.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PASS — English and Hindi 1930 call guidance works.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PASS — Evidence selection and urgent-action logging work.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PASS — OpenAI draft generation works with the server-side key; fallback remains available.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PASS — Recovery tracker responds to local actions.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PASS — Frozen-account diagnostic produces position, bank letter, and RTI output.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PASS — Legacy route redirects work.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PASS — No people, faces, hands, silhouettes, avatars, or person icons appear in project visuals.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71A1C"/>
          <w:sz w:val="22"/>
        </w:rPr>
        <w:t>PASS — Original root prototype files remain untouched.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0E6"/>
            <w:vAlign w:val="center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A85F08"/>
                <w:sz w:val="16"/>
              </w:rPr>
              <w:t>HANDOFF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171A1C"/>
                <w:sz w:val="30"/>
              </w:rPr>
              <w:t>The architecture reset is complete</w:t>
            </w:r>
          </w:p>
          <w:p>
            <w:pPr>
              <w:spacing w:after="0"/>
            </w:pPr>
            <w:r>
              <w:rPr>
                <w:rFonts w:ascii="Calibri" w:hAnsi="Calibri"/>
                <w:color w:val="686963"/>
                <w:sz w:val="21"/>
              </w:rPr>
              <w:t>The next product decisions are deployment target, legal review ownership, and whether the full interface should receive a complete Hindi localization beyond the preserved bilingual emergency script.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020"/>
      <w:gridCol w:w="2340"/>
    </w:tblGrid>
    <w:tr>
      <w:tc>
        <w:tcPr>
          <w:tcW w:type="dxa" w:w="702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left"/>
          </w:pPr>
          <w:r>
            <w:rPr>
              <w:rFonts w:ascii="Calibri" w:hAnsi="Calibri"/>
              <w:color w:val="686963"/>
              <w:sz w:val="15"/>
            </w:rPr>
            <w:t>Independent hackathon prototype  |  25 August 2026</w:t>
          </w:r>
        </w:p>
      </w:tc>
      <w:tc>
        <w:tcPr>
          <w:tcW w:type="dxa" w:w="234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color w:val="686963"/>
              <w:sz w:val="15"/>
            </w:rPr>
            <w:t xml:space="preserve">PAGE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86963"/>
        <w:sz w:val="15"/>
      </w:rPr>
      <w:t>GOLDEN HOUR V2  |  PRODUCT + VISUAL DESIGN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1A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A85F0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A85F0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141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68696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PageTitle">
    <w:name w:val="Figure Page Title"/>
    <w:pPr>
      <w:keepNext/>
      <w:spacing w:before="0" w:after="160"/>
    </w:pPr>
    <w:rPr>
      <w:rFonts w:ascii="Calibri" w:hAnsi="Calibri"/>
      <w:b/>
      <w:color w:val="171A1C"/>
      <w:sz w:val="3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hyperlink" Target="https://www.mha.gov.in/MHA1/Par2017/pdfs/par2026-pdfs/LS24032026/5124.pdf" TargetMode="External"/><Relationship Id="rId27" Type="http://schemas.openxmlformats.org/officeDocument/2006/relationships/hyperlink" Target="https://www.pib.gov.in/PressReleasePage.aspx?PRID=2301973&amp;lang=2&amp;reg=48" TargetMode="External"/><Relationship Id="rId28" Type="http://schemas.openxmlformats.org/officeDocument/2006/relationships/hyperlink" Target="https://www.rbi.org.in/commonman/English/scripts/Notification.aspx?Id=2623" TargetMode="External"/><Relationship Id="rId29" Type="http://schemas.openxmlformats.org/officeDocument/2006/relationships/hyperlink" Target="https://www.indiacode.nic.in/bitstream/123456789/21920/1/the_bharatiya_nagarik_suraksha_sanhita%2C_2023.pdf" TargetMode="External"/><Relationship Id="rId30" Type="http://schemas.openxmlformats.org/officeDocument/2006/relationships/hyperlink" Target="https://delhihighcourt.nic.in/app/showlogo/1769248155_eb87a6191c1f9386_596_41982025.pdf/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Golden Hour V2 Product + Visual Design Brief</dc:title>
  <dc:subject>Multi-page Cyber Fraud Action Room architecture, visual system, and implementation handoff</dc:subject>
  <dc:creator>Aariz</dc:creator>
  <cp:keywords>Golden Hour, cyber fraud, action room, OpenAI hackathon, product design</cp:keywords>
  <dc:description>generated by python-docx</dc:description>
  <cp:lastModifiedBy>Aariz</cp:lastModifiedBy>
  <cp:revision>1</cp:revision>
  <dcterms:created xsi:type="dcterms:W3CDTF">2013-12-23T23:15:00Z</dcterms:created>
  <dcterms:modified xsi:type="dcterms:W3CDTF">2013-12-23T23:15:00Z</dcterms:modified>
  <cp:category/>
</cp:coreProperties>
</file>