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397" w:rsidRPr="003C6AB1" w:rsidRDefault="007F4F94" w:rsidP="003C6AB1">
      <w:pPr>
        <w:jc w:val="center"/>
        <w:rPr>
          <w:b/>
          <w:bCs/>
          <w:sz w:val="28"/>
          <w:szCs w:val="28"/>
        </w:rPr>
      </w:pPr>
      <w:r w:rsidRPr="003C6AB1">
        <w:rPr>
          <w:b/>
          <w:bCs/>
          <w:sz w:val="28"/>
          <w:szCs w:val="28"/>
        </w:rPr>
        <w:t>EXAMEN AP DIGESTIVO</w:t>
      </w:r>
    </w:p>
    <w:p w:rsidR="007F4F94" w:rsidRPr="007F4F94" w:rsidRDefault="007F4F94" w:rsidP="007F4F94">
      <w:pPr>
        <w:rPr>
          <w:b/>
          <w:bCs/>
        </w:rPr>
      </w:pPr>
      <w:r w:rsidRPr="007F4F94">
        <w:rPr>
          <w:b/>
          <w:bCs/>
        </w:rPr>
        <w:t>1 El diagrama de causa-efecto o de ishikawa es una herramienta de uso habitual en los programas de evaluación y mejora de la calidad asistencial. Entre sus características se encuentra</w:t>
      </w:r>
      <w:r>
        <w:rPr>
          <w:b/>
          <w:bCs/>
        </w:rPr>
        <w:t>n</w:t>
      </w:r>
    </w:p>
    <w:p w:rsidR="007F4F94" w:rsidRDefault="007F4F94" w:rsidP="007F4F94">
      <w:r w:rsidRPr="007F4F94">
        <w:t>A: Es una técnica. de análisis multivariante</w:t>
      </w:r>
    </w:p>
    <w:p w:rsidR="007F4F94" w:rsidRPr="007F4F94" w:rsidRDefault="007F4F94" w:rsidP="007F4F94">
      <w:r>
        <w:t>B:</w:t>
      </w:r>
      <w:r w:rsidRPr="007F4F94">
        <w:t xml:space="preserve"> Es útil en los procesos de priorización.</w:t>
      </w:r>
    </w:p>
    <w:p w:rsidR="007F4F94" w:rsidRPr="007F4F94" w:rsidRDefault="007F4F94" w:rsidP="007F4F94">
      <w:r w:rsidRPr="007F4F94">
        <w:t>C: Facilita el análisis de las causas últimas de los problemas identificados.-</w:t>
      </w:r>
    </w:p>
    <w:p w:rsidR="007F4F94" w:rsidRDefault="007F4F94" w:rsidP="007F4F94">
      <w:r>
        <w:t>D</w:t>
      </w:r>
      <w:r w:rsidRPr="007F4F94">
        <w:t>: Es una técnica cuantitativa.</w:t>
      </w:r>
    </w:p>
    <w:p w:rsidR="00806855" w:rsidRPr="00806855" w:rsidRDefault="00806855" w:rsidP="007F4F94">
      <w:pPr>
        <w:rPr>
          <w:b/>
          <w:bCs/>
          <w:color w:val="0070C0"/>
          <w:sz w:val="24"/>
          <w:szCs w:val="24"/>
        </w:rPr>
      </w:pPr>
      <w:r w:rsidRPr="00806855">
        <w:rPr>
          <w:b/>
          <w:bCs/>
          <w:color w:val="0070C0"/>
          <w:sz w:val="24"/>
          <w:szCs w:val="24"/>
        </w:rPr>
        <w:t>C, correcta</w:t>
      </w:r>
    </w:p>
    <w:p w:rsidR="007F4F94" w:rsidRDefault="007F4F94" w:rsidP="007F4F94"/>
    <w:p w:rsidR="007F4F94" w:rsidRPr="007F4F94" w:rsidRDefault="007F4F94" w:rsidP="007F4F94">
      <w:pPr>
        <w:rPr>
          <w:b/>
          <w:bCs/>
        </w:rPr>
      </w:pPr>
      <w:r w:rsidRPr="007F4F94">
        <w:rPr>
          <w:b/>
          <w:bCs/>
        </w:rPr>
        <w:t xml:space="preserve">2 Según la Ley 55/2003 del Estatuto Marco de Personal Estatutario de los Servidos-de Salud, en un procedimiento de movilidad voluntaria, cuando se derive cambio en el Servicio de Salud de destino, ¿cuál será el plazo de torna de posesión? </w:t>
      </w:r>
      <w:r w:rsidRPr="007F4F94">
        <w:rPr>
          <w:b/>
          <w:bCs/>
        </w:rPr>
        <w:noBreakHyphen/>
      </w:r>
    </w:p>
    <w:p w:rsidR="007F4F94" w:rsidRPr="007F4F94" w:rsidRDefault="007F4F94" w:rsidP="007F4F94">
      <w:pPr>
        <w:numPr>
          <w:ilvl w:val="0"/>
          <w:numId w:val="1"/>
        </w:numPr>
      </w:pPr>
      <w:r w:rsidRPr="007F4F94">
        <w:t>Un mes a contar desde el día del cese</w:t>
      </w:r>
      <w:r w:rsidRPr="007F4F94">
        <w:rPr>
          <w:vertAlign w:val="superscript"/>
        </w:rPr>
        <w:t>-</w:t>
      </w:r>
      <w:r w:rsidRPr="007F4F94">
        <w:t>en el destino anterior.</w:t>
      </w:r>
    </w:p>
    <w:p w:rsidR="007F4F94" w:rsidRPr="007F4F94" w:rsidRDefault="007F4F94" w:rsidP="007F4F94">
      <w:pPr>
        <w:numPr>
          <w:ilvl w:val="0"/>
          <w:numId w:val="1"/>
        </w:numPr>
      </w:pPr>
      <w:r w:rsidRPr="007F4F94">
        <w:t>Un mes a contar desde el día de la notificación o publicación del nuevo destino.</w:t>
      </w:r>
    </w:p>
    <w:p w:rsidR="007F4F94" w:rsidRPr="007F4F94" w:rsidRDefault="007F4F94" w:rsidP="007F4F94">
      <w:pPr>
        <w:numPr>
          <w:ilvl w:val="0"/>
          <w:numId w:val="1"/>
        </w:numPr>
      </w:pPr>
      <w:r w:rsidRPr="007F4F94">
        <w:t>20 días hábiles desde el día del cese en el destino anterior.,</w:t>
      </w:r>
    </w:p>
    <w:p w:rsidR="007F4F94" w:rsidRDefault="007F4F94" w:rsidP="007F4F94">
      <w:pPr>
        <w:numPr>
          <w:ilvl w:val="0"/>
          <w:numId w:val="1"/>
        </w:numPr>
      </w:pPr>
      <w:r w:rsidRPr="007F4F94">
        <w:t>30 dias hábiles desde el día de la notificación o publicación del nuevo destin</w:t>
      </w:r>
      <w:r w:rsidR="00806855">
        <w:t>o</w:t>
      </w:r>
    </w:p>
    <w:p w:rsidR="00806855" w:rsidRPr="00806855" w:rsidRDefault="00806855" w:rsidP="00806855">
      <w:pPr>
        <w:rPr>
          <w:b/>
          <w:bCs/>
          <w:color w:val="0070C0"/>
          <w:sz w:val="24"/>
          <w:szCs w:val="24"/>
        </w:rPr>
      </w:pPr>
      <w:r w:rsidRPr="00806855">
        <w:rPr>
          <w:b/>
          <w:bCs/>
          <w:color w:val="0070C0"/>
          <w:sz w:val="24"/>
          <w:szCs w:val="24"/>
        </w:rPr>
        <w:t>A. Artículo 37. 3</w:t>
      </w:r>
      <w:r>
        <w:rPr>
          <w:b/>
          <w:bCs/>
          <w:color w:val="0070C0"/>
          <w:sz w:val="24"/>
          <w:szCs w:val="24"/>
        </w:rPr>
        <w:t xml:space="preserve"> </w:t>
      </w:r>
      <w:r w:rsidRPr="00806855">
        <w:rPr>
          <w:b/>
          <w:bCs/>
          <w:color w:val="0070C0"/>
          <w:sz w:val="24"/>
          <w:szCs w:val="24"/>
        </w:rPr>
        <w:t>Movilidad voluntaria. </w:t>
      </w:r>
      <w:r w:rsidRPr="00806855">
        <w:rPr>
          <w:b/>
          <w:bCs/>
          <w:i/>
          <w:iCs/>
          <w:color w:val="0070C0"/>
          <w:sz w:val="24"/>
          <w:szCs w:val="24"/>
        </w:rPr>
        <w:t>Cuando de un procedimiento de movilidad se derive cambio en el servicio de salud de destino, el plazo de toma de posesión será de un mes a contar desde el día del cese en el destino anterior, que deberá tener lugar en los tres días siguientes a la notificación o publicación del nuevo destino adjudicado</w:t>
      </w:r>
    </w:p>
    <w:p w:rsidR="007F4F94" w:rsidRDefault="007F4F94" w:rsidP="007F4F94"/>
    <w:p w:rsidR="007F4F94" w:rsidRPr="007F4F94" w:rsidRDefault="007F4F94" w:rsidP="007F4F94">
      <w:pPr>
        <w:rPr>
          <w:b/>
          <w:bCs/>
        </w:rPr>
      </w:pPr>
      <w:r w:rsidRPr="007F4F94">
        <w:rPr>
          <w:b/>
          <w:bCs/>
        </w:rPr>
        <w:t xml:space="preserve">3 El derecho a la protección de la salud en la </w:t>
      </w:r>
      <w:r w:rsidRPr="007F4F94">
        <w:rPr>
          <w:b/>
          <w:bCs/>
          <w:vertAlign w:val="superscript"/>
        </w:rPr>
        <w:t>-</w:t>
      </w:r>
      <w:r w:rsidRPr="007F4F94">
        <w:rPr>
          <w:b/>
          <w:bCs/>
        </w:rPr>
        <w:t>Constitución Española:</w:t>
      </w:r>
    </w:p>
    <w:p w:rsidR="007F4F94" w:rsidRPr="007F4F94" w:rsidRDefault="007F4F94" w:rsidP="007F4F94">
      <w:pPr>
        <w:numPr>
          <w:ilvl w:val="0"/>
          <w:numId w:val="2"/>
        </w:numPr>
      </w:pPr>
      <w:r w:rsidRPr="007F4F94">
        <w:t>Es un derecho fundamental.</w:t>
      </w:r>
    </w:p>
    <w:p w:rsidR="007F4F94" w:rsidRPr="007F4F94" w:rsidRDefault="007F4F94" w:rsidP="007F4F94">
      <w:pPr>
        <w:numPr>
          <w:ilvl w:val="0"/>
          <w:numId w:val="2"/>
        </w:numPr>
      </w:pPr>
      <w:r w:rsidRPr="007F4F94">
        <w:t xml:space="preserve">Es una libertad pública. </w:t>
      </w:r>
    </w:p>
    <w:p w:rsidR="007F4F94" w:rsidRPr="007F4F94" w:rsidRDefault="007F4F94" w:rsidP="007F4F94">
      <w:pPr>
        <w:numPr>
          <w:ilvl w:val="0"/>
          <w:numId w:val="2"/>
        </w:numPr>
      </w:pPr>
      <w:r w:rsidRPr="007F4F94">
        <w:t xml:space="preserve">Es </w:t>
      </w:r>
      <w:bookmarkStart w:id="0" w:name="_Hlk87611548"/>
      <w:r w:rsidRPr="007F4F94">
        <w:t>un principio rector de la política social y económica</w:t>
      </w:r>
      <w:bookmarkEnd w:id="0"/>
      <w:r w:rsidRPr="007F4F94">
        <w:t>.</w:t>
      </w:r>
    </w:p>
    <w:p w:rsidR="007F4F94" w:rsidRDefault="007F4F94" w:rsidP="007F4F94">
      <w:pPr>
        <w:numPr>
          <w:ilvl w:val="0"/>
          <w:numId w:val="2"/>
        </w:numPr>
      </w:pPr>
      <w:r w:rsidRPr="007F4F94">
        <w:t>Es un deber.</w:t>
      </w:r>
    </w:p>
    <w:p w:rsidR="00806855" w:rsidRPr="00806855" w:rsidRDefault="00806855" w:rsidP="00806855">
      <w:pPr>
        <w:rPr>
          <w:b/>
          <w:bCs/>
          <w:i/>
          <w:iCs/>
          <w:color w:val="0070C0"/>
          <w:sz w:val="24"/>
          <w:szCs w:val="24"/>
        </w:rPr>
      </w:pPr>
      <w:r w:rsidRPr="00806855">
        <w:rPr>
          <w:b/>
          <w:bCs/>
          <w:color w:val="0070C0"/>
          <w:sz w:val="24"/>
          <w:szCs w:val="24"/>
        </w:rPr>
        <w:t xml:space="preserve">C, muy insistido en clase: NO es un derecho fundamental, </w:t>
      </w:r>
      <w:r w:rsidRPr="00B9104C">
        <w:rPr>
          <w:b/>
          <w:bCs/>
          <w:color w:val="0070C0"/>
          <w:sz w:val="24"/>
          <w:szCs w:val="24"/>
        </w:rPr>
        <w:t>es un</w:t>
      </w:r>
      <w:r w:rsidRPr="00806855">
        <w:rPr>
          <w:b/>
          <w:bCs/>
          <w:i/>
          <w:iCs/>
          <w:color w:val="0070C0"/>
          <w:sz w:val="24"/>
          <w:szCs w:val="24"/>
        </w:rPr>
        <w:t xml:space="preserve"> principio rector de la política social y económica</w:t>
      </w:r>
    </w:p>
    <w:p w:rsidR="007F4F94" w:rsidRDefault="007F4F94" w:rsidP="007F4F94"/>
    <w:p w:rsidR="00806855" w:rsidRDefault="00806855" w:rsidP="007F4F94">
      <w:pPr>
        <w:rPr>
          <w:b/>
          <w:bCs/>
        </w:rPr>
      </w:pPr>
    </w:p>
    <w:p w:rsidR="00806855" w:rsidRDefault="00806855" w:rsidP="007F4F94">
      <w:pPr>
        <w:rPr>
          <w:b/>
          <w:bCs/>
        </w:rPr>
      </w:pPr>
    </w:p>
    <w:p w:rsidR="00806855" w:rsidRDefault="00806855" w:rsidP="007F4F94">
      <w:pPr>
        <w:rPr>
          <w:b/>
          <w:bCs/>
        </w:rPr>
      </w:pPr>
    </w:p>
    <w:p w:rsidR="00806855" w:rsidRDefault="00806855" w:rsidP="007F4F94">
      <w:pPr>
        <w:rPr>
          <w:b/>
          <w:bCs/>
        </w:rPr>
      </w:pPr>
    </w:p>
    <w:p w:rsidR="00806855" w:rsidRDefault="00806855" w:rsidP="007F4F94">
      <w:pPr>
        <w:rPr>
          <w:b/>
          <w:bCs/>
        </w:rPr>
      </w:pPr>
    </w:p>
    <w:p w:rsidR="007F4F94" w:rsidRPr="007F4F94" w:rsidRDefault="007F4F94" w:rsidP="007F4F94">
      <w:pPr>
        <w:rPr>
          <w:b/>
          <w:bCs/>
        </w:rPr>
      </w:pPr>
      <w:r w:rsidRPr="007F4F94">
        <w:rPr>
          <w:b/>
          <w:bCs/>
        </w:rPr>
        <w:lastRenderedPageBreak/>
        <w:t>4 ¿Cuál de estos diseños de investigación NO será válido para responder a una hipótesis o pregunta de investigación que busque causalidad o asociación respecto a un evento o relaciones entre variables y enfermedad?</w:t>
      </w:r>
    </w:p>
    <w:p w:rsidR="007F4F94" w:rsidRPr="007F4F94" w:rsidRDefault="007F4F94" w:rsidP="007F4F94">
      <w:r w:rsidRPr="007F4F94">
        <w:t>A: Serie de casos.</w:t>
      </w:r>
    </w:p>
    <w:p w:rsidR="007F4F94" w:rsidRPr="007F4F94" w:rsidRDefault="007F4F94" w:rsidP="007F4F94">
      <w:r>
        <w:t>B</w:t>
      </w:r>
      <w:r w:rsidRPr="007F4F94">
        <w:t>: Estudio de casos y contr</w:t>
      </w:r>
      <w:r>
        <w:t>ol</w:t>
      </w:r>
      <w:r w:rsidRPr="007F4F94">
        <w:t>es.</w:t>
      </w:r>
      <w:r w:rsidRPr="007F4F94">
        <w:rPr>
          <w:vertAlign w:val="superscript"/>
        </w:rPr>
        <w:t>-</w:t>
      </w:r>
    </w:p>
    <w:p w:rsidR="007F4F94" w:rsidRPr="007F4F94" w:rsidRDefault="007F4F94" w:rsidP="007F4F94">
      <w:pPr>
        <w:numPr>
          <w:ilvl w:val="0"/>
          <w:numId w:val="3"/>
        </w:numPr>
        <w:tabs>
          <w:tab w:val="clear" w:pos="936"/>
          <w:tab w:val="num" w:pos="284"/>
        </w:tabs>
        <w:ind w:left="0"/>
      </w:pPr>
      <w:r w:rsidRPr="007F4F94">
        <w:t>Estudio de co</w:t>
      </w:r>
      <w:r>
        <w:t>h</w:t>
      </w:r>
      <w:r w:rsidRPr="007F4F94">
        <w:t>ortes.</w:t>
      </w:r>
    </w:p>
    <w:p w:rsidR="007F4F94" w:rsidRDefault="007F4F94" w:rsidP="007F4F94">
      <w:pPr>
        <w:numPr>
          <w:ilvl w:val="0"/>
          <w:numId w:val="3"/>
        </w:numPr>
        <w:tabs>
          <w:tab w:val="clear" w:pos="936"/>
          <w:tab w:val="num" w:pos="284"/>
        </w:tabs>
        <w:ind w:left="0"/>
      </w:pPr>
      <w:r w:rsidRPr="007F4F94">
        <w:t>Ensayo clínico</w:t>
      </w:r>
      <w:r w:rsidR="00784D19">
        <w:t>.</w:t>
      </w:r>
    </w:p>
    <w:p w:rsidR="009C7528" w:rsidRPr="009C7528" w:rsidRDefault="00784D19" w:rsidP="009C7528">
      <w:pPr>
        <w:rPr>
          <w:rFonts w:eastAsia="Calibri" w:cstheme="minorHAnsi"/>
          <w:b/>
          <w:bCs/>
          <w:color w:val="0070C0"/>
          <w:sz w:val="24"/>
          <w:szCs w:val="24"/>
        </w:rPr>
      </w:pPr>
      <w:r w:rsidRPr="009C7528">
        <w:rPr>
          <w:rFonts w:cstheme="minorHAnsi"/>
          <w:b/>
          <w:bCs/>
          <w:color w:val="0070C0"/>
          <w:sz w:val="24"/>
          <w:szCs w:val="24"/>
        </w:rPr>
        <w:t xml:space="preserve">A, </w:t>
      </w:r>
      <w:r w:rsidR="009C7528" w:rsidRPr="009C7528">
        <w:rPr>
          <w:rFonts w:eastAsia="Calibri" w:cstheme="minorHAnsi"/>
          <w:b/>
          <w:bCs/>
          <w:color w:val="0070C0"/>
          <w:sz w:val="24"/>
          <w:szCs w:val="24"/>
        </w:rPr>
        <w:t>Las series de casos forman parte de los estudios descriptivos, y no permiten establecer asociaciones (pag 38 del tema 12)</w:t>
      </w:r>
    </w:p>
    <w:p w:rsidR="009C7528" w:rsidRPr="009C7528" w:rsidRDefault="009C7528" w:rsidP="009C7528">
      <w:pPr>
        <w:spacing w:after="200" w:line="240" w:lineRule="auto"/>
        <w:ind w:left="360"/>
        <w:jc w:val="both"/>
        <w:rPr>
          <w:rFonts w:eastAsia="Calibri" w:cstheme="minorHAnsi"/>
          <w:b/>
          <w:bCs/>
          <w:i/>
          <w:color w:val="943634"/>
          <w:sz w:val="24"/>
          <w:szCs w:val="24"/>
          <w:lang w:val="pt-BR"/>
        </w:rPr>
      </w:pPr>
      <w:r w:rsidRPr="009C7528">
        <w:rPr>
          <w:rFonts w:eastAsia="Calibri" w:cstheme="minorHAnsi"/>
          <w:b/>
          <w:bCs/>
          <w:i/>
          <w:color w:val="943634"/>
          <w:sz w:val="24"/>
          <w:szCs w:val="24"/>
          <w:lang w:val="pt-BR"/>
        </w:rPr>
        <w:t>Registros de Casos clínicos o Series de Casos</w:t>
      </w:r>
    </w:p>
    <w:p w:rsidR="009C7528" w:rsidRPr="009C7528" w:rsidRDefault="009C7528" w:rsidP="009C7528">
      <w:pPr>
        <w:spacing w:after="200" w:line="240" w:lineRule="auto"/>
        <w:jc w:val="both"/>
        <w:rPr>
          <w:rFonts w:eastAsia="Calibri" w:cstheme="minorHAnsi"/>
          <w:i/>
          <w:color w:val="0070C0"/>
        </w:rPr>
      </w:pPr>
      <w:r w:rsidRPr="009C7528">
        <w:rPr>
          <w:rFonts w:eastAsia="Calibri" w:cstheme="minorHAnsi"/>
          <w:i/>
          <w:color w:val="0070C0"/>
        </w:rPr>
        <w:t>Es el tipo más básico de estudio descriptivo. No estudia poblaciones humanas, sino solamente un individuo. Consiste en la descripción detallada del perfil de un paciente. Estas descripciones sirven para sugerir hipótesis sobre relación de exposición con respecto a salud enfermedad. No permiten comprobar asociaciones entre exposición y efectos. Son los tipos de estudios mas frecuentemente publicados en periódicos médicos (33%).</w:t>
      </w:r>
    </w:p>
    <w:p w:rsidR="009C7528" w:rsidRPr="009C7528" w:rsidRDefault="009C7528" w:rsidP="009C7528">
      <w:pPr>
        <w:spacing w:after="0" w:line="240" w:lineRule="auto"/>
        <w:jc w:val="both"/>
        <w:rPr>
          <w:rFonts w:eastAsia="Calibri" w:cstheme="minorHAnsi"/>
          <w:i/>
          <w:color w:val="0070C0"/>
        </w:rPr>
      </w:pPr>
      <w:r w:rsidRPr="009C7528">
        <w:rPr>
          <w:rFonts w:eastAsia="Calibri" w:cstheme="minorHAnsi"/>
          <w:i/>
          <w:color w:val="0070C0"/>
        </w:rPr>
        <w:t>Dan pistas para identificar nuevas enfermedades o efectos adversos de exposiciones.</w:t>
      </w:r>
    </w:p>
    <w:p w:rsidR="009C7528" w:rsidRPr="009C7528" w:rsidRDefault="009C7528" w:rsidP="009C7528">
      <w:pPr>
        <w:spacing w:after="0" w:line="240" w:lineRule="auto"/>
        <w:jc w:val="both"/>
        <w:rPr>
          <w:rFonts w:eastAsia="Calibri" w:cstheme="minorHAnsi"/>
          <w:i/>
          <w:color w:val="0070C0"/>
        </w:rPr>
      </w:pPr>
      <w:r w:rsidRPr="009C7528">
        <w:rPr>
          <w:rFonts w:eastAsia="Calibri" w:cstheme="minorHAnsi"/>
          <w:i/>
          <w:color w:val="0070C0"/>
        </w:rPr>
        <w:t>Las series de casos sirven para identificar el inicio d epidemias. No pueden utilizarse para verificar la presencia de asociaciones estadísticas validad</w:t>
      </w:r>
    </w:p>
    <w:p w:rsidR="009C7528" w:rsidRPr="009C7528" w:rsidRDefault="009C7528" w:rsidP="009C7528">
      <w:pPr>
        <w:spacing w:after="0" w:line="240" w:lineRule="auto"/>
        <w:jc w:val="both"/>
        <w:rPr>
          <w:rFonts w:eastAsia="Calibri" w:cstheme="minorHAnsi"/>
          <w:i/>
          <w:color w:val="0070C0"/>
        </w:rPr>
      </w:pPr>
      <w:r w:rsidRPr="009C7528">
        <w:rPr>
          <w:rFonts w:eastAsia="Calibri" w:cstheme="minorHAnsi"/>
          <w:i/>
          <w:color w:val="0070C0"/>
        </w:rPr>
        <w:t>La interpretabilidad de la información está muy limitada por falta de grupo de comparación apropiado.</w:t>
      </w:r>
    </w:p>
    <w:p w:rsidR="009C7528" w:rsidRPr="009C7528" w:rsidRDefault="009C7528" w:rsidP="009C7528">
      <w:pPr>
        <w:rPr>
          <w:rFonts w:eastAsia="Calibri" w:cstheme="minorHAnsi"/>
          <w:b/>
          <w:bCs/>
          <w:sz w:val="24"/>
          <w:szCs w:val="24"/>
        </w:rPr>
      </w:pPr>
    </w:p>
    <w:p w:rsidR="007F4F94" w:rsidRDefault="007F4F94" w:rsidP="007F4F94"/>
    <w:p w:rsidR="007F4F94" w:rsidRPr="007F4F94" w:rsidRDefault="007F4F94" w:rsidP="007F4F94">
      <w:pPr>
        <w:rPr>
          <w:b/>
          <w:bCs/>
        </w:rPr>
      </w:pPr>
      <w:r w:rsidRPr="007F4F94">
        <w:rPr>
          <w:b/>
          <w:bCs/>
        </w:rPr>
        <w:t>5 Señale el indicador de resultado que se asocia a un estudio de casos y controles:</w:t>
      </w:r>
    </w:p>
    <w:p w:rsidR="007F4F94" w:rsidRPr="007F4F94" w:rsidRDefault="007F4F94" w:rsidP="007F4F94">
      <w:pPr>
        <w:numPr>
          <w:ilvl w:val="0"/>
          <w:numId w:val="4"/>
        </w:numPr>
      </w:pPr>
      <w:r w:rsidRPr="007F4F94">
        <w:t>Riesgo relativo..</w:t>
      </w:r>
    </w:p>
    <w:p w:rsidR="007F4F94" w:rsidRPr="007F4F94" w:rsidRDefault="007F4F94" w:rsidP="007F4F94">
      <w:pPr>
        <w:numPr>
          <w:ilvl w:val="0"/>
          <w:numId w:val="4"/>
        </w:numPr>
      </w:pPr>
      <w:r w:rsidRPr="007F4F94">
        <w:t>Razón de prevalencia.</w:t>
      </w:r>
    </w:p>
    <w:p w:rsidR="007F4F94" w:rsidRDefault="007F4F94" w:rsidP="007F4F94">
      <w:pPr>
        <w:numPr>
          <w:ilvl w:val="0"/>
          <w:numId w:val="4"/>
        </w:numPr>
      </w:pPr>
      <w:r w:rsidRPr="007F4F94">
        <w:t xml:space="preserve">Reducción absoluta del riesgo. </w:t>
      </w:r>
    </w:p>
    <w:p w:rsidR="007F4F94" w:rsidRDefault="007F4F94" w:rsidP="007F4F94">
      <w:pPr>
        <w:numPr>
          <w:ilvl w:val="0"/>
          <w:numId w:val="4"/>
        </w:numPr>
      </w:pPr>
      <w:r w:rsidRPr="007F4F94">
        <w:t>Odds Ratio.</w:t>
      </w:r>
    </w:p>
    <w:p w:rsidR="009C7528" w:rsidRPr="009C7528" w:rsidRDefault="00784D19" w:rsidP="009C7528">
      <w:pPr>
        <w:autoSpaceDE w:val="0"/>
        <w:autoSpaceDN w:val="0"/>
        <w:adjustRightInd w:val="0"/>
        <w:spacing w:line="240" w:lineRule="auto"/>
        <w:jc w:val="both"/>
        <w:rPr>
          <w:rFonts w:eastAsia="Calibri" w:cstheme="minorHAnsi"/>
          <w:b/>
          <w:bCs/>
          <w:i/>
          <w:color w:val="0070C0"/>
          <w:sz w:val="24"/>
          <w:szCs w:val="24"/>
        </w:rPr>
      </w:pPr>
      <w:r w:rsidRPr="00784D19">
        <w:rPr>
          <w:b/>
          <w:bCs/>
          <w:color w:val="0070C0"/>
          <w:sz w:val="24"/>
          <w:szCs w:val="24"/>
        </w:rPr>
        <w:t xml:space="preserve">D, </w:t>
      </w:r>
      <w:r w:rsidR="009C7528" w:rsidRPr="009C7528">
        <w:rPr>
          <w:rFonts w:eastAsia="Calibri" w:cstheme="minorHAnsi"/>
          <w:b/>
          <w:bCs/>
          <w:i/>
          <w:color w:val="0070C0"/>
          <w:sz w:val="24"/>
          <w:szCs w:val="24"/>
        </w:rPr>
        <w:t>En los estudios caso control, Si la fracción de muestreo es desconocida y es idéntica para expuestos y no expuestos, se puede obtener una estimación por medio de la Odds Ratio (OR) o razón de ventaja, cuyo valor es:</w:t>
      </w:r>
    </w:p>
    <w:p w:rsidR="009C7528" w:rsidRPr="009C7528" w:rsidRDefault="009C7528" w:rsidP="009C7528">
      <w:pPr>
        <w:autoSpaceDE w:val="0"/>
        <w:autoSpaceDN w:val="0"/>
        <w:adjustRightInd w:val="0"/>
        <w:spacing w:line="240" w:lineRule="auto"/>
        <w:jc w:val="both"/>
        <w:rPr>
          <w:rFonts w:eastAsia="Calibri" w:cstheme="minorHAnsi"/>
          <w:b/>
          <w:bCs/>
          <w:i/>
          <w:color w:val="0070C0"/>
          <w:sz w:val="24"/>
          <w:szCs w:val="24"/>
        </w:rPr>
      </w:pPr>
      <w:r w:rsidRPr="009C7528">
        <w:rPr>
          <w:rFonts w:eastAsia="Calibri" w:cstheme="minorHAnsi"/>
          <w:b/>
          <w:bCs/>
          <w:i/>
          <w:color w:val="0070C0"/>
          <w:sz w:val="24"/>
          <w:szCs w:val="24"/>
        </w:rPr>
        <w:tab/>
      </w:r>
      <w:r w:rsidRPr="009C7528">
        <w:rPr>
          <w:rFonts w:eastAsia="Calibri" w:cstheme="minorHAnsi"/>
          <w:b/>
          <w:bCs/>
          <w:i/>
          <w:color w:val="0070C0"/>
          <w:sz w:val="24"/>
          <w:szCs w:val="24"/>
        </w:rPr>
        <w:tab/>
      </w:r>
      <w:r w:rsidRPr="009C7528">
        <w:rPr>
          <w:rFonts w:eastAsia="Calibri" w:cstheme="minorHAnsi"/>
          <w:b/>
          <w:bCs/>
          <w:i/>
          <w:color w:val="0070C0"/>
          <w:sz w:val="24"/>
          <w:szCs w:val="24"/>
        </w:rPr>
        <w:tab/>
        <w:t>OR =  (a</w:t>
      </w:r>
      <w:r w:rsidRPr="009C7528">
        <w:rPr>
          <w:rFonts w:eastAsia="Calibri" w:cstheme="minorHAnsi"/>
          <w:b/>
          <w:bCs/>
          <w:i/>
          <w:color w:val="0070C0"/>
          <w:sz w:val="24"/>
          <w:szCs w:val="24"/>
          <w:vertAlign w:val="subscript"/>
        </w:rPr>
        <w:t>1</w:t>
      </w:r>
      <w:r w:rsidRPr="009C7528">
        <w:rPr>
          <w:rFonts w:eastAsia="Calibri" w:cstheme="minorHAnsi"/>
          <w:b/>
          <w:bCs/>
          <w:i/>
          <w:color w:val="0070C0"/>
          <w:sz w:val="24"/>
          <w:szCs w:val="24"/>
        </w:rPr>
        <w:t>*b</w:t>
      </w:r>
      <w:r w:rsidRPr="009C7528">
        <w:rPr>
          <w:rFonts w:eastAsia="Calibri" w:cstheme="minorHAnsi"/>
          <w:b/>
          <w:bCs/>
          <w:i/>
          <w:color w:val="0070C0"/>
          <w:sz w:val="24"/>
          <w:szCs w:val="24"/>
          <w:vertAlign w:val="subscript"/>
        </w:rPr>
        <w:t>0</w:t>
      </w:r>
      <w:r w:rsidRPr="009C7528">
        <w:rPr>
          <w:rFonts w:eastAsia="Calibri" w:cstheme="minorHAnsi"/>
          <w:b/>
          <w:bCs/>
          <w:i/>
          <w:color w:val="0070C0"/>
          <w:sz w:val="24"/>
          <w:szCs w:val="24"/>
        </w:rPr>
        <w:t>) /(a</w:t>
      </w:r>
      <w:r w:rsidRPr="009C7528">
        <w:rPr>
          <w:rFonts w:eastAsia="Calibri" w:cstheme="minorHAnsi"/>
          <w:b/>
          <w:bCs/>
          <w:i/>
          <w:color w:val="0070C0"/>
          <w:sz w:val="24"/>
          <w:szCs w:val="24"/>
          <w:vertAlign w:val="subscript"/>
        </w:rPr>
        <w:t>0</w:t>
      </w:r>
      <w:r w:rsidRPr="009C7528">
        <w:rPr>
          <w:rFonts w:eastAsia="Calibri" w:cstheme="minorHAnsi"/>
          <w:b/>
          <w:bCs/>
          <w:i/>
          <w:color w:val="0070C0"/>
          <w:sz w:val="24"/>
          <w:szCs w:val="24"/>
        </w:rPr>
        <w:t>*b</w:t>
      </w:r>
      <w:r w:rsidRPr="009C7528">
        <w:rPr>
          <w:rFonts w:eastAsia="Calibri" w:cstheme="minorHAnsi"/>
          <w:b/>
          <w:bCs/>
          <w:i/>
          <w:color w:val="0070C0"/>
          <w:sz w:val="24"/>
          <w:szCs w:val="24"/>
          <w:vertAlign w:val="subscript"/>
        </w:rPr>
        <w:t>1</w:t>
      </w:r>
      <w:r w:rsidRPr="009C7528">
        <w:rPr>
          <w:rFonts w:eastAsia="Calibri" w:cstheme="minorHAnsi"/>
          <w:b/>
          <w:bCs/>
          <w:i/>
          <w:color w:val="0070C0"/>
          <w:sz w:val="24"/>
          <w:szCs w:val="24"/>
        </w:rPr>
        <w:t>)</w:t>
      </w:r>
    </w:p>
    <w:p w:rsidR="009C7528" w:rsidRPr="009C7528" w:rsidRDefault="009C7528" w:rsidP="009C7528">
      <w:pPr>
        <w:autoSpaceDE w:val="0"/>
        <w:autoSpaceDN w:val="0"/>
        <w:adjustRightInd w:val="0"/>
        <w:spacing w:line="240" w:lineRule="auto"/>
        <w:jc w:val="both"/>
        <w:rPr>
          <w:rFonts w:eastAsia="Calibri" w:cstheme="minorHAnsi"/>
          <w:b/>
          <w:bCs/>
          <w:i/>
          <w:color w:val="0070C0"/>
          <w:sz w:val="24"/>
          <w:szCs w:val="24"/>
        </w:rPr>
      </w:pPr>
      <w:r w:rsidRPr="009C7528">
        <w:rPr>
          <w:rFonts w:eastAsia="Calibri" w:cstheme="minorHAnsi"/>
          <w:b/>
          <w:bCs/>
          <w:i/>
          <w:color w:val="0070C0"/>
          <w:sz w:val="24"/>
          <w:szCs w:val="24"/>
        </w:rPr>
        <w:t>La OR proporciona una estimación no sesgada de la razón de tasas de incidencia a partir de los datos de casos y controles</w:t>
      </w:r>
    </w:p>
    <w:p w:rsidR="00784D19" w:rsidRPr="00784D19" w:rsidRDefault="00784D19" w:rsidP="00784D19">
      <w:pPr>
        <w:rPr>
          <w:b/>
          <w:bCs/>
          <w:color w:val="0070C0"/>
          <w:sz w:val="24"/>
          <w:szCs w:val="24"/>
        </w:rPr>
      </w:pPr>
    </w:p>
    <w:p w:rsidR="007F4F94" w:rsidRDefault="007F4F94" w:rsidP="007F4F94"/>
    <w:p w:rsidR="003C6AB1" w:rsidRDefault="003C6AB1" w:rsidP="007F4F94"/>
    <w:p w:rsidR="009C7528" w:rsidRDefault="009C7528" w:rsidP="003C6AB1">
      <w:pPr>
        <w:rPr>
          <w:b/>
          <w:bCs/>
        </w:rPr>
      </w:pPr>
    </w:p>
    <w:p w:rsidR="003C6AB1" w:rsidRPr="003C6AB1" w:rsidRDefault="003C6AB1" w:rsidP="003C6AB1">
      <w:pPr>
        <w:rPr>
          <w:b/>
          <w:bCs/>
        </w:rPr>
      </w:pPr>
      <w:r w:rsidRPr="003C6AB1">
        <w:rPr>
          <w:b/>
          <w:bCs/>
        </w:rPr>
        <w:lastRenderedPageBreak/>
        <w:t>6 En la elección de un diseño de investigación. ¿Cuál de estas Categorías hace referencia a la orientación de un estudio de investigación en el tiempo?</w:t>
      </w:r>
    </w:p>
    <w:p w:rsidR="003C6AB1" w:rsidRPr="003C6AB1" w:rsidRDefault="003C6AB1" w:rsidP="003C6AB1">
      <w:pPr>
        <w:ind w:left="567"/>
      </w:pPr>
      <w:r w:rsidRPr="003C6AB1">
        <w:t>A: Analítico</w:t>
      </w:r>
    </w:p>
    <w:p w:rsidR="003C6AB1" w:rsidRPr="003C6AB1" w:rsidRDefault="003C6AB1" w:rsidP="003C6AB1">
      <w:pPr>
        <w:ind w:left="567"/>
      </w:pPr>
      <w:r w:rsidRPr="003C6AB1">
        <w:t>B: Descriptivo</w:t>
      </w:r>
    </w:p>
    <w:p w:rsidR="003C6AB1" w:rsidRPr="003C6AB1" w:rsidRDefault="003C6AB1" w:rsidP="003C6AB1">
      <w:pPr>
        <w:ind w:left="567"/>
      </w:pPr>
      <w:r w:rsidRPr="003C6AB1">
        <w:t>C: Observacional</w:t>
      </w:r>
    </w:p>
    <w:p w:rsidR="003C6AB1" w:rsidRDefault="003C6AB1" w:rsidP="003C6AB1">
      <w:pPr>
        <w:ind w:left="567"/>
      </w:pPr>
      <w:r w:rsidRPr="003C6AB1">
        <w:t>D: Longitudinal</w:t>
      </w:r>
    </w:p>
    <w:p w:rsidR="009C7528" w:rsidRPr="009C7528" w:rsidRDefault="00784D19" w:rsidP="009C7528">
      <w:pPr>
        <w:rPr>
          <w:rFonts w:ascii="Calibri" w:eastAsia="Calibri" w:hAnsi="Calibri" w:cs="Times New Roman"/>
          <w:sz w:val="24"/>
          <w:szCs w:val="24"/>
        </w:rPr>
      </w:pPr>
      <w:r w:rsidRPr="009C7528">
        <w:rPr>
          <w:b/>
          <w:bCs/>
          <w:color w:val="0070C0"/>
          <w:sz w:val="24"/>
          <w:szCs w:val="24"/>
        </w:rPr>
        <w:t>D,</w:t>
      </w:r>
      <w:r w:rsidR="009C7528" w:rsidRPr="009C7528">
        <w:rPr>
          <w:rFonts w:ascii="Calibri" w:eastAsia="Calibri" w:hAnsi="Calibri" w:cs="Times New Roman"/>
          <w:b/>
          <w:color w:val="0070C0"/>
          <w:sz w:val="24"/>
          <w:szCs w:val="24"/>
        </w:rPr>
        <w:t xml:space="preserve"> Los estudios longitudinales obtienen información sobre cambios a lo largo del tiempo permitiendo valorar la evolución de algunos fenómenos</w:t>
      </w:r>
    </w:p>
    <w:p w:rsidR="00784D19" w:rsidRDefault="00784D19" w:rsidP="003C6AB1">
      <w:pPr>
        <w:rPr>
          <w:b/>
          <w:bCs/>
        </w:rPr>
      </w:pPr>
    </w:p>
    <w:p w:rsidR="003C6AB1" w:rsidRPr="003C6AB1" w:rsidRDefault="003C6AB1" w:rsidP="003C6AB1">
      <w:pPr>
        <w:rPr>
          <w:b/>
          <w:bCs/>
        </w:rPr>
      </w:pPr>
      <w:r w:rsidRPr="003C6AB1">
        <w:rPr>
          <w:b/>
          <w:bCs/>
        </w:rPr>
        <w:t>7 Señale cuál de las siguientes afirmaciones relativas a las Cortes de Aragón es INCORRECTA:</w:t>
      </w:r>
    </w:p>
    <w:p w:rsidR="003C6AB1" w:rsidRPr="003C6AB1" w:rsidRDefault="003C6AB1" w:rsidP="003C6AB1">
      <w:pPr>
        <w:numPr>
          <w:ilvl w:val="0"/>
          <w:numId w:val="5"/>
        </w:numPr>
      </w:pPr>
      <w:r w:rsidRPr="003C6AB1">
        <w:t>Representan al pueblo aragonés.</w:t>
      </w:r>
    </w:p>
    <w:p w:rsidR="003C6AB1" w:rsidRPr="003C6AB1" w:rsidRDefault="003C6AB1" w:rsidP="003C6AB1">
      <w:pPr>
        <w:numPr>
          <w:ilvl w:val="0"/>
          <w:numId w:val="5"/>
        </w:numPr>
      </w:pPr>
      <w:r w:rsidRPr="003C6AB1">
        <w:t>Ejercen la potestad</w:t>
      </w:r>
    </w:p>
    <w:p w:rsidR="003C6AB1" w:rsidRPr="003C6AB1" w:rsidRDefault="003C6AB1" w:rsidP="003C6AB1">
      <w:pPr>
        <w:numPr>
          <w:ilvl w:val="0"/>
          <w:numId w:val="5"/>
        </w:numPr>
      </w:pPr>
      <w:r w:rsidRPr="003C6AB1">
        <w:t xml:space="preserve">Aprueban los presupuestos de la Comunidad Autónoma. </w:t>
      </w:r>
    </w:p>
    <w:p w:rsidR="003C6AB1" w:rsidRDefault="003C6AB1" w:rsidP="003C6AB1">
      <w:pPr>
        <w:numPr>
          <w:ilvl w:val="0"/>
          <w:numId w:val="5"/>
        </w:numPr>
      </w:pPr>
      <w:r w:rsidRPr="003C6AB1">
        <w:t>Ejercen la función ejecutiva.</w:t>
      </w:r>
    </w:p>
    <w:p w:rsidR="00784D19" w:rsidRPr="00784D19" w:rsidRDefault="00784D19" w:rsidP="00784D19">
      <w:pPr>
        <w:ind w:left="284"/>
        <w:rPr>
          <w:b/>
          <w:bCs/>
          <w:color w:val="0070C0"/>
          <w:sz w:val="24"/>
          <w:szCs w:val="24"/>
        </w:rPr>
      </w:pPr>
      <w:r w:rsidRPr="00784D19">
        <w:rPr>
          <w:b/>
          <w:bCs/>
          <w:color w:val="0070C0"/>
          <w:sz w:val="24"/>
          <w:szCs w:val="24"/>
        </w:rPr>
        <w:t>D, obvia y muy insistida en clase y diapos</w:t>
      </w:r>
    </w:p>
    <w:p w:rsidR="00806855" w:rsidRDefault="00806855" w:rsidP="003C6AB1">
      <w:pPr>
        <w:rPr>
          <w:b/>
          <w:bCs/>
        </w:rPr>
      </w:pPr>
    </w:p>
    <w:p w:rsidR="003C6AB1" w:rsidRPr="003C6AB1" w:rsidRDefault="003C6AB1" w:rsidP="003C6AB1">
      <w:pPr>
        <w:rPr>
          <w:b/>
          <w:bCs/>
        </w:rPr>
      </w:pPr>
      <w:r w:rsidRPr="003C6AB1">
        <w:rPr>
          <w:b/>
          <w:bCs/>
        </w:rPr>
        <w:t>8 Según la Ley 41/2002, de 14 de noviembre, básica reguladora de la autonomía del paciente, el consentimiento por representación puede otorgarse en algunos supuestos. Señale cuáll NO es uno de ellos:</w:t>
      </w:r>
    </w:p>
    <w:p w:rsidR="003C6AB1" w:rsidRPr="003C6AB1" w:rsidRDefault="003C6AB1" w:rsidP="003C6AB1">
      <w:pPr>
        <w:numPr>
          <w:ilvl w:val="0"/>
          <w:numId w:val="6"/>
        </w:numPr>
      </w:pPr>
      <w:r w:rsidRPr="003C6AB1">
        <w:t>Cuando el paciente no sea capaz de tomar decisiones, a criterio del médico responsable de la asistencia, o su estado físico o psíquico no le permita hacerse cargo de su situación..</w:t>
      </w:r>
    </w:p>
    <w:p w:rsidR="003C6AB1" w:rsidRPr="003C6AB1" w:rsidRDefault="003C6AB1" w:rsidP="003C6AB1">
      <w:pPr>
        <w:numPr>
          <w:ilvl w:val="0"/>
          <w:numId w:val="6"/>
        </w:numPr>
      </w:pPr>
      <w:r w:rsidRPr="003C6AB1">
        <w:t>Cuando el paciente tenga la capacidad modificada judicialmente y así conste en la sentencia..</w:t>
      </w:r>
    </w:p>
    <w:p w:rsidR="003C6AB1" w:rsidRPr="003C6AB1" w:rsidRDefault="003C6AB1" w:rsidP="003C6AB1">
      <w:pPr>
        <w:numPr>
          <w:ilvl w:val="0"/>
          <w:numId w:val="6"/>
        </w:numPr>
      </w:pPr>
      <w:r w:rsidRPr="003C6AB1">
        <w:t>Cuando se trate de menores no incapaces ni incapacitados, pero emancipados o con dieciséis años cumplidos.</w:t>
      </w:r>
    </w:p>
    <w:p w:rsidR="003C6AB1" w:rsidRPr="003C6AB1" w:rsidRDefault="003C6AB1" w:rsidP="003C6AB1">
      <w:pPr>
        <w:numPr>
          <w:ilvl w:val="0"/>
          <w:numId w:val="6"/>
        </w:numPr>
      </w:pPr>
      <w:r w:rsidRPr="003C6AB1">
        <w:t>Cuando el paciente menor de edad no sea capaz intelectual ni emocionalmente de comprender el alcance de la intervención.</w:t>
      </w:r>
    </w:p>
    <w:p w:rsidR="009C7528" w:rsidRDefault="00806855" w:rsidP="00806855">
      <w:pPr>
        <w:rPr>
          <w:b/>
          <w:bCs/>
          <w:color w:val="0070C0"/>
          <w:sz w:val="24"/>
          <w:szCs w:val="24"/>
        </w:rPr>
      </w:pPr>
      <w:r w:rsidRPr="00806855">
        <w:rPr>
          <w:b/>
          <w:bCs/>
          <w:color w:val="0070C0"/>
          <w:sz w:val="24"/>
          <w:szCs w:val="24"/>
        </w:rPr>
        <w:t xml:space="preserve">C. Artículo 9. </w:t>
      </w:r>
    </w:p>
    <w:p w:rsidR="009C7528" w:rsidRDefault="00806855" w:rsidP="00806855">
      <w:pPr>
        <w:rPr>
          <w:b/>
          <w:bCs/>
          <w:i/>
          <w:iCs/>
          <w:color w:val="0070C0"/>
          <w:sz w:val="24"/>
          <w:szCs w:val="24"/>
        </w:rPr>
      </w:pPr>
      <w:r w:rsidRPr="00806855">
        <w:rPr>
          <w:b/>
          <w:bCs/>
          <w:color w:val="0070C0"/>
          <w:sz w:val="24"/>
          <w:szCs w:val="24"/>
        </w:rPr>
        <w:t>3. </w:t>
      </w:r>
      <w:r w:rsidRPr="00806855">
        <w:rPr>
          <w:b/>
          <w:bCs/>
          <w:i/>
          <w:iCs/>
          <w:color w:val="0070C0"/>
          <w:sz w:val="24"/>
          <w:szCs w:val="24"/>
        </w:rPr>
        <w:t>Se otorgará el consentimiento por representación en los siguientes supuestos </w:t>
      </w:r>
    </w:p>
    <w:p w:rsidR="009C7528" w:rsidRDefault="00806855" w:rsidP="00806855">
      <w:pPr>
        <w:rPr>
          <w:b/>
          <w:bCs/>
          <w:i/>
          <w:iCs/>
          <w:color w:val="0070C0"/>
          <w:sz w:val="24"/>
          <w:szCs w:val="24"/>
        </w:rPr>
      </w:pPr>
      <w:r w:rsidRPr="00806855">
        <w:rPr>
          <w:b/>
          <w:bCs/>
          <w:i/>
          <w:iCs/>
          <w:color w:val="0070C0"/>
          <w:sz w:val="24"/>
          <w:szCs w:val="24"/>
        </w:rPr>
        <w:t>a) Cuando el paciente no sea capaz de tomar decisiones, a criterio del médico responsable de la asistencia, o su estado físico o psíquico no le permita hacerse cargo de su situación. Si el paciente carece de representante legal, el consentimiento lo prestarán las personas vinculadas a él por razones familiares o de hecho.</w:t>
      </w:r>
    </w:p>
    <w:p w:rsidR="009C7528" w:rsidRDefault="00806855" w:rsidP="00806855">
      <w:pPr>
        <w:rPr>
          <w:b/>
          <w:bCs/>
          <w:i/>
          <w:iCs/>
          <w:color w:val="0070C0"/>
          <w:sz w:val="24"/>
          <w:szCs w:val="24"/>
        </w:rPr>
      </w:pPr>
      <w:r w:rsidRPr="00806855">
        <w:rPr>
          <w:b/>
          <w:bCs/>
          <w:i/>
          <w:iCs/>
          <w:color w:val="0070C0"/>
          <w:sz w:val="24"/>
          <w:szCs w:val="24"/>
        </w:rPr>
        <w:t xml:space="preserve"> b) Cuando el paciente tenga la capacidad modificada judicialmente y así conste en la sentencia. </w:t>
      </w:r>
    </w:p>
    <w:p w:rsidR="009C7528" w:rsidRDefault="00806855" w:rsidP="00806855">
      <w:pPr>
        <w:rPr>
          <w:b/>
          <w:bCs/>
          <w:i/>
          <w:iCs/>
          <w:color w:val="0070C0"/>
          <w:sz w:val="24"/>
          <w:szCs w:val="24"/>
        </w:rPr>
      </w:pPr>
      <w:r w:rsidRPr="00806855">
        <w:rPr>
          <w:b/>
          <w:bCs/>
          <w:i/>
          <w:iCs/>
          <w:color w:val="0070C0"/>
          <w:sz w:val="24"/>
          <w:szCs w:val="24"/>
        </w:rPr>
        <w:lastRenderedPageBreak/>
        <w:t xml:space="preserve">c) Cuando el paciente menor de edad no sea capaz intelectual ni emocionalmente de comprender el alcance de la intervención. En este caso, el consentimiento lo dará el representante legal del menor, después de haber escuchado su opinión, conforme a lo dispuesto en el artículo 9 de la Ley Orgánica 1/1996, de 15 de enero, de Protección Jurídica del Menor. </w:t>
      </w:r>
    </w:p>
    <w:p w:rsidR="00806855" w:rsidRPr="00806855" w:rsidRDefault="00806855" w:rsidP="00806855">
      <w:pPr>
        <w:rPr>
          <w:b/>
          <w:bCs/>
          <w:color w:val="0070C0"/>
          <w:sz w:val="24"/>
          <w:szCs w:val="24"/>
        </w:rPr>
      </w:pPr>
      <w:r w:rsidRPr="00806855">
        <w:rPr>
          <w:b/>
          <w:bCs/>
          <w:i/>
          <w:iCs/>
          <w:color w:val="0070C0"/>
          <w:sz w:val="24"/>
          <w:szCs w:val="24"/>
        </w:rPr>
        <w:t>4. </w:t>
      </w:r>
      <w:r w:rsidRPr="00806855">
        <w:rPr>
          <w:b/>
          <w:bCs/>
          <w:i/>
          <w:iCs/>
          <w:color w:val="0070C0"/>
          <w:sz w:val="24"/>
          <w:szCs w:val="24"/>
          <w:u w:val="single"/>
        </w:rPr>
        <w:t>Cuando se trate de menores emancipados o mayores de 16 años que no se encuentren en los supuestos b) y c) del apartado anterior, no cabe prestar el consentimiento por representación</w:t>
      </w:r>
      <w:r w:rsidRPr="00806855">
        <w:rPr>
          <w:b/>
          <w:bCs/>
          <w:i/>
          <w:iCs/>
          <w:color w:val="0070C0"/>
          <w:sz w:val="24"/>
          <w:szCs w:val="24"/>
        </w:rPr>
        <w:t>. No obstante lo dispuesto en el párrafo anterior, cuando se trate de una actuación de grave riesgo para la vida o salud del menor, según el criterio del facultativo, el consentimiento lo prestará el representante legal del menor, una vez oída y tenida en cuenta la opinión del mismo.</w:t>
      </w:r>
    </w:p>
    <w:p w:rsidR="00784D19" w:rsidRDefault="00784D19" w:rsidP="00806855">
      <w:pPr>
        <w:rPr>
          <w:b/>
          <w:bCs/>
        </w:rPr>
      </w:pPr>
    </w:p>
    <w:p w:rsidR="00806855" w:rsidRPr="00806855" w:rsidRDefault="00806855" w:rsidP="00806855">
      <w:pPr>
        <w:rPr>
          <w:b/>
          <w:bCs/>
        </w:rPr>
      </w:pPr>
      <w:r w:rsidRPr="00806855">
        <w:rPr>
          <w:b/>
          <w:bCs/>
        </w:rPr>
        <w:t>9 Para lograr una prescripción racional de medicamentos, la selección de medicamentos debe hacerse de acuerdo, con criterios de:</w:t>
      </w:r>
    </w:p>
    <w:p w:rsidR="00806855" w:rsidRPr="00806855" w:rsidRDefault="00415B7F" w:rsidP="00D6442C">
      <w:pPr>
        <w:ind w:left="426"/>
      </w:pPr>
      <w:r>
        <w:rPr>
          <w:noProof/>
        </w:rPr>
        <w:pict>
          <v:line id="Conector recto 1" o:spid="_x0000_s1026" style="position:absolute;left:0;text-align:left;z-index:251659264;visibility:visible;mso-wrap-distance-left:0;mso-wrap-distance-right:0;mso-position-horizontal-relative:page;mso-position-vertical-relative:page" from="526.8pt,410.4pt" to="594.55pt,4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" o:allowincell="f" strokeweight=".5pt">
            <w10:wrap type="square" anchorx="page" anchory="page"/>
          </v:line>
        </w:pict>
      </w:r>
      <w:r w:rsidR="00806855" w:rsidRPr="00806855">
        <w:t>A: Eficacia, seguridad, calidad y costes.</w:t>
      </w:r>
    </w:p>
    <w:p w:rsidR="00806855" w:rsidRPr="00806855" w:rsidRDefault="00806855" w:rsidP="00D6442C">
      <w:pPr>
        <w:ind w:left="426"/>
      </w:pPr>
      <w:r w:rsidRPr="00806855">
        <w:t xml:space="preserve">B: Eficacia, seguridad e interés personal del profesional. </w:t>
      </w:r>
    </w:p>
    <w:p w:rsidR="00806855" w:rsidRPr="00806855" w:rsidRDefault="00806855" w:rsidP="00D6442C">
      <w:pPr>
        <w:ind w:left="426"/>
      </w:pPr>
      <w:r w:rsidRPr="00806855">
        <w:t>C: Únicamente debe primar la eficacia y seguridad..</w:t>
      </w:r>
    </w:p>
    <w:p w:rsidR="00806855" w:rsidRDefault="00806855" w:rsidP="00D6442C">
      <w:pPr>
        <w:ind w:left="426"/>
      </w:pPr>
      <w:r w:rsidRPr="00806855">
        <w:t>D: El criterio del profesional debería ser el único, ya que los costes no son un problema del profesional.</w:t>
      </w:r>
    </w:p>
    <w:p w:rsidR="00784D19" w:rsidRPr="00784D19" w:rsidRDefault="00784D19" w:rsidP="00806855">
      <w:pPr>
        <w:rPr>
          <w:b/>
          <w:bCs/>
          <w:color w:val="0070C0"/>
          <w:sz w:val="24"/>
          <w:szCs w:val="24"/>
        </w:rPr>
      </w:pPr>
      <w:r w:rsidRPr="00784D19">
        <w:rPr>
          <w:b/>
          <w:bCs/>
          <w:color w:val="0070C0"/>
          <w:sz w:val="24"/>
          <w:szCs w:val="24"/>
        </w:rPr>
        <w:t xml:space="preserve">A, </w:t>
      </w:r>
      <w:r w:rsidR="00D6442C">
        <w:rPr>
          <w:b/>
          <w:bCs/>
          <w:color w:val="0070C0"/>
          <w:sz w:val="24"/>
          <w:szCs w:val="24"/>
        </w:rPr>
        <w:t>sencilla, detallada en el temario de clase</w:t>
      </w:r>
    </w:p>
    <w:p w:rsidR="00784D19" w:rsidRDefault="00784D19" w:rsidP="007F4F94"/>
    <w:p w:rsidR="00784D19" w:rsidRPr="00784D19" w:rsidRDefault="00784D19" w:rsidP="00784D19">
      <w:pPr>
        <w:rPr>
          <w:b/>
          <w:bCs/>
        </w:rPr>
      </w:pPr>
      <w:r w:rsidRPr="00784D19">
        <w:rPr>
          <w:b/>
          <w:bCs/>
        </w:rPr>
        <w:t>10 En relación con las Unidades de Gestión Clínica señale la afirmación correcta:</w:t>
      </w:r>
    </w:p>
    <w:p w:rsidR="00784D19" w:rsidRPr="00784D19" w:rsidRDefault="00784D19" w:rsidP="00784D19">
      <w:pPr>
        <w:numPr>
          <w:ilvl w:val="0"/>
          <w:numId w:val="7"/>
        </w:numPr>
      </w:pPr>
      <w:r w:rsidRPr="00784D19">
        <w:t>La Gestión Clínica está orientada a la centralización de la toma de decisiones</w:t>
      </w:r>
      <w:r w:rsidR="00B9104C">
        <w:t>.</w:t>
      </w:r>
    </w:p>
    <w:p w:rsidR="00784D19" w:rsidRPr="00784D19" w:rsidRDefault="00784D19" w:rsidP="00784D19">
      <w:pPr>
        <w:numPr>
          <w:ilvl w:val="0"/>
          <w:numId w:val="7"/>
        </w:numPr>
      </w:pPr>
      <w:r w:rsidRPr="00784D19">
        <w:t>El objetivo fundamental de la Gestión Clínica es aumentar la efectividad, eficiencia y calidad de las prestaciones</w:t>
      </w:r>
      <w:r w:rsidR="00B9104C">
        <w:t>.</w:t>
      </w:r>
    </w:p>
    <w:p w:rsidR="00784D19" w:rsidRPr="00784D19" w:rsidRDefault="00784D19" w:rsidP="00784D19">
      <w:pPr>
        <w:numPr>
          <w:ilvl w:val="0"/>
          <w:numId w:val="7"/>
        </w:numPr>
      </w:pPr>
      <w:r w:rsidRPr="00784D19">
        <w:t>E</w:t>
      </w:r>
      <w:r w:rsidR="00B9104C">
        <w:t>l</w:t>
      </w:r>
      <w:r w:rsidRPr="00784D19">
        <w:t xml:space="preserve"> Contrato de Gestión se impone directamente desde la Dirección.</w:t>
      </w:r>
    </w:p>
    <w:p w:rsidR="00784D19" w:rsidRPr="00784D19" w:rsidRDefault="00784D19" w:rsidP="00784D19">
      <w:pPr>
        <w:numPr>
          <w:ilvl w:val="0"/>
          <w:numId w:val="7"/>
        </w:numPr>
      </w:pPr>
      <w:r w:rsidRPr="00784D19">
        <w:t>Un resultado esperado de la implementación de la Gestión Clínica es el aumento de la variabilidad de la práctica médica.</w:t>
      </w:r>
    </w:p>
    <w:p w:rsidR="00784D19" w:rsidRPr="00784D19" w:rsidRDefault="00784D19" w:rsidP="007F4F94">
      <w:pPr>
        <w:rPr>
          <w:b/>
          <w:bCs/>
          <w:color w:val="0070C0"/>
          <w:sz w:val="24"/>
          <w:szCs w:val="24"/>
        </w:rPr>
        <w:sectPr w:rsidR="00784D19" w:rsidRPr="00784D19">
          <w:pgSz w:w="11923" w:h="16824"/>
          <w:pgMar w:top="2205" w:right="1478" w:bottom="255" w:left="965" w:header="720" w:footer="720" w:gutter="0"/>
          <w:cols w:space="720"/>
          <w:noEndnote/>
        </w:sectPr>
      </w:pPr>
      <w:r w:rsidRPr="00784D19">
        <w:rPr>
          <w:b/>
          <w:bCs/>
          <w:color w:val="0070C0"/>
          <w:sz w:val="24"/>
          <w:szCs w:val="24"/>
        </w:rPr>
        <w:t>B,</w:t>
      </w:r>
      <w:r w:rsidR="00B9104C">
        <w:rPr>
          <w:b/>
          <w:bCs/>
          <w:color w:val="0070C0"/>
          <w:sz w:val="24"/>
          <w:szCs w:val="24"/>
        </w:rPr>
        <w:t xml:space="preserve"> </w:t>
      </w:r>
      <w:r w:rsidR="00B9104C" w:rsidRPr="00B9104C">
        <w:rPr>
          <w:b/>
          <w:bCs/>
          <w:color w:val="0070C0"/>
          <w:sz w:val="24"/>
          <w:szCs w:val="24"/>
        </w:rPr>
        <w:t>DECRETO 174/2010, de 21 de septiembre, del Gobierno de Aragón, por el que se aprueba el reglamento de la estructura y funcionamiento de las áreas y sectores del Sistema de Salud de Aragón.</w:t>
      </w:r>
      <w:r w:rsidR="00B9104C">
        <w:rPr>
          <w:b/>
          <w:bCs/>
          <w:color w:val="0070C0"/>
          <w:sz w:val="24"/>
          <w:szCs w:val="24"/>
        </w:rPr>
        <w:t xml:space="preserve"> </w:t>
      </w:r>
      <w:r w:rsidR="00B9104C" w:rsidRPr="00B9104C">
        <w:rPr>
          <w:b/>
          <w:bCs/>
          <w:color w:val="0070C0"/>
          <w:sz w:val="24"/>
          <w:szCs w:val="24"/>
        </w:rPr>
        <w:t>Artículo 45.—Unidades Clínicas</w:t>
      </w:r>
      <w:r w:rsidR="00B9104C">
        <w:rPr>
          <w:b/>
          <w:bCs/>
          <w:color w:val="0070C0"/>
          <w:sz w:val="24"/>
          <w:szCs w:val="24"/>
        </w:rPr>
        <w:t xml:space="preserve">; </w:t>
      </w:r>
      <w:r w:rsidR="00423604">
        <w:rPr>
          <w:b/>
          <w:bCs/>
          <w:color w:val="0070C0"/>
          <w:sz w:val="24"/>
          <w:szCs w:val="24"/>
        </w:rPr>
        <w:t xml:space="preserve"> </w:t>
      </w:r>
      <w:r w:rsidR="00423604" w:rsidRPr="00423604">
        <w:rPr>
          <w:b/>
          <w:bCs/>
          <w:i/>
          <w:iCs/>
          <w:color w:val="0070C0"/>
          <w:sz w:val="24"/>
          <w:szCs w:val="24"/>
        </w:rPr>
        <w:t xml:space="preserve">2. Las Unidades Clínicas son las responsables de realizar la gestión clínica, entendiendo ésta como el conjunto de procesos y decisiones clínicas que se producen en la relación entre profesionales y pacientes, y </w:t>
      </w:r>
      <w:r w:rsidR="00423604" w:rsidRPr="00423604">
        <w:rPr>
          <w:b/>
          <w:bCs/>
          <w:i/>
          <w:iCs/>
          <w:color w:val="0070C0"/>
          <w:sz w:val="24"/>
          <w:szCs w:val="24"/>
          <w:u w:val="single"/>
        </w:rPr>
        <w:t>tienen como objeto mejorar la efectividad, la calidad y la satisfacción de los usuarios</w:t>
      </w:r>
    </w:p>
    <w:p w:rsidR="003C6AB1" w:rsidRDefault="003C6AB1" w:rsidP="007F4F94"/>
    <w:p w:rsidR="007F4F94" w:rsidRDefault="007F4F94"/>
    <w:sectPr w:rsidR="007F4F94" w:rsidSect="00415B7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B2CF8"/>
    <w:multiLevelType w:val="singleLevel"/>
    <w:tmpl w:val="1E6BE6E1"/>
    <w:lvl w:ilvl="0">
      <w:start w:val="1"/>
      <w:numFmt w:val="upperLetter"/>
      <w:lvlText w:val="%1:"/>
      <w:lvlJc w:val="left"/>
      <w:pPr>
        <w:tabs>
          <w:tab w:val="num" w:pos="936"/>
        </w:tabs>
        <w:ind w:left="432"/>
      </w:pPr>
      <w:rPr>
        <w:rFonts w:ascii="Verdana" w:hAnsi="Verdana" w:cs="Verdana"/>
        <w:snapToGrid/>
        <w:spacing w:val="-12"/>
        <w:sz w:val="20"/>
        <w:szCs w:val="20"/>
      </w:rPr>
    </w:lvl>
  </w:abstractNum>
  <w:abstractNum w:abstractNumId="1">
    <w:nsid w:val="00D3AAB7"/>
    <w:multiLevelType w:val="singleLevel"/>
    <w:tmpl w:val="21781EC0"/>
    <w:lvl w:ilvl="0">
      <w:start w:val="1"/>
      <w:numFmt w:val="upperLetter"/>
      <w:lvlText w:val="%1:"/>
      <w:lvlJc w:val="left"/>
      <w:pPr>
        <w:tabs>
          <w:tab w:val="num" w:pos="936"/>
        </w:tabs>
        <w:ind w:left="432"/>
      </w:pPr>
      <w:rPr>
        <w:rFonts w:ascii="Verdana" w:hAnsi="Verdana" w:cs="Verdana"/>
        <w:snapToGrid/>
        <w:spacing w:val="-18"/>
        <w:sz w:val="20"/>
        <w:szCs w:val="20"/>
      </w:rPr>
    </w:lvl>
  </w:abstractNum>
  <w:abstractNum w:abstractNumId="2">
    <w:nsid w:val="0120131D"/>
    <w:multiLevelType w:val="singleLevel"/>
    <w:tmpl w:val="2B061F1C"/>
    <w:lvl w:ilvl="0">
      <w:start w:val="1"/>
      <w:numFmt w:val="upperLetter"/>
      <w:lvlText w:val="%1:"/>
      <w:lvlJc w:val="left"/>
      <w:pPr>
        <w:tabs>
          <w:tab w:val="num" w:pos="1080"/>
        </w:tabs>
        <w:ind w:left="1008" w:hanging="432"/>
      </w:pPr>
      <w:rPr>
        <w:snapToGrid/>
        <w:spacing w:val="3"/>
        <w:sz w:val="21"/>
        <w:szCs w:val="21"/>
      </w:rPr>
    </w:lvl>
  </w:abstractNum>
  <w:abstractNum w:abstractNumId="3">
    <w:nsid w:val="04B6F44F"/>
    <w:multiLevelType w:val="singleLevel"/>
    <w:tmpl w:val="1FB708CC"/>
    <w:lvl w:ilvl="0">
      <w:start w:val="1"/>
      <w:numFmt w:val="upperLetter"/>
      <w:lvlText w:val="%1:"/>
      <w:lvlJc w:val="left"/>
      <w:pPr>
        <w:tabs>
          <w:tab w:val="num" w:pos="1008"/>
        </w:tabs>
        <w:ind w:left="432"/>
      </w:pPr>
      <w:rPr>
        <w:rFonts w:ascii="Verdana" w:hAnsi="Verdana" w:cs="Verdana"/>
        <w:snapToGrid/>
        <w:spacing w:val="-14"/>
        <w:sz w:val="20"/>
        <w:szCs w:val="20"/>
      </w:rPr>
    </w:lvl>
  </w:abstractNum>
  <w:abstractNum w:abstractNumId="4">
    <w:nsid w:val="05C59970"/>
    <w:multiLevelType w:val="singleLevel"/>
    <w:tmpl w:val="4FF4EF1D"/>
    <w:lvl w:ilvl="0">
      <w:start w:val="1"/>
      <w:numFmt w:val="upperLetter"/>
      <w:lvlText w:val="%1:"/>
      <w:lvlJc w:val="left"/>
      <w:pPr>
        <w:tabs>
          <w:tab w:val="num" w:pos="1080"/>
        </w:tabs>
        <w:ind w:left="1080" w:hanging="504"/>
      </w:pPr>
      <w:rPr>
        <w:snapToGrid/>
        <w:sz w:val="21"/>
        <w:szCs w:val="21"/>
      </w:rPr>
    </w:lvl>
  </w:abstractNum>
  <w:abstractNum w:abstractNumId="5">
    <w:nsid w:val="072704A2"/>
    <w:multiLevelType w:val="singleLevel"/>
    <w:tmpl w:val="3081A6AA"/>
    <w:lvl w:ilvl="0">
      <w:start w:val="1"/>
      <w:numFmt w:val="upperLetter"/>
      <w:lvlText w:val="%1:"/>
      <w:lvlJc w:val="left"/>
      <w:pPr>
        <w:tabs>
          <w:tab w:val="num" w:pos="1080"/>
        </w:tabs>
        <w:ind w:left="576"/>
      </w:pPr>
      <w:rPr>
        <w:snapToGrid/>
        <w:spacing w:val="4"/>
        <w:sz w:val="21"/>
        <w:szCs w:val="21"/>
      </w:rPr>
    </w:lvl>
  </w:abstractNum>
  <w:abstractNum w:abstractNumId="6">
    <w:nsid w:val="076BF6F9"/>
    <w:multiLevelType w:val="singleLevel"/>
    <w:tmpl w:val="09B459D9"/>
    <w:lvl w:ilvl="0">
      <w:start w:val="3"/>
      <w:numFmt w:val="upperLetter"/>
      <w:lvlText w:val="%1:"/>
      <w:lvlJc w:val="left"/>
      <w:pPr>
        <w:tabs>
          <w:tab w:val="num" w:pos="936"/>
        </w:tabs>
        <w:ind w:left="432"/>
      </w:pPr>
      <w:rPr>
        <w:rFonts w:ascii="Verdana" w:hAnsi="Verdana" w:cs="Verdana"/>
        <w:snapToGrid/>
        <w:spacing w:val="-17"/>
        <w:sz w:val="20"/>
        <w:szCs w:val="20"/>
      </w:rPr>
    </w:lvl>
  </w:abstractNum>
  <w:num w:numId="1">
    <w:abstractNumId w:val="3"/>
  </w:num>
  <w:num w:numId="2">
    <w:abstractNumId w:val="0"/>
  </w:num>
  <w:num w:numId="3">
    <w:abstractNumId w:val="6"/>
  </w:num>
  <w:num w:numId="4">
    <w:abstractNumId w:val="1"/>
  </w:num>
  <w:num w:numId="5">
    <w:abstractNumId w:val="5"/>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7F4F94"/>
    <w:rsid w:val="00223397"/>
    <w:rsid w:val="003C6AB1"/>
    <w:rsid w:val="00415B7F"/>
    <w:rsid w:val="00423604"/>
    <w:rsid w:val="00784D19"/>
    <w:rsid w:val="007F4F94"/>
    <w:rsid w:val="00806855"/>
    <w:rsid w:val="009C7528"/>
    <w:rsid w:val="00B01314"/>
    <w:rsid w:val="00B9104C"/>
    <w:rsid w:val="00D6442C"/>
    <w:rsid w:val="00FA1AB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7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38198962">
      <w:bodyDiv w:val="1"/>
      <w:marLeft w:val="0"/>
      <w:marRight w:val="0"/>
      <w:marTop w:val="0"/>
      <w:marBottom w:val="0"/>
      <w:divBdr>
        <w:top w:val="none" w:sz="0" w:space="0" w:color="auto"/>
        <w:left w:val="none" w:sz="0" w:space="0" w:color="auto"/>
        <w:bottom w:val="none" w:sz="0" w:space="0" w:color="auto"/>
        <w:right w:val="none" w:sz="0" w:space="0" w:color="auto"/>
      </w:divBdr>
      <w:divsChild>
        <w:div w:id="813835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1153</Words>
  <Characters>6346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2</cp:revision>
  <dcterms:created xsi:type="dcterms:W3CDTF">2021-11-12T13:52:00Z</dcterms:created>
  <dcterms:modified xsi:type="dcterms:W3CDTF">2021-11-12T13:52:00Z</dcterms:modified>
</cp:coreProperties>
</file>