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5C67" w:rsidRPr="00955C67" w:rsidRDefault="00955C67" w:rsidP="00CF13A4">
      <w:pPr>
        <w:spacing w:after="0" w:line="240" w:lineRule="auto"/>
        <w:rPr>
          <w:b/>
          <w:bCs/>
        </w:rPr>
      </w:pPr>
      <w:r w:rsidRPr="00955C67">
        <w:rPr>
          <w:b/>
          <w:bCs/>
        </w:rPr>
        <w:t>FACULTATIVO ESPECIALISTA DE ÁREA DE DERMATOLOGÍA</w:t>
      </w:r>
      <w:r w:rsidR="00CF13A4">
        <w:rPr>
          <w:b/>
          <w:bCs/>
        </w:rPr>
        <w:t xml:space="preserve"> </w:t>
      </w:r>
      <w:r w:rsidRPr="00955C67">
        <w:rPr>
          <w:b/>
          <w:bCs/>
        </w:rPr>
        <w:t>MÉDICO QUIRÚRGICA Y VENEREOLOGÍA</w:t>
      </w:r>
    </w:p>
    <w:p w:rsidR="00CF13A4" w:rsidRDefault="00CF13A4" w:rsidP="00CF13A4">
      <w:pPr>
        <w:spacing w:after="0" w:line="240" w:lineRule="auto"/>
        <w:rPr>
          <w:b/>
          <w:bCs/>
        </w:rPr>
      </w:pPr>
    </w:p>
    <w:p w:rsidR="00CF13A4" w:rsidRDefault="00CF13A4" w:rsidP="00CF13A4">
      <w:pPr>
        <w:spacing w:after="0" w:line="240" w:lineRule="auto"/>
        <w:rPr>
          <w:b/>
          <w:bCs/>
        </w:rPr>
      </w:pPr>
    </w:p>
    <w:p w:rsidR="00CF13A4" w:rsidRDefault="00CF13A4" w:rsidP="00CF13A4">
      <w:pPr>
        <w:spacing w:after="0" w:line="240" w:lineRule="auto"/>
        <w:rPr>
          <w:b/>
          <w:bCs/>
        </w:rPr>
      </w:pPr>
    </w:p>
    <w:p w:rsidR="00955C67" w:rsidRPr="00955C67" w:rsidRDefault="00CF13A4" w:rsidP="00CF13A4">
      <w:pPr>
        <w:spacing w:after="0" w:line="240" w:lineRule="auto"/>
        <w:rPr>
          <w:b/>
          <w:bCs/>
        </w:rPr>
      </w:pPr>
      <w:r w:rsidRPr="00CF13A4">
        <w:rPr>
          <w:b/>
          <w:bCs/>
        </w:rPr>
        <w:t xml:space="preserve">1. </w:t>
      </w:r>
      <w:r w:rsidR="00955C67" w:rsidRPr="00955C67">
        <w:rPr>
          <w:b/>
          <w:bCs/>
        </w:rPr>
        <w:t>En la composición numérica de las Mesas de Negociación correspondientes a su ámbito, ninguna de las partes puede superar el número de:</w:t>
      </w:r>
    </w:p>
    <w:p w:rsidR="00955C67" w:rsidRPr="00955C67" w:rsidRDefault="00CF13A4" w:rsidP="00CF13A4">
      <w:pPr>
        <w:spacing w:after="0" w:line="240" w:lineRule="auto"/>
      </w:pPr>
      <w:r>
        <w:t xml:space="preserve">        </w:t>
      </w:r>
      <w:r w:rsidR="00955C67" w:rsidRPr="00955C67">
        <w:t>A</w:t>
      </w:r>
      <w:proofErr w:type="gramStart"/>
      <w:r w:rsidR="00955C67" w:rsidRPr="00955C67">
        <w:t>:.</w:t>
      </w:r>
      <w:proofErr w:type="gramEnd"/>
      <w:r w:rsidR="00955C67" w:rsidRPr="00955C67">
        <w:t xml:space="preserve"> Diez miembros.</w:t>
      </w:r>
    </w:p>
    <w:p w:rsidR="00955C67" w:rsidRPr="00955C67" w:rsidRDefault="00955C67" w:rsidP="00CF13A4">
      <w:pPr>
        <w:numPr>
          <w:ilvl w:val="0"/>
          <w:numId w:val="1"/>
        </w:numPr>
        <w:spacing w:after="0" w:line="240" w:lineRule="auto"/>
      </w:pPr>
      <w:r w:rsidRPr="00955C67">
        <w:t>Quince miembros.</w:t>
      </w:r>
    </w:p>
    <w:p w:rsidR="00955C67" w:rsidRPr="00955C67" w:rsidRDefault="00955C67" w:rsidP="00CF13A4">
      <w:pPr>
        <w:numPr>
          <w:ilvl w:val="0"/>
          <w:numId w:val="1"/>
        </w:numPr>
        <w:spacing w:after="0" w:line="240" w:lineRule="auto"/>
      </w:pPr>
      <w:r w:rsidRPr="00955C67">
        <w:t>Veinte miembros.</w:t>
      </w:r>
    </w:p>
    <w:p w:rsidR="00955C67" w:rsidRDefault="00955C67" w:rsidP="00CF13A4">
      <w:pPr>
        <w:numPr>
          <w:ilvl w:val="0"/>
          <w:numId w:val="1"/>
        </w:numPr>
        <w:spacing w:after="0" w:line="240" w:lineRule="auto"/>
      </w:pPr>
      <w:r w:rsidRPr="00955C67">
        <w:t>Setenta y cinco miembros.</w:t>
      </w:r>
    </w:p>
    <w:p w:rsidR="00001CCF" w:rsidRPr="00001CCF" w:rsidRDefault="00001CCF" w:rsidP="00001CCF">
      <w:pPr>
        <w:spacing w:after="0" w:line="240" w:lineRule="auto"/>
        <w:rPr>
          <w:b/>
          <w:bCs/>
          <w:color w:val="0070C0"/>
          <w:sz w:val="24"/>
          <w:szCs w:val="24"/>
        </w:rPr>
      </w:pPr>
      <w:r w:rsidRPr="00001CCF">
        <w:rPr>
          <w:b/>
          <w:bCs/>
          <w:color w:val="0070C0"/>
          <w:sz w:val="24"/>
          <w:szCs w:val="24"/>
        </w:rPr>
        <w:t>B, Art. 34.4 del EBEP, </w:t>
      </w:r>
      <w:r w:rsidRPr="00001CCF">
        <w:rPr>
          <w:b/>
          <w:bCs/>
          <w:i/>
          <w:iCs/>
          <w:color w:val="0070C0"/>
          <w:sz w:val="24"/>
          <w:szCs w:val="24"/>
        </w:rPr>
        <w:t> En las normas de desarrollo del presente Estatuto se establecerá la composición numérica de las Mesas correspondientes a sus ámbitos, sin que ninguna de las partes pueda superar el número de </w:t>
      </w:r>
      <w:r w:rsidRPr="00001CCF">
        <w:rPr>
          <w:b/>
          <w:bCs/>
          <w:i/>
          <w:iCs/>
          <w:color w:val="0070C0"/>
          <w:sz w:val="24"/>
          <w:szCs w:val="24"/>
          <w:u w:val="single"/>
        </w:rPr>
        <w:t>quince miembros.</w:t>
      </w:r>
    </w:p>
    <w:p w:rsidR="00CF13A4" w:rsidRPr="00001CCF" w:rsidRDefault="00CF13A4" w:rsidP="00CF13A4">
      <w:pPr>
        <w:spacing w:after="0" w:line="240" w:lineRule="auto"/>
        <w:rPr>
          <w:b/>
          <w:bCs/>
          <w:color w:val="0070C0"/>
          <w:sz w:val="24"/>
          <w:szCs w:val="24"/>
        </w:rPr>
      </w:pPr>
    </w:p>
    <w:p w:rsidR="00CF13A4" w:rsidRDefault="00CF13A4" w:rsidP="00CF13A4">
      <w:pPr>
        <w:spacing w:after="0" w:line="240" w:lineRule="auto"/>
      </w:pPr>
    </w:p>
    <w:p w:rsidR="00955C67" w:rsidRPr="00955C67" w:rsidRDefault="00955C67" w:rsidP="00CF13A4">
      <w:pPr>
        <w:spacing w:after="0" w:line="240" w:lineRule="auto"/>
        <w:rPr>
          <w:b/>
          <w:bCs/>
        </w:rPr>
      </w:pPr>
      <w:r w:rsidRPr="00955C67">
        <w:rPr>
          <w:b/>
          <w:bCs/>
        </w:rPr>
        <w:t>2 La reducción del riesgo de daño innecesario asociado a la atención sanitaria, hasta un mínimo</w:t>
      </w:r>
      <w:r w:rsidR="00CF13A4" w:rsidRPr="00CF13A4">
        <w:rPr>
          <w:b/>
          <w:bCs/>
        </w:rPr>
        <w:t xml:space="preserve"> </w:t>
      </w:r>
      <w:r w:rsidRPr="00955C67">
        <w:rPr>
          <w:b/>
          <w:bCs/>
        </w:rPr>
        <w:t>aceptable, teniendo en cuenta los conocimi</w:t>
      </w:r>
      <w:r w:rsidR="00CF13A4" w:rsidRPr="00CF13A4">
        <w:rPr>
          <w:b/>
          <w:bCs/>
        </w:rPr>
        <w:t>e</w:t>
      </w:r>
      <w:r w:rsidRPr="00955C67">
        <w:rPr>
          <w:b/>
          <w:bCs/>
        </w:rPr>
        <w:t xml:space="preserve">ntos del momento, los recursos disponibles y el contexto en el </w:t>
      </w:r>
      <w:r w:rsidRPr="00955C67">
        <w:rPr>
          <w:b/>
          <w:bCs/>
          <w:i/>
          <w:iCs/>
        </w:rPr>
        <w:t xml:space="preserve">que </w:t>
      </w:r>
      <w:r w:rsidRPr="00955C67">
        <w:rPr>
          <w:b/>
          <w:bCs/>
        </w:rPr>
        <w:t>se presta la atención, es definición de:</w:t>
      </w:r>
    </w:p>
    <w:p w:rsidR="00955C67" w:rsidRPr="00955C67" w:rsidRDefault="00955C67" w:rsidP="00CF13A4">
      <w:pPr>
        <w:numPr>
          <w:ilvl w:val="0"/>
          <w:numId w:val="2"/>
        </w:numPr>
        <w:spacing w:after="0" w:line="240" w:lineRule="auto"/>
      </w:pPr>
      <w:r w:rsidRPr="00955C67">
        <w:t xml:space="preserve">El incidente sin </w:t>
      </w:r>
      <w:r w:rsidR="00CF13A4">
        <w:t>dañ</w:t>
      </w:r>
      <w:r w:rsidRPr="00955C67">
        <w:t>os.</w:t>
      </w:r>
    </w:p>
    <w:p w:rsidR="00955C67" w:rsidRPr="00955C67" w:rsidRDefault="00955C67" w:rsidP="00CF13A4">
      <w:pPr>
        <w:numPr>
          <w:ilvl w:val="0"/>
          <w:numId w:val="2"/>
        </w:numPr>
        <w:spacing w:after="0" w:line="240" w:lineRule="auto"/>
      </w:pPr>
      <w:r w:rsidRPr="00955C67">
        <w:t>La seguridad del paciente.</w:t>
      </w:r>
    </w:p>
    <w:p w:rsidR="00955C67" w:rsidRPr="00955C67" w:rsidRDefault="00955C67" w:rsidP="00CF13A4">
      <w:pPr>
        <w:numPr>
          <w:ilvl w:val="0"/>
          <w:numId w:val="2"/>
        </w:numPr>
        <w:spacing w:after="0" w:line="240" w:lineRule="auto"/>
      </w:pPr>
      <w:r w:rsidRPr="00955C67">
        <w:t>La buena práctica médica.</w:t>
      </w:r>
    </w:p>
    <w:p w:rsidR="00955C67" w:rsidRPr="00955C67" w:rsidRDefault="00955C67" w:rsidP="00CF13A4">
      <w:pPr>
        <w:numPr>
          <w:ilvl w:val="0"/>
          <w:numId w:val="2"/>
        </w:numPr>
        <w:spacing w:after="0" w:line="240" w:lineRule="auto"/>
      </w:pPr>
      <w:r w:rsidRPr="00955C67">
        <w:t>La mejora continua de la calidad.</w:t>
      </w:r>
    </w:p>
    <w:p w:rsidR="00946D9D" w:rsidRPr="00946D9D" w:rsidRDefault="00946D9D" w:rsidP="00CF13A4">
      <w:pPr>
        <w:spacing w:after="0" w:line="240" w:lineRule="auto"/>
        <w:rPr>
          <w:b/>
          <w:bCs/>
          <w:color w:val="0070C0"/>
          <w:sz w:val="24"/>
          <w:szCs w:val="24"/>
        </w:rPr>
      </w:pPr>
      <w:r w:rsidRPr="00946D9D">
        <w:rPr>
          <w:b/>
          <w:bCs/>
          <w:color w:val="0070C0"/>
          <w:sz w:val="24"/>
          <w:szCs w:val="24"/>
        </w:rPr>
        <w:t>B, definición de seguridad de la OMS, tal cual en el tema</w:t>
      </w:r>
    </w:p>
    <w:p w:rsidR="00CF13A4" w:rsidRDefault="00CF13A4" w:rsidP="00CF13A4">
      <w:pPr>
        <w:spacing w:after="0" w:line="240" w:lineRule="auto"/>
      </w:pPr>
    </w:p>
    <w:p w:rsidR="00955C67" w:rsidRPr="00955C67" w:rsidRDefault="00955C67" w:rsidP="00CF13A4">
      <w:pPr>
        <w:spacing w:after="0" w:line="240" w:lineRule="auto"/>
        <w:rPr>
          <w:b/>
          <w:bCs/>
        </w:rPr>
      </w:pPr>
      <w:r w:rsidRPr="00955C67">
        <w:rPr>
          <w:b/>
          <w:bCs/>
        </w:rPr>
        <w:t>3 ¿</w:t>
      </w:r>
      <w:proofErr w:type="spellStart"/>
      <w:r w:rsidRPr="00955C67">
        <w:rPr>
          <w:b/>
          <w:bCs/>
        </w:rPr>
        <w:t>Cual</w:t>
      </w:r>
      <w:proofErr w:type="spellEnd"/>
      <w:r w:rsidRPr="00955C67">
        <w:rPr>
          <w:b/>
          <w:bCs/>
        </w:rPr>
        <w:t xml:space="preserve"> de los siguientes tipos de estudio sería el de elección para estudiar la asociación entre la aparición de una reacción adversa grave muy poco frecuente y tardía y el consumo de un determinado medicamento?</w:t>
      </w:r>
    </w:p>
    <w:p w:rsidR="00955C67" w:rsidRPr="00955C67" w:rsidRDefault="00955C67" w:rsidP="00CF13A4">
      <w:pPr>
        <w:numPr>
          <w:ilvl w:val="0"/>
          <w:numId w:val="3"/>
        </w:numPr>
        <w:spacing w:after="0" w:line="240" w:lineRule="auto"/>
      </w:pPr>
      <w:r w:rsidRPr="00955C67">
        <w:t>Estudio, de casos y controles.</w:t>
      </w:r>
    </w:p>
    <w:p w:rsidR="00955C67" w:rsidRPr="00955C67" w:rsidRDefault="00955C67" w:rsidP="00CF13A4">
      <w:pPr>
        <w:numPr>
          <w:ilvl w:val="0"/>
          <w:numId w:val="3"/>
        </w:numPr>
        <w:spacing w:after="0" w:line="240" w:lineRule="auto"/>
      </w:pPr>
      <w:r w:rsidRPr="00955C67">
        <w:t>Estudio de prevalencia.</w:t>
      </w:r>
    </w:p>
    <w:p w:rsidR="00955C67" w:rsidRPr="00955C67" w:rsidRDefault="00955C67" w:rsidP="00CF13A4">
      <w:pPr>
        <w:numPr>
          <w:ilvl w:val="0"/>
          <w:numId w:val="3"/>
        </w:numPr>
        <w:spacing w:after="0" w:line="240" w:lineRule="auto"/>
      </w:pPr>
      <w:r w:rsidRPr="00955C67">
        <w:t>Estudio ecológico.</w:t>
      </w:r>
    </w:p>
    <w:p w:rsidR="00955C67" w:rsidRDefault="00955C67" w:rsidP="004C378A">
      <w:pPr>
        <w:numPr>
          <w:ilvl w:val="0"/>
          <w:numId w:val="3"/>
        </w:numPr>
        <w:spacing w:after="0" w:line="240" w:lineRule="auto"/>
      </w:pPr>
      <w:r w:rsidRPr="00955C67">
        <w:t>Ensayo clínico con el medicamento sospechoso.</w:t>
      </w:r>
    </w:p>
    <w:p w:rsidR="004C378A" w:rsidRPr="004C378A" w:rsidRDefault="004C378A" w:rsidP="004C378A">
      <w:pPr>
        <w:pStyle w:val="NormalWeb"/>
        <w:spacing w:before="0" w:beforeAutospacing="0" w:after="0" w:afterAutospacing="0"/>
        <w:rPr>
          <w:rFonts w:asciiTheme="minorHAnsi" w:hAnsiTheme="minorHAnsi"/>
          <w:b/>
          <w:color w:val="0070C0"/>
        </w:rPr>
      </w:pPr>
      <w:r w:rsidRPr="004C378A">
        <w:rPr>
          <w:rFonts w:asciiTheme="minorHAnsi" w:hAnsiTheme="minorHAnsi"/>
          <w:b/>
          <w:color w:val="0070C0"/>
        </w:rPr>
        <w:t>A.</w:t>
      </w:r>
      <w:r>
        <w:rPr>
          <w:rFonts w:asciiTheme="minorHAnsi" w:hAnsiTheme="minorHAnsi"/>
          <w:b/>
          <w:color w:val="0070C0"/>
        </w:rPr>
        <w:t xml:space="preserve">  </w:t>
      </w:r>
      <w:r w:rsidRPr="004C378A">
        <w:rPr>
          <w:rFonts w:asciiTheme="minorHAnsi" w:hAnsiTheme="minorHAnsi"/>
          <w:b/>
          <w:color w:val="0070C0"/>
        </w:rPr>
        <w:t>Compararíamos las personas que han presentado el efecto adverso (casos), con controles obtenidos de una muestra aleatoria de la población de donde se produjeron los casos</w:t>
      </w:r>
    </w:p>
    <w:p w:rsidR="00CF13A4" w:rsidRDefault="00CF13A4" w:rsidP="00CF13A4">
      <w:pPr>
        <w:spacing w:after="0" w:line="240" w:lineRule="auto"/>
        <w:rPr>
          <w:b/>
          <w:bCs/>
        </w:rPr>
      </w:pPr>
    </w:p>
    <w:p w:rsidR="00CF13A4" w:rsidRDefault="00CF13A4" w:rsidP="00CF13A4">
      <w:pPr>
        <w:spacing w:after="0" w:line="240" w:lineRule="auto"/>
        <w:rPr>
          <w:b/>
          <w:bCs/>
        </w:rPr>
      </w:pPr>
    </w:p>
    <w:p w:rsidR="00955C67" w:rsidRPr="00955C67" w:rsidRDefault="00955C67" w:rsidP="00CF13A4">
      <w:pPr>
        <w:spacing w:after="0" w:line="240" w:lineRule="auto"/>
        <w:rPr>
          <w:b/>
          <w:bCs/>
        </w:rPr>
      </w:pPr>
      <w:r w:rsidRPr="00955C67">
        <w:rPr>
          <w:b/>
          <w:bCs/>
        </w:rPr>
        <w:t xml:space="preserve">4 Señale la respuesta INCORRECTA. Siguiendo el esquema de evaluación de la calidad de </w:t>
      </w:r>
      <w:proofErr w:type="spellStart"/>
      <w:r w:rsidRPr="00955C67">
        <w:rPr>
          <w:b/>
          <w:bCs/>
        </w:rPr>
        <w:t>Donabedian</w:t>
      </w:r>
      <w:proofErr w:type="spellEnd"/>
      <w:r w:rsidRPr="00955C67">
        <w:rPr>
          <w:b/>
          <w:bCs/>
        </w:rPr>
        <w:t>, los indicadores (y los criterios) pueden ser:</w:t>
      </w:r>
    </w:p>
    <w:p w:rsidR="00955C67" w:rsidRPr="00955C67" w:rsidRDefault="00955C67" w:rsidP="00CF13A4">
      <w:pPr>
        <w:numPr>
          <w:ilvl w:val="0"/>
          <w:numId w:val="4"/>
        </w:numPr>
        <w:spacing w:after="0" w:line="240" w:lineRule="auto"/>
      </w:pPr>
      <w:r w:rsidRPr="00955C67">
        <w:t>De estructura.</w:t>
      </w:r>
    </w:p>
    <w:p w:rsidR="00955C67" w:rsidRPr="00955C67" w:rsidRDefault="00955C67" w:rsidP="00CF13A4">
      <w:pPr>
        <w:numPr>
          <w:ilvl w:val="0"/>
          <w:numId w:val="4"/>
        </w:numPr>
        <w:spacing w:after="0" w:line="240" w:lineRule="auto"/>
      </w:pPr>
      <w:r w:rsidRPr="00955C67">
        <w:t>De proceso.</w:t>
      </w:r>
    </w:p>
    <w:p w:rsidR="00955C67" w:rsidRPr="00955C67" w:rsidRDefault="00955C67" w:rsidP="00CF13A4">
      <w:pPr>
        <w:numPr>
          <w:ilvl w:val="0"/>
          <w:numId w:val="4"/>
        </w:numPr>
        <w:spacing w:after="0" w:line="240" w:lineRule="auto"/>
      </w:pPr>
      <w:r w:rsidRPr="00955C67">
        <w:t>De resultado.</w:t>
      </w:r>
    </w:p>
    <w:p w:rsidR="00955C67" w:rsidRDefault="00955C67" w:rsidP="00CF13A4">
      <w:pPr>
        <w:numPr>
          <w:ilvl w:val="0"/>
          <w:numId w:val="4"/>
        </w:numPr>
        <w:spacing w:after="0" w:line="240" w:lineRule="auto"/>
      </w:pPr>
      <w:r w:rsidRPr="00955C67">
        <w:t>De evaluación.</w:t>
      </w:r>
    </w:p>
    <w:p w:rsidR="0035640F" w:rsidRPr="0035640F" w:rsidRDefault="0035640F" w:rsidP="0035640F">
      <w:pPr>
        <w:spacing w:after="0" w:line="240" w:lineRule="auto"/>
        <w:rPr>
          <w:b/>
          <w:bCs/>
          <w:i/>
          <w:iCs/>
          <w:color w:val="0070C0"/>
          <w:sz w:val="24"/>
          <w:szCs w:val="24"/>
        </w:rPr>
      </w:pPr>
      <w:r w:rsidRPr="0035640F">
        <w:rPr>
          <w:b/>
          <w:bCs/>
          <w:color w:val="0070C0"/>
          <w:sz w:val="24"/>
          <w:szCs w:val="24"/>
        </w:rPr>
        <w:t>Respuesta correcta: D. No ofrece lugar a dudas, tal como figura en los apuntes “</w:t>
      </w:r>
      <w:r w:rsidRPr="0035640F">
        <w:rPr>
          <w:b/>
          <w:bCs/>
          <w:i/>
          <w:iCs/>
          <w:color w:val="0070C0"/>
          <w:sz w:val="24"/>
          <w:szCs w:val="24"/>
        </w:rPr>
        <w:t xml:space="preserve">Siguiendo el esquema de evaluación de la calidad de </w:t>
      </w:r>
      <w:proofErr w:type="spellStart"/>
      <w:r w:rsidRPr="0035640F">
        <w:rPr>
          <w:b/>
          <w:bCs/>
          <w:i/>
          <w:iCs/>
          <w:color w:val="0070C0"/>
          <w:sz w:val="24"/>
          <w:szCs w:val="24"/>
        </w:rPr>
        <w:t>Donabedian</w:t>
      </w:r>
      <w:proofErr w:type="spellEnd"/>
      <w:r w:rsidRPr="0035640F">
        <w:rPr>
          <w:b/>
          <w:bCs/>
          <w:i/>
          <w:iCs/>
          <w:color w:val="0070C0"/>
          <w:sz w:val="24"/>
          <w:szCs w:val="24"/>
        </w:rPr>
        <w:t>, los indicadores (y los criterios) pueden ser de tres tipos:</w:t>
      </w:r>
    </w:p>
    <w:p w:rsidR="0035640F" w:rsidRPr="0035640F" w:rsidRDefault="0035640F" w:rsidP="0035640F">
      <w:pPr>
        <w:spacing w:after="0" w:line="240" w:lineRule="auto"/>
        <w:ind w:left="426"/>
        <w:rPr>
          <w:b/>
          <w:bCs/>
          <w:i/>
          <w:iCs/>
          <w:color w:val="0070C0"/>
          <w:sz w:val="24"/>
          <w:szCs w:val="24"/>
        </w:rPr>
      </w:pPr>
      <w:r w:rsidRPr="0035640F">
        <w:rPr>
          <w:b/>
          <w:bCs/>
          <w:i/>
          <w:iCs/>
          <w:color w:val="0070C0"/>
          <w:sz w:val="24"/>
          <w:szCs w:val="24"/>
        </w:rPr>
        <w:t>•</w:t>
      </w:r>
      <w:r w:rsidRPr="0035640F">
        <w:rPr>
          <w:b/>
          <w:bCs/>
          <w:i/>
          <w:iCs/>
          <w:color w:val="0070C0"/>
          <w:sz w:val="24"/>
          <w:szCs w:val="24"/>
        </w:rPr>
        <w:tab/>
        <w:t>Estructura: …</w:t>
      </w:r>
    </w:p>
    <w:p w:rsidR="0035640F" w:rsidRPr="0035640F" w:rsidRDefault="0035640F" w:rsidP="0035640F">
      <w:pPr>
        <w:spacing w:after="0" w:line="240" w:lineRule="auto"/>
        <w:ind w:left="426"/>
        <w:rPr>
          <w:b/>
          <w:bCs/>
          <w:i/>
          <w:iCs/>
          <w:color w:val="0070C0"/>
          <w:sz w:val="24"/>
          <w:szCs w:val="24"/>
        </w:rPr>
      </w:pPr>
      <w:r w:rsidRPr="0035640F">
        <w:rPr>
          <w:b/>
          <w:bCs/>
          <w:i/>
          <w:iCs/>
          <w:color w:val="0070C0"/>
          <w:sz w:val="24"/>
          <w:szCs w:val="24"/>
        </w:rPr>
        <w:t>•</w:t>
      </w:r>
      <w:r w:rsidRPr="0035640F">
        <w:rPr>
          <w:b/>
          <w:bCs/>
          <w:i/>
          <w:iCs/>
          <w:color w:val="0070C0"/>
          <w:sz w:val="24"/>
          <w:szCs w:val="24"/>
        </w:rPr>
        <w:tab/>
        <w:t>Proceso: …</w:t>
      </w:r>
    </w:p>
    <w:p w:rsidR="0035640F" w:rsidRPr="0035640F" w:rsidRDefault="0035640F" w:rsidP="0035640F">
      <w:pPr>
        <w:spacing w:after="0" w:line="240" w:lineRule="auto"/>
        <w:ind w:left="426"/>
        <w:rPr>
          <w:b/>
          <w:bCs/>
          <w:i/>
          <w:iCs/>
          <w:color w:val="0070C0"/>
          <w:sz w:val="24"/>
          <w:szCs w:val="24"/>
        </w:rPr>
      </w:pPr>
      <w:r w:rsidRPr="0035640F">
        <w:rPr>
          <w:b/>
          <w:bCs/>
          <w:i/>
          <w:iCs/>
          <w:color w:val="0070C0"/>
          <w:sz w:val="24"/>
          <w:szCs w:val="24"/>
        </w:rPr>
        <w:t>•</w:t>
      </w:r>
      <w:r w:rsidRPr="0035640F">
        <w:rPr>
          <w:b/>
          <w:bCs/>
          <w:i/>
          <w:iCs/>
          <w:color w:val="0070C0"/>
          <w:sz w:val="24"/>
          <w:szCs w:val="24"/>
        </w:rPr>
        <w:tab/>
        <w:t>Resultado: …”</w:t>
      </w:r>
    </w:p>
    <w:p w:rsidR="0035640F" w:rsidRPr="00955C67" w:rsidRDefault="0035640F" w:rsidP="0035640F">
      <w:pPr>
        <w:spacing w:after="0" w:line="240" w:lineRule="auto"/>
      </w:pPr>
    </w:p>
    <w:p w:rsidR="00CF13A4" w:rsidRPr="00CF13A4" w:rsidRDefault="00CF13A4" w:rsidP="00CF13A4">
      <w:pPr>
        <w:spacing w:after="0" w:line="240" w:lineRule="auto"/>
        <w:rPr>
          <w:b/>
          <w:bCs/>
        </w:rPr>
      </w:pPr>
    </w:p>
    <w:p w:rsidR="00955C67" w:rsidRPr="00955C67" w:rsidRDefault="00CF13A4" w:rsidP="00CF13A4">
      <w:pPr>
        <w:spacing w:after="0" w:line="240" w:lineRule="auto"/>
        <w:rPr>
          <w:b/>
          <w:bCs/>
        </w:rPr>
      </w:pPr>
      <w:r w:rsidRPr="00CF13A4">
        <w:rPr>
          <w:b/>
          <w:bCs/>
        </w:rPr>
        <w:t xml:space="preserve">5 </w:t>
      </w:r>
      <w:r w:rsidR="00955C67" w:rsidRPr="00955C67">
        <w:rPr>
          <w:b/>
          <w:bCs/>
        </w:rPr>
        <w:t>¿Con qué ámbito y nivel de decisión se relaciona fundamentalmente la gestión clínica?</w:t>
      </w:r>
    </w:p>
    <w:p w:rsidR="00955C67" w:rsidRPr="00955C67" w:rsidRDefault="00955C67" w:rsidP="00CF13A4">
      <w:pPr>
        <w:numPr>
          <w:ilvl w:val="0"/>
          <w:numId w:val="5"/>
        </w:numPr>
        <w:spacing w:after="0" w:line="240" w:lineRule="auto"/>
      </w:pPr>
      <w:r w:rsidRPr="00955C67">
        <w:t xml:space="preserve">La </w:t>
      </w:r>
      <w:proofErr w:type="spellStart"/>
      <w:r w:rsidRPr="00955C67">
        <w:t>macrogestión</w:t>
      </w:r>
      <w:proofErr w:type="spellEnd"/>
      <w:r w:rsidRPr="00955C67">
        <w:t xml:space="preserve"> sanitaria.</w:t>
      </w:r>
    </w:p>
    <w:p w:rsidR="00955C67" w:rsidRPr="00955C67" w:rsidRDefault="00955C67" w:rsidP="00CF13A4">
      <w:pPr>
        <w:numPr>
          <w:ilvl w:val="0"/>
          <w:numId w:val="5"/>
        </w:numPr>
        <w:spacing w:after="0" w:line="240" w:lineRule="auto"/>
      </w:pPr>
      <w:r w:rsidRPr="00955C67">
        <w:t xml:space="preserve">La </w:t>
      </w:r>
      <w:proofErr w:type="spellStart"/>
      <w:r w:rsidRPr="00955C67">
        <w:t>mesogestión</w:t>
      </w:r>
      <w:proofErr w:type="spellEnd"/>
      <w:r w:rsidRPr="00955C67">
        <w:t xml:space="preserve"> sanitaria.</w:t>
      </w:r>
    </w:p>
    <w:p w:rsidR="00955C67" w:rsidRPr="00955C67" w:rsidRDefault="00955C67" w:rsidP="00CF13A4">
      <w:pPr>
        <w:numPr>
          <w:ilvl w:val="0"/>
          <w:numId w:val="5"/>
        </w:numPr>
        <w:spacing w:after="0" w:line="240" w:lineRule="auto"/>
      </w:pPr>
      <w:r w:rsidRPr="00955C67">
        <w:t xml:space="preserve">La </w:t>
      </w:r>
      <w:proofErr w:type="spellStart"/>
      <w:r w:rsidRPr="00955C67">
        <w:t>microgestión</w:t>
      </w:r>
      <w:proofErr w:type="spellEnd"/>
      <w:r w:rsidRPr="00955C67">
        <w:t xml:space="preserve"> sanitaria.</w:t>
      </w:r>
    </w:p>
    <w:p w:rsidR="00955C67" w:rsidRDefault="00955C67" w:rsidP="00CF13A4">
      <w:pPr>
        <w:numPr>
          <w:ilvl w:val="0"/>
          <w:numId w:val="5"/>
        </w:numPr>
        <w:spacing w:after="0" w:line="240" w:lineRule="auto"/>
      </w:pPr>
      <w:r w:rsidRPr="00955C67">
        <w:t>Ninguna de las anteriores.</w:t>
      </w:r>
    </w:p>
    <w:p w:rsidR="00946D9D" w:rsidRPr="00946D9D" w:rsidRDefault="00946D9D" w:rsidP="00CF13A4">
      <w:pPr>
        <w:spacing w:after="0" w:line="240" w:lineRule="auto"/>
        <w:rPr>
          <w:b/>
          <w:bCs/>
          <w:color w:val="0070C0"/>
          <w:sz w:val="24"/>
          <w:szCs w:val="24"/>
        </w:rPr>
        <w:sectPr w:rsidR="00946D9D" w:rsidRPr="00946D9D">
          <w:pgSz w:w="11923" w:h="16824"/>
          <w:pgMar w:top="680" w:right="1013" w:bottom="599" w:left="1190" w:header="720" w:footer="720" w:gutter="0"/>
          <w:cols w:space="720"/>
          <w:noEndnote/>
        </w:sectPr>
      </w:pPr>
      <w:r w:rsidRPr="00946D9D">
        <w:rPr>
          <w:b/>
          <w:bCs/>
          <w:color w:val="0070C0"/>
          <w:sz w:val="24"/>
          <w:szCs w:val="24"/>
        </w:rPr>
        <w:t>C, muy fácil, muy insistida porque era la más preguntada</w:t>
      </w:r>
    </w:p>
    <w:p w:rsidR="00955C67" w:rsidRPr="00955C67" w:rsidRDefault="00955C67" w:rsidP="00CF13A4">
      <w:pPr>
        <w:spacing w:after="0" w:line="240" w:lineRule="auto"/>
        <w:rPr>
          <w:b/>
          <w:bCs/>
        </w:rPr>
      </w:pPr>
      <w:r w:rsidRPr="00955C67">
        <w:rPr>
          <w:b/>
          <w:bCs/>
        </w:rPr>
        <w:lastRenderedPageBreak/>
        <w:t>6 En cuanto a los principios fundamentales de la Bioética, señale la respuesta INCORRECTA:</w:t>
      </w:r>
    </w:p>
    <w:p w:rsidR="00955C67" w:rsidRPr="00955C67" w:rsidRDefault="00955C67" w:rsidP="00CF13A4">
      <w:pPr>
        <w:numPr>
          <w:ilvl w:val="0"/>
          <w:numId w:val="6"/>
        </w:numPr>
        <w:spacing w:after="0" w:line="240" w:lineRule="auto"/>
      </w:pPr>
      <w:r w:rsidRPr="00955C67">
        <w:t>El principio de autonomía hace referencias al respeto al paciente como persona.</w:t>
      </w:r>
    </w:p>
    <w:p w:rsidR="00955C67" w:rsidRPr="00955C67" w:rsidRDefault="00955C67" w:rsidP="00CF13A4">
      <w:pPr>
        <w:numPr>
          <w:ilvl w:val="0"/>
          <w:numId w:val="7"/>
        </w:numPr>
        <w:spacing w:after="0" w:line="240" w:lineRule="auto"/>
      </w:pPr>
      <w:r w:rsidRPr="00955C67">
        <w:t>El principio de beneficencia busca hacer el bien a la persona concreta en sus circunstancias particulares.</w:t>
      </w:r>
    </w:p>
    <w:p w:rsidR="00955C67" w:rsidRPr="00955C67" w:rsidRDefault="00955C67" w:rsidP="00CF13A4">
      <w:pPr>
        <w:numPr>
          <w:ilvl w:val="0"/>
          <w:numId w:val="7"/>
        </w:numPr>
        <w:spacing w:after="0" w:line="240" w:lineRule="auto"/>
      </w:pPr>
      <w:r w:rsidRPr="00955C67">
        <w:t>El principio de beneficencia es contrario a la abstención o rechazo de tratamiento.</w:t>
      </w:r>
    </w:p>
    <w:p w:rsidR="00955C67" w:rsidRDefault="00955C67" w:rsidP="00CF13A4">
      <w:pPr>
        <w:numPr>
          <w:ilvl w:val="0"/>
          <w:numId w:val="7"/>
        </w:numPr>
        <w:spacing w:after="0" w:line="240" w:lineRule="auto"/>
      </w:pPr>
      <w:r w:rsidRPr="00955C67">
        <w:t>El principio de justicia conlleva tratar a todas las personas con igual consideración y respeto, buscando la equidad.</w:t>
      </w:r>
    </w:p>
    <w:p w:rsidR="004C378A" w:rsidRPr="004C378A" w:rsidRDefault="004C378A" w:rsidP="004C378A">
      <w:pPr>
        <w:spacing w:after="0" w:line="240" w:lineRule="auto"/>
        <w:rPr>
          <w:b/>
          <w:color w:val="0070C0"/>
          <w:sz w:val="24"/>
          <w:szCs w:val="24"/>
        </w:rPr>
      </w:pPr>
      <w:r w:rsidRPr="004C378A">
        <w:rPr>
          <w:b/>
          <w:color w:val="0070C0"/>
          <w:sz w:val="24"/>
          <w:szCs w:val="24"/>
        </w:rPr>
        <w:t>C, los principios de la bioética</w:t>
      </w:r>
      <w:r>
        <w:rPr>
          <w:b/>
          <w:color w:val="0070C0"/>
          <w:sz w:val="24"/>
          <w:szCs w:val="24"/>
        </w:rPr>
        <w:t xml:space="preserve"> </w:t>
      </w:r>
      <w:r w:rsidRPr="004C378A">
        <w:rPr>
          <w:b/>
          <w:color w:val="0070C0"/>
          <w:sz w:val="24"/>
          <w:szCs w:val="24"/>
        </w:rPr>
        <w:t>se han reiterado en clase y temario</w:t>
      </w:r>
    </w:p>
    <w:p w:rsidR="00CF13A4" w:rsidRDefault="00CF13A4" w:rsidP="00CF13A4">
      <w:pPr>
        <w:spacing w:after="0" w:line="240" w:lineRule="auto"/>
        <w:rPr>
          <w:b/>
          <w:bCs/>
        </w:rPr>
      </w:pPr>
    </w:p>
    <w:p w:rsidR="00CF13A4" w:rsidRDefault="00CF13A4" w:rsidP="00CF13A4">
      <w:pPr>
        <w:spacing w:after="0" w:line="240" w:lineRule="auto"/>
        <w:rPr>
          <w:b/>
          <w:bCs/>
        </w:rPr>
      </w:pPr>
    </w:p>
    <w:p w:rsidR="00955C67" w:rsidRPr="00955C67" w:rsidRDefault="00955C67" w:rsidP="00CF13A4">
      <w:pPr>
        <w:spacing w:after="0" w:line="240" w:lineRule="auto"/>
        <w:rPr>
          <w:b/>
          <w:bCs/>
        </w:rPr>
      </w:pPr>
      <w:r w:rsidRPr="00955C67">
        <w:rPr>
          <w:b/>
          <w:bCs/>
        </w:rPr>
        <w:t>7 A los profesionales a los que ampara la Ley 9/2013, de 28 de noviembre, de Autoridad de Profesionales del Sistema Sanitario y de Servicios Sociales Públicos de Aragón, se les confiere:</w:t>
      </w:r>
    </w:p>
    <w:p w:rsidR="00955C67" w:rsidRPr="00955C67" w:rsidRDefault="00955C67" w:rsidP="00CF13A4">
      <w:pPr>
        <w:spacing w:after="0" w:line="240" w:lineRule="auto"/>
        <w:ind w:left="993" w:hanging="426"/>
      </w:pPr>
      <w:r w:rsidRPr="00955C67">
        <w:t>A: Asistencia jurídica ante cualquier órgano jurisdiccional como consecuencia del ejercicio legítimo o doloso de sus funciones o cargos públicos.</w:t>
      </w:r>
    </w:p>
    <w:p w:rsidR="00955C67" w:rsidRPr="00955C67" w:rsidRDefault="00CF13A4" w:rsidP="00CF13A4">
      <w:pPr>
        <w:spacing w:after="0" w:line="240" w:lineRule="auto"/>
        <w:ind w:left="993" w:hanging="426"/>
      </w:pPr>
      <w:r>
        <w:t>B</w:t>
      </w:r>
      <w:r w:rsidR="00955C67" w:rsidRPr="00955C67">
        <w:t>: Deber de colaboración de los profesionales con los ciudadanos, en aras de la mejora de las relaciones entre ciudadanos y profesionales, con el objeto de obtener una mejora del clima social de tolerancia para con los trabajadores que redunde en una mejora de la sociedad en general.</w:t>
      </w:r>
    </w:p>
    <w:p w:rsidR="00955C67" w:rsidRPr="00955C67" w:rsidRDefault="00955C67" w:rsidP="00CF13A4">
      <w:pPr>
        <w:numPr>
          <w:ilvl w:val="0"/>
          <w:numId w:val="8"/>
        </w:numPr>
        <w:spacing w:after="0" w:line="240" w:lineRule="auto"/>
      </w:pPr>
      <w:r w:rsidRPr="00955C67">
        <w:t>Presunción de veracidad en el ejercicio de sus funciones, pues los hechos constatados por los mencionados profesionales gozarán de la presunción de veracidad cuando se formalicen por escrito en documento que cuente con los requisitos establecidos según normativa.</w:t>
      </w:r>
    </w:p>
    <w:p w:rsidR="00955C67" w:rsidRDefault="00955C67" w:rsidP="00CF13A4">
      <w:pPr>
        <w:numPr>
          <w:ilvl w:val="0"/>
          <w:numId w:val="8"/>
        </w:numPr>
        <w:spacing w:after="0" w:line="240" w:lineRule="auto"/>
      </w:pPr>
      <w:r w:rsidRPr="00955C67">
        <w:t>Autoridad pública, conferida a todos los profesionales sanitarios determinados en los artículos 2, 3, 6 y 7 de la Ley 44/2003, de 21 de noviembre, de ordenación de las profesiones sanitarias.</w:t>
      </w:r>
    </w:p>
    <w:p w:rsidR="00001CCF" w:rsidRPr="00001CCF" w:rsidRDefault="00001CCF" w:rsidP="00001CCF">
      <w:pPr>
        <w:spacing w:after="0" w:line="240" w:lineRule="auto"/>
        <w:rPr>
          <w:b/>
          <w:bCs/>
          <w:color w:val="0070C0"/>
          <w:sz w:val="24"/>
          <w:szCs w:val="24"/>
        </w:rPr>
      </w:pPr>
      <w:r w:rsidRPr="00001CCF">
        <w:rPr>
          <w:b/>
          <w:bCs/>
          <w:color w:val="0070C0"/>
          <w:sz w:val="24"/>
          <w:szCs w:val="24"/>
        </w:rPr>
        <w:t>C. Art.7. Presunción de veracidad</w:t>
      </w:r>
      <w:r w:rsidRPr="00001CCF">
        <w:rPr>
          <w:b/>
          <w:bCs/>
          <w:i/>
          <w:iCs/>
          <w:color w:val="0070C0"/>
          <w:sz w:val="24"/>
          <w:szCs w:val="24"/>
        </w:rPr>
        <w:t>. En el ejercicio de sus funciones, los hechos constatados por los mencionados profesionales gozarán de la presunción de veracidad cuando se formalicen por escrito en documento que cuente con los requisitos establecidos según la normativa que resulte de aplicación en cada caso.</w:t>
      </w:r>
    </w:p>
    <w:p w:rsidR="00CF13A4" w:rsidRDefault="00CF13A4" w:rsidP="00CF13A4">
      <w:pPr>
        <w:spacing w:after="0" w:line="240" w:lineRule="auto"/>
        <w:rPr>
          <w:b/>
          <w:bCs/>
        </w:rPr>
      </w:pPr>
    </w:p>
    <w:p w:rsidR="00CF13A4" w:rsidRDefault="00CF13A4" w:rsidP="00CF13A4">
      <w:pPr>
        <w:spacing w:after="0" w:line="240" w:lineRule="auto"/>
        <w:rPr>
          <w:b/>
          <w:bCs/>
        </w:rPr>
      </w:pPr>
    </w:p>
    <w:p w:rsidR="00955C67" w:rsidRPr="00955C67" w:rsidRDefault="00CF13A4" w:rsidP="00CF13A4">
      <w:pPr>
        <w:spacing w:after="0" w:line="240" w:lineRule="auto"/>
        <w:rPr>
          <w:b/>
          <w:bCs/>
        </w:rPr>
      </w:pPr>
      <w:r w:rsidRPr="00CF13A4">
        <w:rPr>
          <w:b/>
          <w:bCs/>
        </w:rPr>
        <w:t xml:space="preserve">8 </w:t>
      </w:r>
      <w:r w:rsidR="00955C67" w:rsidRPr="00955C67">
        <w:rPr>
          <w:b/>
          <w:bCs/>
        </w:rPr>
        <w:t>Según</w:t>
      </w:r>
      <w:r w:rsidR="00955C67" w:rsidRPr="00955C67">
        <w:rPr>
          <w:b/>
          <w:bCs/>
          <w:vertAlign w:val="superscript"/>
        </w:rPr>
        <w:t>,</w:t>
      </w:r>
      <w:r w:rsidR="00955C67" w:rsidRPr="00955C67">
        <w:rPr>
          <w:b/>
          <w:bCs/>
        </w:rPr>
        <w:t xml:space="preserve"> la Ley Orgánica 3/2018, de 5 de diciembre, de Protección de Datos Personales y garantía de los derechos digitales, los derechos de acceso, rectificación, cancelación, oposición o cualesquiera otros que pudieran corresponderles en el contexto de la presente ley orgánica podrán ser ejercitados por los titulares de la patria potestad en nombre y representación de:</w:t>
      </w:r>
    </w:p>
    <w:p w:rsidR="00955C67" w:rsidRPr="00955C67" w:rsidRDefault="00955C67" w:rsidP="00CF13A4">
      <w:pPr>
        <w:numPr>
          <w:ilvl w:val="0"/>
          <w:numId w:val="9"/>
        </w:numPr>
        <w:spacing w:after="0" w:line="240" w:lineRule="auto"/>
      </w:pPr>
      <w:r w:rsidRPr="00955C67">
        <w:t>Los menores de 12 años.</w:t>
      </w:r>
    </w:p>
    <w:p w:rsidR="00955C67" w:rsidRPr="00955C67" w:rsidRDefault="00955C67" w:rsidP="00CF13A4">
      <w:pPr>
        <w:numPr>
          <w:ilvl w:val="0"/>
          <w:numId w:val="9"/>
        </w:numPr>
        <w:spacing w:after="0" w:line="240" w:lineRule="auto"/>
      </w:pPr>
      <w:r w:rsidRPr="00955C67">
        <w:t>Los menores de 14 años.</w:t>
      </w:r>
    </w:p>
    <w:p w:rsidR="00955C67" w:rsidRPr="00955C67" w:rsidRDefault="00955C67" w:rsidP="00CF13A4">
      <w:pPr>
        <w:numPr>
          <w:ilvl w:val="0"/>
          <w:numId w:val="9"/>
        </w:numPr>
        <w:spacing w:after="0" w:line="240" w:lineRule="auto"/>
      </w:pPr>
      <w:r w:rsidRPr="00955C67">
        <w:t>Los menores de 16 años.</w:t>
      </w:r>
    </w:p>
    <w:p w:rsidR="00955C67" w:rsidRDefault="00955C67" w:rsidP="00CF13A4">
      <w:pPr>
        <w:numPr>
          <w:ilvl w:val="0"/>
          <w:numId w:val="9"/>
        </w:numPr>
        <w:spacing w:after="0" w:line="240" w:lineRule="auto"/>
      </w:pPr>
      <w:r w:rsidRPr="00955C67">
        <w:t>Los menores de 18 años.</w:t>
      </w:r>
    </w:p>
    <w:p w:rsidR="00001CCF" w:rsidRPr="00001CCF" w:rsidRDefault="00001CCF" w:rsidP="00001CCF">
      <w:pPr>
        <w:spacing w:after="0" w:line="240" w:lineRule="auto"/>
        <w:rPr>
          <w:b/>
          <w:bCs/>
          <w:color w:val="0070C0"/>
          <w:sz w:val="24"/>
          <w:szCs w:val="24"/>
        </w:rPr>
      </w:pPr>
      <w:r w:rsidRPr="00001CCF">
        <w:rPr>
          <w:b/>
          <w:bCs/>
          <w:color w:val="0070C0"/>
          <w:sz w:val="24"/>
          <w:szCs w:val="24"/>
        </w:rPr>
        <w:t>B. Art.12.6, </w:t>
      </w:r>
      <w:r w:rsidRPr="00001CCF">
        <w:rPr>
          <w:b/>
          <w:bCs/>
          <w:i/>
          <w:iCs/>
          <w:color w:val="0070C0"/>
          <w:sz w:val="24"/>
          <w:szCs w:val="24"/>
        </w:rPr>
        <w:t>En cualquier caso, los titulares de la patria potestad podrán ejercitar en nombre y representación de los </w:t>
      </w:r>
      <w:r w:rsidRPr="00001CCF">
        <w:rPr>
          <w:b/>
          <w:bCs/>
          <w:i/>
          <w:iCs/>
          <w:color w:val="0070C0"/>
          <w:sz w:val="24"/>
          <w:szCs w:val="24"/>
          <w:u w:val="single"/>
        </w:rPr>
        <w:t>menores de catorce años</w:t>
      </w:r>
      <w:r w:rsidRPr="00001CCF">
        <w:rPr>
          <w:b/>
          <w:bCs/>
          <w:i/>
          <w:iCs/>
          <w:color w:val="0070C0"/>
          <w:sz w:val="24"/>
          <w:szCs w:val="24"/>
        </w:rPr>
        <w:t> los derechos de acceso, rectificación, cancelación, oposición o cualesquiera otros que pudieran corresponderles en el contexto de la presente ley orgánica.</w:t>
      </w:r>
    </w:p>
    <w:p w:rsidR="00CF13A4" w:rsidRDefault="00CF13A4" w:rsidP="00CF13A4">
      <w:pPr>
        <w:spacing w:after="0" w:line="240" w:lineRule="auto"/>
        <w:rPr>
          <w:b/>
          <w:bCs/>
        </w:rPr>
      </w:pPr>
    </w:p>
    <w:p w:rsidR="00CF13A4" w:rsidRDefault="00CF13A4" w:rsidP="00CF13A4">
      <w:pPr>
        <w:spacing w:after="0" w:line="240" w:lineRule="auto"/>
        <w:rPr>
          <w:b/>
          <w:bCs/>
        </w:rPr>
      </w:pPr>
    </w:p>
    <w:p w:rsidR="00001CCF" w:rsidRDefault="00001CCF" w:rsidP="00CF13A4">
      <w:pPr>
        <w:spacing w:after="0" w:line="240" w:lineRule="auto"/>
        <w:rPr>
          <w:b/>
          <w:bCs/>
        </w:rPr>
      </w:pPr>
    </w:p>
    <w:p w:rsidR="00001CCF" w:rsidRDefault="00001CCF" w:rsidP="00CF13A4">
      <w:pPr>
        <w:spacing w:after="0" w:line="240" w:lineRule="auto"/>
        <w:rPr>
          <w:b/>
          <w:bCs/>
        </w:rPr>
      </w:pPr>
    </w:p>
    <w:p w:rsidR="00001CCF" w:rsidRDefault="00001CCF" w:rsidP="00CF13A4">
      <w:pPr>
        <w:spacing w:after="0" w:line="240" w:lineRule="auto"/>
        <w:rPr>
          <w:b/>
          <w:bCs/>
        </w:rPr>
      </w:pPr>
    </w:p>
    <w:p w:rsidR="00955C67" w:rsidRPr="00955C67" w:rsidRDefault="00955C67" w:rsidP="00CF13A4">
      <w:pPr>
        <w:spacing w:after="0" w:line="240" w:lineRule="auto"/>
        <w:rPr>
          <w:b/>
          <w:bCs/>
        </w:rPr>
      </w:pPr>
      <w:r w:rsidRPr="00955C67">
        <w:rPr>
          <w:b/>
          <w:bCs/>
        </w:rPr>
        <w:lastRenderedPageBreak/>
        <w:t>9 Cuando se evalúa una prueba diagnóstica 'con un diseño de estudio retrospectivo, uno de los sesgos que pueden afectar a la validez interna del estudio es cuando a los pacientes que dan positivo en la</w:t>
      </w:r>
      <w:r w:rsidR="00CF13A4" w:rsidRPr="00CF13A4">
        <w:rPr>
          <w:b/>
          <w:bCs/>
        </w:rPr>
        <w:t xml:space="preserve"> </w:t>
      </w:r>
      <w:r w:rsidRPr="00955C67">
        <w:rPr>
          <w:b/>
          <w:bCs/>
        </w:rPr>
        <w:t>prueba de estudio se le realizan más pruebas de referencia que a los que dan negativo a la primera. ¿Cómo se denomina este sesgo?</w:t>
      </w:r>
    </w:p>
    <w:p w:rsidR="00955C67" w:rsidRPr="00955C67" w:rsidRDefault="00955C67" w:rsidP="00CF13A4">
      <w:pPr>
        <w:numPr>
          <w:ilvl w:val="0"/>
          <w:numId w:val="10"/>
        </w:numPr>
        <w:spacing w:after="0" w:line="240" w:lineRule="auto"/>
      </w:pPr>
      <w:r w:rsidRPr="00955C67">
        <w:t>Sesgo de verificación.</w:t>
      </w:r>
    </w:p>
    <w:p w:rsidR="00955C67" w:rsidRPr="00955C67" w:rsidRDefault="00955C67" w:rsidP="00CF13A4">
      <w:pPr>
        <w:numPr>
          <w:ilvl w:val="0"/>
          <w:numId w:val="10"/>
        </w:numPr>
        <w:spacing w:after="0" w:line="240" w:lineRule="auto"/>
      </w:pPr>
      <w:r w:rsidRPr="00955C67">
        <w:t>Sesgo de atrición.</w:t>
      </w:r>
    </w:p>
    <w:p w:rsidR="00955C67" w:rsidRPr="00955C67" w:rsidRDefault="00955C67" w:rsidP="00CF13A4">
      <w:pPr>
        <w:numPr>
          <w:ilvl w:val="0"/>
          <w:numId w:val="10"/>
        </w:numPr>
        <w:spacing w:after="0" w:line="240" w:lineRule="auto"/>
      </w:pPr>
      <w:r w:rsidRPr="00955C67">
        <w:t xml:space="preserve">Sesgo de </w:t>
      </w:r>
      <w:proofErr w:type="spellStart"/>
      <w:r w:rsidRPr="00955C67">
        <w:t>Berkson</w:t>
      </w:r>
      <w:proofErr w:type="spellEnd"/>
      <w:r w:rsidRPr="00955C67">
        <w:t>.</w:t>
      </w:r>
    </w:p>
    <w:p w:rsidR="00955C67" w:rsidRDefault="00955C67" w:rsidP="00CF13A4">
      <w:pPr>
        <w:numPr>
          <w:ilvl w:val="0"/>
          <w:numId w:val="10"/>
        </w:numPr>
        <w:spacing w:after="0" w:line="240" w:lineRule="auto"/>
      </w:pPr>
      <w:r w:rsidRPr="00955C67">
        <w:t>Sesgo de clasificación incorrecta diferencial de la prueba de referencia.</w:t>
      </w:r>
    </w:p>
    <w:p w:rsidR="004C378A" w:rsidRPr="004C378A" w:rsidRDefault="004C378A" w:rsidP="004C378A">
      <w:pPr>
        <w:pStyle w:val="NormalWeb"/>
        <w:spacing w:before="0" w:beforeAutospacing="0" w:after="0" w:afterAutospacing="0"/>
        <w:rPr>
          <w:rFonts w:asciiTheme="minorHAnsi" w:hAnsiTheme="minorHAnsi"/>
          <w:b/>
          <w:color w:val="0070C0"/>
        </w:rPr>
      </w:pPr>
      <w:r w:rsidRPr="004C378A">
        <w:rPr>
          <w:rFonts w:asciiTheme="minorHAnsi" w:hAnsiTheme="minorHAnsi"/>
          <w:b/>
          <w:color w:val="0070C0"/>
        </w:rPr>
        <w:t>La opción correcta es la D- El sesgo de clasificación errónea es un tipo de sesgo de información ya que la medición se hace de una forma incorrecta, en este caso haciendo más pruebas a los que dan positivo en la primera</w:t>
      </w:r>
    </w:p>
    <w:p w:rsidR="004C378A" w:rsidRPr="004C378A" w:rsidRDefault="004C378A" w:rsidP="004C378A">
      <w:pPr>
        <w:pStyle w:val="NormalWeb"/>
        <w:spacing w:before="0" w:beforeAutospacing="0" w:after="0" w:afterAutospacing="0"/>
        <w:rPr>
          <w:rFonts w:asciiTheme="minorHAnsi" w:hAnsiTheme="minorHAnsi"/>
          <w:b/>
          <w:color w:val="0070C0"/>
        </w:rPr>
      </w:pPr>
      <w:r w:rsidRPr="004C378A">
        <w:rPr>
          <w:rFonts w:asciiTheme="minorHAnsi" w:hAnsiTheme="minorHAnsi"/>
          <w:b/>
          <w:color w:val="0070C0"/>
        </w:rPr>
        <w:t>El sesgo de atrición es un sesgo por perdida de datos.</w:t>
      </w:r>
    </w:p>
    <w:p w:rsidR="004C378A" w:rsidRPr="004C378A" w:rsidRDefault="004C378A" w:rsidP="004C378A">
      <w:pPr>
        <w:pStyle w:val="NormalWeb"/>
        <w:spacing w:before="0" w:beforeAutospacing="0" w:after="0" w:afterAutospacing="0"/>
        <w:rPr>
          <w:rFonts w:asciiTheme="minorHAnsi" w:hAnsiTheme="minorHAnsi"/>
          <w:b/>
          <w:color w:val="0070C0"/>
        </w:rPr>
      </w:pPr>
      <w:r w:rsidRPr="004C378A">
        <w:rPr>
          <w:rFonts w:asciiTheme="minorHAnsi" w:hAnsiTheme="minorHAnsi"/>
          <w:b/>
          <w:color w:val="0070C0"/>
        </w:rPr>
        <w:t xml:space="preserve">El sesgo de verificación se produce al no disponer de un </w:t>
      </w:r>
      <w:proofErr w:type="spellStart"/>
      <w:r w:rsidRPr="004C378A">
        <w:rPr>
          <w:rFonts w:asciiTheme="minorHAnsi" w:hAnsiTheme="minorHAnsi"/>
          <w:b/>
          <w:color w:val="0070C0"/>
        </w:rPr>
        <w:t>gold</w:t>
      </w:r>
      <w:proofErr w:type="spellEnd"/>
      <w:r w:rsidRPr="004C378A">
        <w:rPr>
          <w:rFonts w:asciiTheme="minorHAnsi" w:hAnsiTheme="minorHAnsi"/>
          <w:b/>
          <w:color w:val="0070C0"/>
        </w:rPr>
        <w:t xml:space="preserve"> estándar y usar uno aproximado que puede hacernos clasificar mal a un paciente.</w:t>
      </w:r>
    </w:p>
    <w:p w:rsidR="004C378A" w:rsidRPr="004C378A" w:rsidRDefault="004C378A" w:rsidP="004C378A">
      <w:pPr>
        <w:pStyle w:val="NormalWeb"/>
        <w:spacing w:before="0" w:beforeAutospacing="0" w:after="0" w:afterAutospacing="0"/>
        <w:rPr>
          <w:b/>
          <w:color w:val="000000"/>
          <w:sz w:val="27"/>
          <w:szCs w:val="27"/>
        </w:rPr>
      </w:pPr>
      <w:r w:rsidRPr="004C378A">
        <w:rPr>
          <w:rFonts w:asciiTheme="minorHAnsi" w:hAnsiTheme="minorHAnsi"/>
          <w:b/>
          <w:color w:val="0070C0"/>
        </w:rPr>
        <w:t xml:space="preserve">El sesgo de </w:t>
      </w:r>
      <w:proofErr w:type="spellStart"/>
      <w:r w:rsidRPr="004C378A">
        <w:rPr>
          <w:rFonts w:asciiTheme="minorHAnsi" w:hAnsiTheme="minorHAnsi"/>
          <w:b/>
          <w:color w:val="0070C0"/>
        </w:rPr>
        <w:t>Berkson</w:t>
      </w:r>
      <w:proofErr w:type="spellEnd"/>
      <w:r w:rsidRPr="004C378A">
        <w:rPr>
          <w:rFonts w:asciiTheme="minorHAnsi" w:hAnsiTheme="minorHAnsi"/>
          <w:b/>
          <w:color w:val="0070C0"/>
        </w:rPr>
        <w:t xml:space="preserve"> es un sesgo de selección, el hecho de estar enfermo y haber estado expuesto al factor de riesgo en estudio aumenta la probabilidad de ser ingresado en un hospital, lo que da lugar a una tasa de exposición sistemáticamente más elevada entre los casos hospitalarios, en comparación con los controles, también hospitalarios</w:t>
      </w:r>
      <w:r w:rsidRPr="004C378A">
        <w:rPr>
          <w:b/>
          <w:color w:val="000000"/>
          <w:sz w:val="27"/>
          <w:szCs w:val="27"/>
        </w:rPr>
        <w:t>.</w:t>
      </w:r>
    </w:p>
    <w:p w:rsidR="004C378A" w:rsidRPr="00955C67" w:rsidRDefault="004C378A" w:rsidP="004C378A">
      <w:pPr>
        <w:spacing w:after="0" w:line="240" w:lineRule="auto"/>
      </w:pPr>
    </w:p>
    <w:p w:rsidR="00CF13A4" w:rsidRDefault="00CF13A4" w:rsidP="00CF13A4">
      <w:pPr>
        <w:spacing w:after="0" w:line="240" w:lineRule="auto"/>
        <w:rPr>
          <w:b/>
          <w:bCs/>
        </w:rPr>
      </w:pPr>
    </w:p>
    <w:p w:rsidR="00CF13A4" w:rsidRDefault="00CF13A4" w:rsidP="00CF13A4">
      <w:pPr>
        <w:spacing w:after="0" w:line="240" w:lineRule="auto"/>
        <w:rPr>
          <w:b/>
          <w:bCs/>
        </w:rPr>
      </w:pPr>
    </w:p>
    <w:p w:rsidR="00955C67" w:rsidRPr="00955C67" w:rsidRDefault="00955C67" w:rsidP="00CF13A4">
      <w:pPr>
        <w:spacing w:after="0" w:line="240" w:lineRule="auto"/>
        <w:rPr>
          <w:b/>
          <w:bCs/>
        </w:rPr>
      </w:pPr>
      <w:r w:rsidRPr="00955C67">
        <w:rPr>
          <w:b/>
          <w:bCs/>
        </w:rPr>
        <w:t>10 En la Ley 55/2003, de 16 de diciembre, del Estatuto Marco del personal estatutario de los servicios de salud, respecto al complemento específico:</w:t>
      </w:r>
    </w:p>
    <w:p w:rsidR="00955C67" w:rsidRPr="00955C67" w:rsidRDefault="00955C67" w:rsidP="00CF13A4">
      <w:pPr>
        <w:numPr>
          <w:ilvl w:val="0"/>
          <w:numId w:val="11"/>
        </w:numPr>
        <w:spacing w:after="0" w:line="240" w:lineRule="auto"/>
      </w:pPr>
      <w:r w:rsidRPr="00955C67">
        <w:t>Excepcionalmente podrá asignarse más de un complemento específico a cada puesto por una misma circunstancia.</w:t>
      </w:r>
    </w:p>
    <w:p w:rsidR="00955C67" w:rsidRPr="00955C67" w:rsidRDefault="00955C67" w:rsidP="00CF13A4">
      <w:pPr>
        <w:numPr>
          <w:ilvl w:val="0"/>
          <w:numId w:val="12"/>
        </w:numPr>
        <w:spacing w:after="0" w:line="240" w:lineRule="auto"/>
      </w:pPr>
      <w:r w:rsidRPr="00955C67">
        <w:t>En ningún caso podrá asignarse más de un complemento específico a cada puesto por una misma circunstancia.</w:t>
      </w:r>
    </w:p>
    <w:p w:rsidR="00955C67" w:rsidRPr="00955C67" w:rsidRDefault="00955C67" w:rsidP="00CF13A4">
      <w:pPr>
        <w:numPr>
          <w:ilvl w:val="0"/>
          <w:numId w:val="12"/>
        </w:numPr>
        <w:spacing w:after="0" w:line="240" w:lineRule="auto"/>
      </w:pPr>
      <w:r w:rsidRPr="00955C67">
        <w:t>Como regla general podrá asignarse más de un complemento específico a cada puesto por una misma circunstancia.</w:t>
      </w:r>
    </w:p>
    <w:p w:rsidR="00955C67" w:rsidRDefault="00955C67" w:rsidP="00CF13A4">
      <w:pPr>
        <w:numPr>
          <w:ilvl w:val="0"/>
          <w:numId w:val="12"/>
        </w:numPr>
        <w:spacing w:after="0" w:line="240" w:lineRule="auto"/>
      </w:pPr>
      <w:r w:rsidRPr="00955C67">
        <w:t>Ninguna es correcta.</w:t>
      </w:r>
    </w:p>
    <w:p w:rsidR="00001CCF" w:rsidRPr="00001CCF" w:rsidRDefault="00001CCF" w:rsidP="00001CCF">
      <w:pPr>
        <w:spacing w:after="0" w:line="240" w:lineRule="auto"/>
        <w:rPr>
          <w:b/>
          <w:bCs/>
          <w:color w:val="0070C0"/>
          <w:sz w:val="24"/>
          <w:szCs w:val="24"/>
        </w:rPr>
      </w:pPr>
      <w:r w:rsidRPr="00001CCF">
        <w:rPr>
          <w:b/>
          <w:bCs/>
          <w:color w:val="0070C0"/>
          <w:sz w:val="24"/>
          <w:szCs w:val="24"/>
        </w:rPr>
        <w:t>B. Art.43.2.b)</w:t>
      </w:r>
      <w:r w:rsidRPr="00001CCF">
        <w:rPr>
          <w:b/>
          <w:bCs/>
          <w:i/>
          <w:iCs/>
          <w:color w:val="0070C0"/>
          <w:sz w:val="24"/>
          <w:szCs w:val="24"/>
        </w:rPr>
        <w:t xml:space="preserve"> Complemento específico, destinado a retribuir las condiciones particulares de algunos puestos en atención a su especial dificultad técnica, dedicación, responsabilidad, incompatibilidad, peligrosidad o </w:t>
      </w:r>
      <w:proofErr w:type="spellStart"/>
      <w:r w:rsidRPr="00001CCF">
        <w:rPr>
          <w:b/>
          <w:bCs/>
          <w:i/>
          <w:iCs/>
          <w:color w:val="0070C0"/>
          <w:sz w:val="24"/>
          <w:szCs w:val="24"/>
        </w:rPr>
        <w:t>penosidad</w:t>
      </w:r>
      <w:proofErr w:type="spellEnd"/>
      <w:r w:rsidRPr="00001CCF">
        <w:rPr>
          <w:b/>
          <w:bCs/>
          <w:i/>
          <w:iCs/>
          <w:color w:val="0070C0"/>
          <w:sz w:val="24"/>
          <w:szCs w:val="24"/>
        </w:rPr>
        <w:t>. </w:t>
      </w:r>
      <w:r w:rsidRPr="00001CCF">
        <w:rPr>
          <w:b/>
          <w:bCs/>
          <w:i/>
          <w:iCs/>
          <w:color w:val="0070C0"/>
          <w:sz w:val="24"/>
          <w:szCs w:val="24"/>
          <w:u w:val="single"/>
        </w:rPr>
        <w:t>En ningún caso podrá asignarse más de un complemento específico a cada puesto por una misma circunstancia.</w:t>
      </w:r>
    </w:p>
    <w:p w:rsidR="00001CCF" w:rsidRPr="00955C67" w:rsidRDefault="00001CCF" w:rsidP="00001CCF">
      <w:pPr>
        <w:spacing w:after="0" w:line="240" w:lineRule="auto"/>
      </w:pPr>
    </w:p>
    <w:p w:rsidR="00223397" w:rsidRDefault="00223397" w:rsidP="00CF13A4">
      <w:pPr>
        <w:spacing w:after="0" w:line="240" w:lineRule="auto"/>
      </w:pPr>
    </w:p>
    <w:sectPr w:rsidR="00223397" w:rsidSect="00664D8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15C56"/>
    <w:multiLevelType w:val="singleLevel"/>
    <w:tmpl w:val="715769FE"/>
    <w:lvl w:ilvl="0">
      <w:start w:val="2"/>
      <w:numFmt w:val="upperLetter"/>
      <w:lvlText w:val="%1:"/>
      <w:lvlJc w:val="left"/>
      <w:pPr>
        <w:tabs>
          <w:tab w:val="num" w:pos="864"/>
        </w:tabs>
        <w:ind w:left="360"/>
      </w:pPr>
      <w:rPr>
        <w:snapToGrid/>
        <w:spacing w:val="1"/>
        <w:sz w:val="21"/>
        <w:szCs w:val="21"/>
      </w:rPr>
    </w:lvl>
  </w:abstractNum>
  <w:abstractNum w:abstractNumId="1">
    <w:nsid w:val="00F206D5"/>
    <w:multiLevelType w:val="singleLevel"/>
    <w:tmpl w:val="1B864C74"/>
    <w:lvl w:ilvl="0">
      <w:start w:val="1"/>
      <w:numFmt w:val="upperLetter"/>
      <w:lvlText w:val="%1:"/>
      <w:lvlJc w:val="left"/>
      <w:pPr>
        <w:tabs>
          <w:tab w:val="num" w:pos="936"/>
        </w:tabs>
        <w:ind w:left="1008" w:hanging="432"/>
      </w:pPr>
      <w:rPr>
        <w:rFonts w:ascii="Tahoma" w:hAnsi="Tahoma" w:cs="Tahoma"/>
        <w:snapToGrid/>
        <w:spacing w:val="3"/>
        <w:sz w:val="18"/>
        <w:szCs w:val="18"/>
      </w:rPr>
    </w:lvl>
  </w:abstractNum>
  <w:abstractNum w:abstractNumId="2">
    <w:nsid w:val="01E19338"/>
    <w:multiLevelType w:val="singleLevel"/>
    <w:tmpl w:val="3B6343E6"/>
    <w:lvl w:ilvl="0">
      <w:start w:val="1"/>
      <w:numFmt w:val="upperLetter"/>
      <w:lvlText w:val="%1:"/>
      <w:lvlJc w:val="left"/>
      <w:pPr>
        <w:tabs>
          <w:tab w:val="num" w:pos="792"/>
        </w:tabs>
        <w:ind w:left="360"/>
      </w:pPr>
      <w:rPr>
        <w:snapToGrid/>
        <w:spacing w:val="1"/>
        <w:sz w:val="21"/>
        <w:szCs w:val="21"/>
      </w:rPr>
    </w:lvl>
  </w:abstractNum>
  <w:abstractNum w:abstractNumId="3">
    <w:nsid w:val="04CECB38"/>
    <w:multiLevelType w:val="singleLevel"/>
    <w:tmpl w:val="3DA2B2B9"/>
    <w:lvl w:ilvl="0">
      <w:start w:val="3"/>
      <w:numFmt w:val="upperLetter"/>
      <w:lvlText w:val="%1:"/>
      <w:lvlJc w:val="left"/>
      <w:pPr>
        <w:tabs>
          <w:tab w:val="num" w:pos="936"/>
        </w:tabs>
        <w:ind w:left="1008" w:hanging="432"/>
      </w:pPr>
      <w:rPr>
        <w:snapToGrid/>
        <w:sz w:val="21"/>
        <w:szCs w:val="21"/>
      </w:rPr>
    </w:lvl>
  </w:abstractNum>
  <w:abstractNum w:abstractNumId="4">
    <w:nsid w:val="04E0D365"/>
    <w:multiLevelType w:val="singleLevel"/>
    <w:tmpl w:val="1EFA1192"/>
    <w:lvl w:ilvl="0">
      <w:start w:val="1"/>
      <w:numFmt w:val="upperLetter"/>
      <w:lvlText w:val="%1:"/>
      <w:lvlJc w:val="left"/>
      <w:pPr>
        <w:tabs>
          <w:tab w:val="num" w:pos="792"/>
        </w:tabs>
        <w:ind w:left="360"/>
      </w:pPr>
      <w:rPr>
        <w:snapToGrid/>
        <w:spacing w:val="2"/>
        <w:sz w:val="21"/>
        <w:szCs w:val="21"/>
      </w:rPr>
    </w:lvl>
  </w:abstractNum>
  <w:abstractNum w:abstractNumId="5">
    <w:nsid w:val="068C3F05"/>
    <w:multiLevelType w:val="singleLevel"/>
    <w:tmpl w:val="0FCA4CEA"/>
    <w:lvl w:ilvl="0">
      <w:start w:val="1"/>
      <w:numFmt w:val="upperLetter"/>
      <w:lvlText w:val="%1:"/>
      <w:lvlJc w:val="left"/>
      <w:pPr>
        <w:tabs>
          <w:tab w:val="num" w:pos="792"/>
        </w:tabs>
        <w:ind w:left="360"/>
      </w:pPr>
      <w:rPr>
        <w:snapToGrid/>
        <w:sz w:val="21"/>
        <w:szCs w:val="21"/>
      </w:rPr>
    </w:lvl>
  </w:abstractNum>
  <w:abstractNum w:abstractNumId="6">
    <w:nsid w:val="077730E2"/>
    <w:multiLevelType w:val="singleLevel"/>
    <w:tmpl w:val="19E7BE86"/>
    <w:lvl w:ilvl="0">
      <w:start w:val="1"/>
      <w:numFmt w:val="upperLetter"/>
      <w:lvlText w:val="%1:"/>
      <w:lvlJc w:val="left"/>
      <w:pPr>
        <w:tabs>
          <w:tab w:val="num" w:pos="1008"/>
        </w:tabs>
        <w:ind w:left="576"/>
      </w:pPr>
      <w:rPr>
        <w:snapToGrid/>
        <w:spacing w:val="-1"/>
        <w:sz w:val="21"/>
        <w:szCs w:val="21"/>
      </w:rPr>
    </w:lvl>
  </w:abstractNum>
  <w:abstractNum w:abstractNumId="7">
    <w:nsid w:val="079AF9C6"/>
    <w:multiLevelType w:val="singleLevel"/>
    <w:tmpl w:val="384DA9C8"/>
    <w:lvl w:ilvl="0">
      <w:start w:val="1"/>
      <w:numFmt w:val="upperLetter"/>
      <w:lvlText w:val="%1:"/>
      <w:lvlJc w:val="left"/>
      <w:pPr>
        <w:tabs>
          <w:tab w:val="num" w:pos="936"/>
        </w:tabs>
        <w:ind w:left="936" w:hanging="432"/>
      </w:pPr>
      <w:rPr>
        <w:rFonts w:ascii="Tahoma" w:hAnsi="Tahoma" w:cs="Tahoma"/>
        <w:snapToGrid/>
        <w:sz w:val="18"/>
        <w:szCs w:val="18"/>
      </w:rPr>
    </w:lvl>
  </w:abstractNum>
  <w:abstractNum w:abstractNumId="8">
    <w:nsid w:val="07CA3BFA"/>
    <w:multiLevelType w:val="singleLevel"/>
    <w:tmpl w:val="7190942E"/>
    <w:lvl w:ilvl="0">
      <w:start w:val="1"/>
      <w:numFmt w:val="upperLetter"/>
      <w:lvlText w:val="%1:"/>
      <w:lvlJc w:val="left"/>
      <w:pPr>
        <w:tabs>
          <w:tab w:val="num" w:pos="792"/>
        </w:tabs>
        <w:ind w:left="360"/>
      </w:pPr>
      <w:rPr>
        <w:snapToGrid/>
        <w:sz w:val="21"/>
        <w:szCs w:val="21"/>
      </w:rPr>
    </w:lvl>
  </w:abstractNum>
  <w:abstractNum w:abstractNumId="9">
    <w:nsid w:val="07CDE79D"/>
    <w:multiLevelType w:val="singleLevel"/>
    <w:tmpl w:val="60A0F380"/>
    <w:lvl w:ilvl="0">
      <w:start w:val="1"/>
      <w:numFmt w:val="upperLetter"/>
      <w:lvlText w:val="%1:"/>
      <w:lvlJc w:val="left"/>
      <w:pPr>
        <w:tabs>
          <w:tab w:val="num" w:pos="936"/>
        </w:tabs>
        <w:ind w:left="1008" w:hanging="432"/>
      </w:pPr>
      <w:rPr>
        <w:snapToGrid/>
        <w:sz w:val="21"/>
        <w:szCs w:val="21"/>
      </w:rPr>
    </w:lvl>
  </w:abstractNum>
  <w:num w:numId="1">
    <w:abstractNumId w:val="0"/>
  </w:num>
  <w:num w:numId="2">
    <w:abstractNumId w:val="5"/>
  </w:num>
  <w:num w:numId="3">
    <w:abstractNumId w:val="8"/>
  </w:num>
  <w:num w:numId="4">
    <w:abstractNumId w:val="4"/>
  </w:num>
  <w:num w:numId="5">
    <w:abstractNumId w:val="2"/>
  </w:num>
  <w:num w:numId="6">
    <w:abstractNumId w:val="1"/>
  </w:num>
  <w:num w:numId="7">
    <w:abstractNumId w:val="1"/>
    <w:lvlOverride w:ilvl="0">
      <w:lvl w:ilvl="0">
        <w:numFmt w:val="upperLetter"/>
        <w:lvlText w:val="%1:"/>
        <w:lvlJc w:val="left"/>
        <w:pPr>
          <w:tabs>
            <w:tab w:val="num" w:pos="936"/>
          </w:tabs>
          <w:ind w:left="1008" w:hanging="432"/>
        </w:pPr>
        <w:rPr>
          <w:snapToGrid/>
          <w:sz w:val="21"/>
          <w:szCs w:val="21"/>
        </w:rPr>
      </w:lvl>
    </w:lvlOverride>
  </w:num>
  <w:num w:numId="8">
    <w:abstractNumId w:val="3"/>
  </w:num>
  <w:num w:numId="9">
    <w:abstractNumId w:val="6"/>
  </w:num>
  <w:num w:numId="10">
    <w:abstractNumId w:val="9"/>
  </w:num>
  <w:num w:numId="11">
    <w:abstractNumId w:val="7"/>
  </w:num>
  <w:num w:numId="12">
    <w:abstractNumId w:val="7"/>
    <w:lvlOverride w:ilvl="0">
      <w:lvl w:ilvl="0">
        <w:numFmt w:val="upperLetter"/>
        <w:lvlText w:val="%1:"/>
        <w:lvlJc w:val="left"/>
        <w:pPr>
          <w:tabs>
            <w:tab w:val="num" w:pos="936"/>
          </w:tabs>
          <w:ind w:left="936" w:hanging="432"/>
        </w:pPr>
        <w:rPr>
          <w:snapToGrid/>
          <w:sz w:val="21"/>
          <w:szCs w:val="21"/>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08"/>
  <w:hyphenationZone w:val="425"/>
  <w:characterSpacingControl w:val="doNotCompress"/>
  <w:compat/>
  <w:rsids>
    <w:rsidRoot w:val="00955C67"/>
    <w:rsid w:val="00001CCF"/>
    <w:rsid w:val="00223397"/>
    <w:rsid w:val="0035640F"/>
    <w:rsid w:val="004C378A"/>
    <w:rsid w:val="00507FAE"/>
    <w:rsid w:val="00664D8C"/>
    <w:rsid w:val="00685BC7"/>
    <w:rsid w:val="00946D9D"/>
    <w:rsid w:val="00955C67"/>
    <w:rsid w:val="00B2078C"/>
    <w:rsid w:val="00CF13A4"/>
    <w:rsid w:val="00F578C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D8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F13A4"/>
    <w:pPr>
      <w:ind w:left="720"/>
      <w:contextualSpacing/>
    </w:pPr>
  </w:style>
  <w:style w:type="paragraph" w:styleId="NormalWeb">
    <w:name w:val="Normal (Web)"/>
    <w:basedOn w:val="Normal"/>
    <w:uiPriority w:val="99"/>
    <w:semiHidden/>
    <w:unhideWhenUsed/>
    <w:rsid w:val="004C378A"/>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1949121084">
      <w:bodyDiv w:val="1"/>
      <w:marLeft w:val="0"/>
      <w:marRight w:val="0"/>
      <w:marTop w:val="0"/>
      <w:marBottom w:val="0"/>
      <w:divBdr>
        <w:top w:val="none" w:sz="0" w:space="0" w:color="auto"/>
        <w:left w:val="none" w:sz="0" w:space="0" w:color="auto"/>
        <w:bottom w:val="none" w:sz="0" w:space="0" w:color="auto"/>
        <w:right w:val="none" w:sz="0" w:space="0" w:color="auto"/>
      </w:divBdr>
    </w:div>
    <w:div w:id="209292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1068</Words>
  <Characters>5880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Arracó</dc:creator>
  <cp:lastModifiedBy>Lorenzo Arracó</cp:lastModifiedBy>
  <cp:revision>4</cp:revision>
  <dcterms:created xsi:type="dcterms:W3CDTF">2021-11-05T15:41:00Z</dcterms:created>
  <dcterms:modified xsi:type="dcterms:W3CDTF">2021-11-05T15:54:00Z</dcterms:modified>
</cp:coreProperties>
</file>