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3397" w:rsidRPr="00D61A54" w:rsidRDefault="00223397" w:rsidP="00D61A54">
      <w:pPr>
        <w:spacing w:after="0" w:line="240" w:lineRule="auto"/>
        <w:rPr>
          <w:rFonts w:cstheme="minorHAnsi"/>
        </w:rPr>
      </w:pPr>
    </w:p>
    <w:p w:rsidR="00D61A54" w:rsidRPr="00D61A54" w:rsidRDefault="00D61A54" w:rsidP="00FA2B0F">
      <w:pPr>
        <w:spacing w:after="0" w:line="240" w:lineRule="auto"/>
        <w:ind w:left="567"/>
        <w:jc w:val="center"/>
        <w:rPr>
          <w:rFonts w:cstheme="minorHAnsi"/>
          <w:b/>
          <w:bCs/>
          <w:sz w:val="28"/>
          <w:szCs w:val="28"/>
        </w:rPr>
      </w:pPr>
      <w:r w:rsidRPr="00D61A54">
        <w:rPr>
          <w:rFonts w:cstheme="minorHAnsi"/>
          <w:b/>
          <w:bCs/>
          <w:sz w:val="28"/>
          <w:szCs w:val="28"/>
        </w:rPr>
        <w:t>EXAMEN FEA ALERGIA</w:t>
      </w:r>
    </w:p>
    <w:p w:rsidR="00D61A54" w:rsidRPr="00D61A54" w:rsidRDefault="00D61A54" w:rsidP="00D61A54">
      <w:pPr>
        <w:spacing w:after="0" w:line="240" w:lineRule="auto"/>
        <w:ind w:left="1701"/>
        <w:rPr>
          <w:rFonts w:cstheme="minorHAnsi"/>
        </w:rPr>
      </w:pPr>
    </w:p>
    <w:p w:rsidR="00D61A54" w:rsidRPr="00D61A54" w:rsidRDefault="00D61A54" w:rsidP="00D61A54">
      <w:pPr>
        <w:spacing w:after="0" w:line="240" w:lineRule="auto"/>
        <w:ind w:left="567"/>
        <w:rPr>
          <w:rFonts w:cstheme="minorHAnsi"/>
          <w:b/>
          <w:bCs/>
        </w:rPr>
      </w:pPr>
      <w:r w:rsidRPr="00D61A54">
        <w:rPr>
          <w:rFonts w:cstheme="minorHAnsi"/>
          <w:b/>
          <w:bCs/>
        </w:rPr>
        <w:t>1 En una distribución estadística, el percentil 50:</w:t>
      </w:r>
    </w:p>
    <w:p w:rsidR="00D61A54" w:rsidRPr="00D61A54" w:rsidRDefault="00D61A54" w:rsidP="00D61A54">
      <w:pPr>
        <w:numPr>
          <w:ilvl w:val="0"/>
          <w:numId w:val="1"/>
        </w:numPr>
        <w:spacing w:after="0" w:line="240" w:lineRule="auto"/>
        <w:ind w:left="567" w:firstLine="567"/>
        <w:rPr>
          <w:rFonts w:cstheme="minorHAnsi"/>
        </w:rPr>
      </w:pPr>
      <w:r w:rsidRPr="00D61A54">
        <w:rPr>
          <w:rFonts w:cstheme="minorHAnsi"/>
        </w:rPr>
        <w:t>Deja por debajo al 50% de la distribución</w:t>
      </w:r>
      <w:r w:rsidRPr="00D61A54">
        <w:rPr>
          <w:rFonts w:cstheme="minorHAnsi"/>
          <w:vertAlign w:val="subscript"/>
        </w:rPr>
        <w:t>;</w:t>
      </w:r>
      <w:r w:rsidRPr="00D61A54">
        <w:rPr>
          <w:rFonts w:cstheme="minorHAnsi"/>
        </w:rPr>
        <w:t xml:space="preserve"> solo en distribuciones simétricas</w:t>
      </w:r>
    </w:p>
    <w:p w:rsidR="00D61A54" w:rsidRPr="00D61A54" w:rsidRDefault="00D61A54" w:rsidP="00D61A54">
      <w:pPr>
        <w:numPr>
          <w:ilvl w:val="0"/>
          <w:numId w:val="1"/>
        </w:numPr>
        <w:spacing w:after="0" w:line="240" w:lineRule="auto"/>
        <w:ind w:left="567" w:firstLine="567"/>
        <w:rPr>
          <w:rFonts w:cstheme="minorHAnsi"/>
        </w:rPr>
      </w:pPr>
      <w:r w:rsidRPr="00D61A54">
        <w:rPr>
          <w:rFonts w:cstheme="minorHAnsi"/>
        </w:rPr>
        <w:t>Corresponde a la mediana</w:t>
      </w:r>
    </w:p>
    <w:p w:rsidR="00D61A54" w:rsidRPr="00D61A54" w:rsidRDefault="00D61A54" w:rsidP="00D61A54">
      <w:pPr>
        <w:numPr>
          <w:ilvl w:val="0"/>
          <w:numId w:val="1"/>
        </w:numPr>
        <w:spacing w:after="0" w:line="240" w:lineRule="auto"/>
        <w:ind w:left="567" w:firstLine="567"/>
        <w:rPr>
          <w:rFonts w:cstheme="minorHAnsi"/>
        </w:rPr>
      </w:pPr>
      <w:r w:rsidRPr="00D61A54">
        <w:rPr>
          <w:rFonts w:cstheme="minorHAnsi"/>
        </w:rPr>
        <w:t>Deja por encima al 50% de la distribución, solo en distribuciones continuas</w:t>
      </w:r>
    </w:p>
    <w:p w:rsidR="00D61A54" w:rsidRDefault="00D61A54" w:rsidP="00D61A54">
      <w:pPr>
        <w:numPr>
          <w:ilvl w:val="0"/>
          <w:numId w:val="1"/>
        </w:numPr>
        <w:spacing w:after="0" w:line="240" w:lineRule="auto"/>
        <w:ind w:left="567" w:firstLine="567"/>
        <w:rPr>
          <w:rFonts w:cstheme="minorHAnsi"/>
        </w:rPr>
      </w:pPr>
      <w:r w:rsidRPr="00D61A54">
        <w:rPr>
          <w:rFonts w:cstheme="minorHAnsi"/>
        </w:rPr>
        <w:t xml:space="preserve">Corresponde al tercer </w:t>
      </w:r>
      <w:proofErr w:type="spellStart"/>
      <w:r w:rsidRPr="00D61A54">
        <w:rPr>
          <w:rFonts w:cstheme="minorHAnsi"/>
        </w:rPr>
        <w:t>cuartil</w:t>
      </w:r>
      <w:proofErr w:type="spellEnd"/>
    </w:p>
    <w:p w:rsidR="003372A0" w:rsidRPr="003372A0" w:rsidRDefault="003372A0" w:rsidP="003372A0">
      <w:pPr>
        <w:spacing w:after="0" w:line="240" w:lineRule="auto"/>
        <w:ind w:left="284" w:firstLine="142"/>
        <w:rPr>
          <w:rFonts w:ascii="Calibri" w:eastAsia="Calibri" w:hAnsi="Calibri" w:cs="Calibri"/>
          <w:b/>
          <w:bCs/>
          <w:color w:val="0070C0"/>
          <w:sz w:val="24"/>
          <w:szCs w:val="24"/>
        </w:rPr>
      </w:pPr>
      <w:r w:rsidRPr="003372A0">
        <w:rPr>
          <w:rFonts w:cstheme="minorHAnsi"/>
          <w:b/>
          <w:bCs/>
          <w:color w:val="0070C0"/>
          <w:sz w:val="24"/>
          <w:szCs w:val="24"/>
        </w:rPr>
        <w:t xml:space="preserve">B. </w:t>
      </w:r>
      <w:r w:rsidRPr="003372A0">
        <w:rPr>
          <w:rFonts w:ascii="Calibri" w:eastAsia="Calibri" w:hAnsi="Calibri" w:cs="Calibri"/>
          <w:b/>
          <w:bCs/>
          <w:color w:val="0070C0"/>
          <w:sz w:val="24"/>
          <w:szCs w:val="24"/>
        </w:rPr>
        <w:t>La mediana se corresponde con el percentil 50</w:t>
      </w:r>
    </w:p>
    <w:p w:rsidR="00D61A54" w:rsidRDefault="00D61A54" w:rsidP="003372A0">
      <w:pPr>
        <w:spacing w:after="0" w:line="240" w:lineRule="auto"/>
        <w:rPr>
          <w:rFonts w:cstheme="minorHAnsi"/>
        </w:rPr>
      </w:pPr>
    </w:p>
    <w:p w:rsidR="00D61A54" w:rsidRDefault="00D61A54" w:rsidP="00D61A54">
      <w:pPr>
        <w:spacing w:after="0" w:line="240" w:lineRule="auto"/>
        <w:rPr>
          <w:rFonts w:cstheme="minorHAnsi"/>
        </w:rPr>
      </w:pPr>
    </w:p>
    <w:p w:rsidR="00D61A54" w:rsidRPr="00D61A54" w:rsidRDefault="00D61A54" w:rsidP="00D61A54">
      <w:pPr>
        <w:spacing w:after="0" w:line="240" w:lineRule="auto"/>
        <w:ind w:left="567"/>
        <w:rPr>
          <w:rFonts w:cstheme="minorHAnsi"/>
          <w:b/>
          <w:bCs/>
        </w:rPr>
      </w:pPr>
      <w:r w:rsidRPr="00D61A54">
        <w:rPr>
          <w:rFonts w:cstheme="minorHAnsi"/>
          <w:b/>
          <w:bCs/>
        </w:rPr>
        <w:t>2 De conformidad con el Estatuto de Autonomía de Aragón (Ley Orgánica 5/2007, de 20 de abril),</w:t>
      </w:r>
    </w:p>
    <w:p w:rsidR="00D61A54" w:rsidRPr="00D61A54" w:rsidRDefault="00D61A54" w:rsidP="00D61A54">
      <w:pPr>
        <w:spacing w:after="0" w:line="240" w:lineRule="auto"/>
        <w:ind w:left="567"/>
        <w:rPr>
          <w:rFonts w:cstheme="minorHAnsi"/>
          <w:b/>
          <w:bCs/>
        </w:rPr>
      </w:pPr>
      <w:r w:rsidRPr="00D61A54">
        <w:rPr>
          <w:rFonts w:cstheme="minorHAnsi"/>
          <w:b/>
          <w:bCs/>
        </w:rPr>
        <w:t xml:space="preserve">  </w:t>
      </w:r>
      <w:proofErr w:type="gramStart"/>
      <w:r w:rsidRPr="00D61A54">
        <w:rPr>
          <w:rFonts w:cstheme="minorHAnsi"/>
          <w:b/>
          <w:bCs/>
        </w:rPr>
        <w:t>corresponde</w:t>
      </w:r>
      <w:proofErr w:type="gramEnd"/>
      <w:r w:rsidRPr="00D61A54">
        <w:rPr>
          <w:rFonts w:cstheme="minorHAnsi"/>
          <w:b/>
          <w:bCs/>
        </w:rPr>
        <w:t xml:space="preserve"> a la Comunidad Autónoma de Aragón la competencia exclusiva en las siguientes materias:</w:t>
      </w:r>
    </w:p>
    <w:p w:rsidR="00D61A54" w:rsidRPr="00D61A54" w:rsidRDefault="00D61A54" w:rsidP="00D61A54">
      <w:pPr>
        <w:numPr>
          <w:ilvl w:val="0"/>
          <w:numId w:val="2"/>
        </w:numPr>
        <w:spacing w:after="0" w:line="240" w:lineRule="auto"/>
        <w:rPr>
          <w:rFonts w:cstheme="minorHAnsi"/>
        </w:rPr>
      </w:pPr>
      <w:r w:rsidRPr="00D61A54">
        <w:rPr>
          <w:rFonts w:cstheme="minorHAnsi"/>
        </w:rPr>
        <w:t>Biotecnología, Biomedicina y Genética</w:t>
      </w:r>
    </w:p>
    <w:p w:rsidR="00D61A54" w:rsidRPr="00D61A54" w:rsidRDefault="00D61A54" w:rsidP="00D61A54">
      <w:pPr>
        <w:numPr>
          <w:ilvl w:val="0"/>
          <w:numId w:val="2"/>
        </w:numPr>
        <w:spacing w:after="0" w:line="240" w:lineRule="auto"/>
        <w:rPr>
          <w:rFonts w:cstheme="minorHAnsi"/>
        </w:rPr>
      </w:pPr>
      <w:r w:rsidRPr="00D61A54">
        <w:rPr>
          <w:rFonts w:cstheme="minorHAnsi"/>
        </w:rPr>
        <w:t>Productos Farmacéuticos</w:t>
      </w:r>
    </w:p>
    <w:p w:rsidR="00D61A54" w:rsidRPr="00D61A54" w:rsidRDefault="00D61A54" w:rsidP="00D61A54">
      <w:pPr>
        <w:numPr>
          <w:ilvl w:val="0"/>
          <w:numId w:val="2"/>
        </w:numPr>
        <w:spacing w:after="0" w:line="240" w:lineRule="auto"/>
        <w:rPr>
          <w:rFonts w:cstheme="minorHAnsi"/>
        </w:rPr>
      </w:pPr>
      <w:r w:rsidRPr="00D61A54">
        <w:rPr>
          <w:rFonts w:cstheme="minorHAnsi"/>
        </w:rPr>
        <w:t>La Comunidad Autónoma de Aragón no tiene competencias exclusivas</w:t>
      </w:r>
    </w:p>
    <w:p w:rsidR="00D61A54" w:rsidRDefault="00D61A54" w:rsidP="00D61A54">
      <w:pPr>
        <w:numPr>
          <w:ilvl w:val="0"/>
          <w:numId w:val="2"/>
        </w:numPr>
        <w:spacing w:after="0" w:line="240" w:lineRule="auto"/>
        <w:rPr>
          <w:rFonts w:cstheme="minorHAnsi"/>
        </w:rPr>
      </w:pPr>
      <w:r w:rsidRPr="00D61A54">
        <w:rPr>
          <w:rFonts w:cstheme="minorHAnsi"/>
        </w:rPr>
        <w:t>La Comunidad Autónoma de Aragón sólo tiene competencias compartidas</w:t>
      </w:r>
    </w:p>
    <w:p w:rsidR="001B3502" w:rsidRPr="002F0998" w:rsidRDefault="001B3502" w:rsidP="001B3502">
      <w:pPr>
        <w:pStyle w:val="Prrafodelista"/>
        <w:numPr>
          <w:ilvl w:val="0"/>
          <w:numId w:val="14"/>
        </w:numPr>
        <w:spacing w:after="0" w:line="240" w:lineRule="auto"/>
        <w:rPr>
          <w:rFonts w:cstheme="minorHAnsi"/>
          <w:b/>
          <w:bCs/>
          <w:color w:val="0070C0"/>
          <w:sz w:val="24"/>
          <w:szCs w:val="24"/>
        </w:rPr>
      </w:pPr>
      <w:r w:rsidRPr="002F0998">
        <w:rPr>
          <w:rFonts w:cstheme="minorHAnsi"/>
          <w:b/>
          <w:bCs/>
          <w:color w:val="0070C0"/>
          <w:sz w:val="24"/>
          <w:szCs w:val="24"/>
        </w:rPr>
        <w:t xml:space="preserve">Art 71, </w:t>
      </w:r>
      <w:r w:rsidRPr="002F0998">
        <w:rPr>
          <w:rFonts w:cstheme="minorHAnsi"/>
          <w:b/>
          <w:bCs/>
          <w:i/>
          <w:iCs/>
          <w:color w:val="0070C0"/>
          <w:sz w:val="24"/>
          <w:szCs w:val="24"/>
        </w:rPr>
        <w:t>Competencias Exclusivas</w:t>
      </w:r>
      <w:r w:rsidRPr="002F0998">
        <w:rPr>
          <w:rFonts w:cstheme="minorHAnsi"/>
          <w:b/>
          <w:bCs/>
          <w:color w:val="0070C0"/>
          <w:sz w:val="24"/>
          <w:szCs w:val="24"/>
        </w:rPr>
        <w:t xml:space="preserve">, </w:t>
      </w:r>
      <w:r w:rsidR="002F0998" w:rsidRPr="002F0998">
        <w:rPr>
          <w:rFonts w:cstheme="minorHAnsi"/>
          <w:b/>
          <w:bCs/>
          <w:color w:val="0070C0"/>
          <w:sz w:val="24"/>
          <w:szCs w:val="24"/>
        </w:rPr>
        <w:t>la 42ª</w:t>
      </w:r>
      <w:r w:rsidR="002F0998">
        <w:rPr>
          <w:rFonts w:cstheme="minorHAnsi"/>
          <w:b/>
          <w:bCs/>
          <w:color w:val="0070C0"/>
          <w:sz w:val="24"/>
          <w:szCs w:val="24"/>
        </w:rPr>
        <w:t>. Sin comentarios</w:t>
      </w:r>
    </w:p>
    <w:p w:rsidR="00D61A54" w:rsidRPr="002F0998" w:rsidRDefault="00D61A54" w:rsidP="00D61A54">
      <w:pPr>
        <w:spacing w:after="0" w:line="240" w:lineRule="auto"/>
        <w:rPr>
          <w:rFonts w:cstheme="minorHAnsi"/>
          <w:b/>
          <w:bCs/>
          <w:color w:val="0070C0"/>
          <w:sz w:val="24"/>
          <w:szCs w:val="24"/>
        </w:rPr>
      </w:pPr>
    </w:p>
    <w:p w:rsidR="00D61A54" w:rsidRPr="00D61A54" w:rsidRDefault="00D61A54" w:rsidP="00D61A54">
      <w:pPr>
        <w:spacing w:after="0" w:line="240" w:lineRule="auto"/>
        <w:ind w:left="709"/>
        <w:rPr>
          <w:rFonts w:cstheme="minorHAnsi"/>
          <w:b/>
          <w:bCs/>
        </w:rPr>
      </w:pPr>
      <w:r w:rsidRPr="00D61A54">
        <w:rPr>
          <w:rFonts w:cstheme="minorHAnsi"/>
          <w:b/>
          <w:bCs/>
        </w:rPr>
        <w:t>3 La estructura central del Departamento de Sanidad dispone de los siguientes órganos directivos, EXCEPTO:</w:t>
      </w:r>
    </w:p>
    <w:p w:rsidR="00D61A54" w:rsidRPr="00D61A54" w:rsidRDefault="00D61A54" w:rsidP="00D61A54">
      <w:pPr>
        <w:numPr>
          <w:ilvl w:val="0"/>
          <w:numId w:val="3"/>
        </w:numPr>
        <w:spacing w:after="0" w:line="240" w:lineRule="auto"/>
        <w:rPr>
          <w:rFonts w:cstheme="minorHAnsi"/>
        </w:rPr>
      </w:pPr>
      <w:r w:rsidRPr="00D61A54">
        <w:rPr>
          <w:rFonts w:cstheme="minorHAnsi"/>
        </w:rPr>
        <w:t>Secretaría General Técnica</w:t>
      </w:r>
    </w:p>
    <w:p w:rsidR="00D61A54" w:rsidRPr="00D61A54" w:rsidRDefault="00D61A54" w:rsidP="00D61A54">
      <w:pPr>
        <w:numPr>
          <w:ilvl w:val="0"/>
          <w:numId w:val="3"/>
        </w:numPr>
        <w:spacing w:after="0" w:line="240" w:lineRule="auto"/>
        <w:rPr>
          <w:rFonts w:cstheme="minorHAnsi"/>
        </w:rPr>
      </w:pPr>
      <w:r w:rsidRPr="00D61A54">
        <w:rPr>
          <w:rFonts w:cstheme="minorHAnsi"/>
        </w:rPr>
        <w:t>Dirección General de Asistencia Sanitaria</w:t>
      </w:r>
    </w:p>
    <w:p w:rsidR="00D61A54" w:rsidRPr="00D61A54" w:rsidRDefault="00D61A54" w:rsidP="00D61A54">
      <w:pPr>
        <w:numPr>
          <w:ilvl w:val="0"/>
          <w:numId w:val="3"/>
        </w:numPr>
        <w:spacing w:after="0" w:line="240" w:lineRule="auto"/>
        <w:rPr>
          <w:rFonts w:cstheme="minorHAnsi"/>
        </w:rPr>
      </w:pPr>
      <w:r w:rsidRPr="00D61A54">
        <w:rPr>
          <w:rFonts w:cstheme="minorHAnsi"/>
        </w:rPr>
        <w:t>Dirección General de Personal</w:t>
      </w:r>
    </w:p>
    <w:p w:rsidR="00D61A54" w:rsidRDefault="00D61A54" w:rsidP="00D61A54">
      <w:pPr>
        <w:numPr>
          <w:ilvl w:val="0"/>
          <w:numId w:val="3"/>
        </w:numPr>
        <w:spacing w:after="0" w:line="240" w:lineRule="auto"/>
        <w:rPr>
          <w:rFonts w:cstheme="minorHAnsi"/>
        </w:rPr>
      </w:pPr>
      <w:r w:rsidRPr="00D61A54">
        <w:rPr>
          <w:rFonts w:cstheme="minorHAnsi"/>
        </w:rPr>
        <w:t>Dirección General de Salud Pública</w:t>
      </w:r>
    </w:p>
    <w:p w:rsidR="001B3502" w:rsidRPr="001B3502" w:rsidRDefault="001B3502" w:rsidP="001B3502">
      <w:pPr>
        <w:spacing w:after="0" w:line="240" w:lineRule="auto"/>
        <w:rPr>
          <w:rFonts w:cstheme="minorHAnsi"/>
          <w:b/>
          <w:bCs/>
          <w:color w:val="0070C0"/>
          <w:sz w:val="24"/>
          <w:szCs w:val="24"/>
        </w:rPr>
      </w:pPr>
      <w:r w:rsidRPr="001B3502">
        <w:rPr>
          <w:rFonts w:cstheme="minorHAnsi"/>
          <w:b/>
          <w:bCs/>
          <w:color w:val="0070C0"/>
          <w:sz w:val="24"/>
          <w:szCs w:val="24"/>
        </w:rPr>
        <w:t xml:space="preserve">      </w:t>
      </w:r>
      <w:proofErr w:type="gramStart"/>
      <w:r w:rsidRPr="001B3502">
        <w:rPr>
          <w:rFonts w:cstheme="minorHAnsi"/>
          <w:b/>
          <w:bCs/>
          <w:color w:val="0070C0"/>
          <w:sz w:val="24"/>
          <w:szCs w:val="24"/>
        </w:rPr>
        <w:t>C .</w:t>
      </w:r>
      <w:proofErr w:type="gramEnd"/>
      <w:r w:rsidRPr="001B3502">
        <w:rPr>
          <w:rFonts w:cstheme="minorHAnsi"/>
          <w:b/>
          <w:bCs/>
          <w:color w:val="0070C0"/>
          <w:sz w:val="24"/>
          <w:szCs w:val="24"/>
        </w:rPr>
        <w:t xml:space="preserve"> Decreto 122/2020, </w:t>
      </w:r>
      <w:r w:rsidRPr="001B3502">
        <w:rPr>
          <w:rFonts w:cstheme="minorHAnsi"/>
          <w:b/>
          <w:bCs/>
          <w:i/>
          <w:iCs/>
          <w:color w:val="0070C0"/>
          <w:sz w:val="24"/>
          <w:szCs w:val="24"/>
        </w:rPr>
        <w:t>Estructura</w:t>
      </w:r>
      <w:r w:rsidRPr="001B3502">
        <w:rPr>
          <w:rFonts w:cstheme="minorHAnsi"/>
          <w:b/>
          <w:bCs/>
          <w:color w:val="0070C0"/>
          <w:sz w:val="24"/>
          <w:szCs w:val="24"/>
        </w:rPr>
        <w:t>… Art. 3</w:t>
      </w:r>
      <w:r>
        <w:rPr>
          <w:rFonts w:cstheme="minorHAnsi"/>
          <w:b/>
          <w:bCs/>
          <w:color w:val="0070C0"/>
          <w:sz w:val="24"/>
          <w:szCs w:val="24"/>
        </w:rPr>
        <w:t>,</w:t>
      </w:r>
      <w:r w:rsidRPr="001B3502">
        <w:rPr>
          <w:rFonts w:cstheme="minorHAnsi"/>
          <w:b/>
          <w:bCs/>
          <w:color w:val="0070C0"/>
          <w:sz w:val="24"/>
          <w:szCs w:val="24"/>
        </w:rPr>
        <w:t xml:space="preserve"> </w:t>
      </w:r>
      <w:r w:rsidRPr="001B3502">
        <w:rPr>
          <w:rFonts w:cstheme="minorHAnsi"/>
          <w:b/>
          <w:bCs/>
          <w:i/>
          <w:iCs/>
          <w:color w:val="0070C0"/>
          <w:sz w:val="24"/>
          <w:szCs w:val="24"/>
        </w:rPr>
        <w:t>Organización</w:t>
      </w:r>
      <w:r w:rsidRPr="001B3502">
        <w:rPr>
          <w:rFonts w:cstheme="minorHAnsi"/>
          <w:b/>
          <w:bCs/>
          <w:color w:val="0070C0"/>
          <w:sz w:val="24"/>
          <w:szCs w:val="24"/>
        </w:rPr>
        <w:t>… Lo más insistido de este tema en las clases</w:t>
      </w:r>
    </w:p>
    <w:p w:rsidR="00D61A54" w:rsidRDefault="00D61A54" w:rsidP="00D61A54">
      <w:pPr>
        <w:spacing w:after="0" w:line="240" w:lineRule="auto"/>
        <w:rPr>
          <w:rFonts w:cstheme="minorHAnsi"/>
        </w:rPr>
      </w:pPr>
    </w:p>
    <w:p w:rsidR="00D61A54" w:rsidRPr="00D61A54" w:rsidRDefault="00D61A54" w:rsidP="00D61A54">
      <w:pPr>
        <w:spacing w:after="0" w:line="240" w:lineRule="auto"/>
        <w:ind w:left="567"/>
        <w:rPr>
          <w:rFonts w:cstheme="minorHAnsi"/>
          <w:b/>
          <w:bCs/>
        </w:rPr>
      </w:pPr>
      <w:r w:rsidRPr="00D61A54">
        <w:rPr>
          <w:rFonts w:cstheme="minorHAnsi"/>
          <w:b/>
          <w:bCs/>
        </w:rPr>
        <w:t>4 El tratamiento de los datos personales de un menor de edad, únicamente podrá fundamentarse en su consentimiento cuando sea mayor de:</w:t>
      </w:r>
    </w:p>
    <w:p w:rsidR="00D61A54" w:rsidRPr="00D61A54" w:rsidRDefault="00D61A54" w:rsidP="00D61A54">
      <w:pPr>
        <w:numPr>
          <w:ilvl w:val="0"/>
          <w:numId w:val="4"/>
        </w:numPr>
        <w:spacing w:after="0" w:line="240" w:lineRule="auto"/>
        <w:rPr>
          <w:rFonts w:cstheme="minorHAnsi"/>
        </w:rPr>
      </w:pPr>
      <w:r w:rsidRPr="00D61A54">
        <w:rPr>
          <w:rFonts w:cstheme="minorHAnsi"/>
        </w:rPr>
        <w:t>14 años</w:t>
      </w:r>
    </w:p>
    <w:p w:rsidR="00D61A54" w:rsidRPr="00D61A54" w:rsidRDefault="00D61A54" w:rsidP="00D61A54">
      <w:pPr>
        <w:numPr>
          <w:ilvl w:val="0"/>
          <w:numId w:val="4"/>
        </w:numPr>
        <w:spacing w:after="0" w:line="240" w:lineRule="auto"/>
        <w:rPr>
          <w:rFonts w:cstheme="minorHAnsi"/>
        </w:rPr>
      </w:pPr>
      <w:r w:rsidRPr="00D61A54">
        <w:rPr>
          <w:rFonts w:cstheme="minorHAnsi"/>
        </w:rPr>
        <w:t>15 años</w:t>
      </w:r>
    </w:p>
    <w:p w:rsidR="00D61A54" w:rsidRPr="00D61A54" w:rsidRDefault="00D61A54" w:rsidP="00D61A54">
      <w:pPr>
        <w:numPr>
          <w:ilvl w:val="0"/>
          <w:numId w:val="5"/>
        </w:numPr>
        <w:spacing w:after="0" w:line="240" w:lineRule="auto"/>
        <w:rPr>
          <w:rFonts w:cstheme="minorHAnsi"/>
        </w:rPr>
      </w:pPr>
      <w:r w:rsidRPr="00D61A54">
        <w:rPr>
          <w:rFonts w:cstheme="minorHAnsi"/>
        </w:rPr>
        <w:t>16 a</w:t>
      </w:r>
      <w:r w:rsidR="001B3502">
        <w:rPr>
          <w:rFonts w:cstheme="minorHAnsi"/>
        </w:rPr>
        <w:t>ñ</w:t>
      </w:r>
      <w:r w:rsidRPr="00D61A54">
        <w:rPr>
          <w:rFonts w:cstheme="minorHAnsi"/>
        </w:rPr>
        <w:t>os</w:t>
      </w:r>
    </w:p>
    <w:p w:rsidR="001B3502" w:rsidRDefault="00D61A54" w:rsidP="001B3502">
      <w:pPr>
        <w:numPr>
          <w:ilvl w:val="0"/>
          <w:numId w:val="4"/>
        </w:numPr>
        <w:spacing w:after="0" w:line="240" w:lineRule="auto"/>
        <w:rPr>
          <w:rFonts w:cstheme="minorHAnsi"/>
        </w:rPr>
      </w:pPr>
      <w:r w:rsidRPr="00D61A54">
        <w:rPr>
          <w:rFonts w:cstheme="minorHAnsi"/>
        </w:rPr>
        <w:t>Nunca podrá fundamentarse en su consentimiento</w:t>
      </w:r>
    </w:p>
    <w:p w:rsidR="001B3502" w:rsidRPr="001B3502" w:rsidRDefault="001B3502" w:rsidP="001B3502">
      <w:pPr>
        <w:pStyle w:val="Prrafodelista"/>
        <w:numPr>
          <w:ilvl w:val="0"/>
          <w:numId w:val="13"/>
        </w:numPr>
        <w:spacing w:after="0" w:line="240" w:lineRule="auto"/>
        <w:rPr>
          <w:rFonts w:cstheme="minorHAnsi"/>
          <w:b/>
          <w:bCs/>
          <w:color w:val="0070C0"/>
          <w:sz w:val="24"/>
          <w:szCs w:val="24"/>
        </w:rPr>
      </w:pPr>
      <w:r w:rsidRPr="001B3502">
        <w:rPr>
          <w:rFonts w:cstheme="minorHAnsi"/>
          <w:b/>
          <w:bCs/>
          <w:color w:val="0070C0"/>
          <w:sz w:val="24"/>
          <w:szCs w:val="24"/>
        </w:rPr>
        <w:t>Art 7.1 de la Ley, C</w:t>
      </w:r>
      <w:r w:rsidRPr="001B3502">
        <w:rPr>
          <w:rFonts w:cstheme="minorHAnsi"/>
          <w:b/>
          <w:bCs/>
          <w:i/>
          <w:iCs/>
          <w:color w:val="0070C0"/>
          <w:sz w:val="24"/>
          <w:szCs w:val="24"/>
        </w:rPr>
        <w:t>onsentimiento de los menores de edad. 1. El tratamiento de los datos personales de un menor de edad únicamente podrá fundarse en su consentimiento cuando sea mayor de catorce años.</w:t>
      </w:r>
    </w:p>
    <w:p w:rsidR="00D61A54" w:rsidRDefault="00D61A54" w:rsidP="00D61A54">
      <w:pPr>
        <w:spacing w:after="0" w:line="240" w:lineRule="auto"/>
        <w:rPr>
          <w:rFonts w:cstheme="minorHAnsi"/>
          <w:b/>
          <w:bCs/>
        </w:rPr>
      </w:pPr>
    </w:p>
    <w:p w:rsidR="00D61A54" w:rsidRPr="00D61A54" w:rsidRDefault="00D61A54" w:rsidP="00D61A54">
      <w:pPr>
        <w:spacing w:after="0" w:line="240" w:lineRule="auto"/>
        <w:ind w:left="567"/>
        <w:rPr>
          <w:rFonts w:cstheme="minorHAnsi"/>
          <w:b/>
          <w:bCs/>
        </w:rPr>
      </w:pPr>
      <w:r w:rsidRPr="00D61A54">
        <w:rPr>
          <w:rFonts w:cstheme="minorHAnsi"/>
          <w:b/>
          <w:bCs/>
        </w:rPr>
        <w:t>5 La afirmación "el máximo de efectividad al mínimo coste'', es la definición de:</w:t>
      </w:r>
    </w:p>
    <w:p w:rsidR="00D61A54" w:rsidRPr="00D61A54" w:rsidRDefault="00D61A54" w:rsidP="00D61A54">
      <w:pPr>
        <w:numPr>
          <w:ilvl w:val="0"/>
          <w:numId w:val="6"/>
        </w:numPr>
        <w:spacing w:after="0" w:line="240" w:lineRule="auto"/>
        <w:rPr>
          <w:rFonts w:cstheme="minorHAnsi"/>
        </w:rPr>
      </w:pPr>
      <w:r w:rsidRPr="00D61A54">
        <w:rPr>
          <w:rFonts w:cstheme="minorHAnsi"/>
        </w:rPr>
        <w:t>Efectividad</w:t>
      </w:r>
    </w:p>
    <w:p w:rsidR="00D61A54" w:rsidRPr="00D61A54" w:rsidRDefault="00D61A54" w:rsidP="00D61A54">
      <w:pPr>
        <w:numPr>
          <w:ilvl w:val="0"/>
          <w:numId w:val="6"/>
        </w:numPr>
        <w:spacing w:after="0" w:line="240" w:lineRule="auto"/>
        <w:rPr>
          <w:rFonts w:cstheme="minorHAnsi"/>
        </w:rPr>
      </w:pPr>
      <w:r w:rsidRPr="00D61A54">
        <w:rPr>
          <w:rFonts w:cstheme="minorHAnsi"/>
        </w:rPr>
        <w:t>Eficiencia</w:t>
      </w:r>
    </w:p>
    <w:p w:rsidR="00D61A54" w:rsidRPr="00D61A54" w:rsidRDefault="00D61A54" w:rsidP="00D61A54">
      <w:pPr>
        <w:numPr>
          <w:ilvl w:val="0"/>
          <w:numId w:val="6"/>
        </w:numPr>
        <w:spacing w:after="0" w:line="240" w:lineRule="auto"/>
        <w:rPr>
          <w:rFonts w:cstheme="minorHAnsi"/>
        </w:rPr>
      </w:pPr>
      <w:r w:rsidRPr="00D61A54">
        <w:rPr>
          <w:rFonts w:cstheme="minorHAnsi"/>
        </w:rPr>
        <w:t>Accesibilidad</w:t>
      </w:r>
    </w:p>
    <w:p w:rsidR="00D61A54" w:rsidRDefault="00D61A54" w:rsidP="00D61A54">
      <w:pPr>
        <w:numPr>
          <w:ilvl w:val="0"/>
          <w:numId w:val="6"/>
        </w:numPr>
        <w:spacing w:after="0" w:line="240" w:lineRule="auto"/>
        <w:rPr>
          <w:rFonts w:cstheme="minorHAnsi"/>
        </w:rPr>
      </w:pPr>
      <w:r w:rsidRPr="00D61A54">
        <w:rPr>
          <w:rFonts w:cstheme="minorHAnsi"/>
        </w:rPr>
        <w:t>Seguridad</w:t>
      </w:r>
    </w:p>
    <w:p w:rsidR="00454359" w:rsidRPr="00454359" w:rsidRDefault="00454359" w:rsidP="00454359">
      <w:pPr>
        <w:pStyle w:val="NormalWeb"/>
        <w:shd w:val="clear" w:color="auto" w:fill="FFFFFF"/>
        <w:spacing w:before="0" w:beforeAutospacing="0" w:after="0" w:afterAutospacing="0"/>
        <w:ind w:left="426"/>
        <w:rPr>
          <w:rFonts w:ascii="Calibri" w:hAnsi="Calibri" w:cs="Calibri"/>
          <w:b/>
          <w:bCs/>
          <w:color w:val="0070C0"/>
        </w:rPr>
      </w:pPr>
      <w:bookmarkStart w:id="0" w:name="_Hlk86397523"/>
      <w:r w:rsidRPr="00454359">
        <w:rPr>
          <w:rFonts w:ascii="Calibri" w:hAnsi="Calibri" w:cs="Calibri"/>
          <w:b/>
          <w:bCs/>
          <w:color w:val="0070C0"/>
        </w:rPr>
        <w:t>B, ya que es una posible definición de Eficiencia. En esta se relaciona los efectos de un servicio con los costes, se identifica con la provisión de un determinado nivel de calidad al menor coste posible… Los efectos de un servicio son la efectividad y si se realiza en relación a un coste se habla de eficiencia. Puede surgir una duda al hablar de “máximo” de efectividad al “mínimo” coste ya que la inclusión de estos juicios de valor parece más un objetivo que una definición en sí misma.</w:t>
      </w:r>
    </w:p>
    <w:p w:rsidR="00454359" w:rsidRPr="00454359" w:rsidRDefault="00454359" w:rsidP="00454359">
      <w:pPr>
        <w:pStyle w:val="NormalWeb"/>
        <w:shd w:val="clear" w:color="auto" w:fill="FFFFFF"/>
        <w:spacing w:before="0" w:beforeAutospacing="0" w:after="0" w:afterAutospacing="0"/>
        <w:ind w:left="426"/>
        <w:rPr>
          <w:rFonts w:ascii="Calibri" w:hAnsi="Calibri" w:cs="Calibri"/>
          <w:b/>
          <w:bCs/>
          <w:color w:val="0070C0"/>
        </w:rPr>
      </w:pPr>
      <w:r w:rsidRPr="00454359">
        <w:rPr>
          <w:rFonts w:ascii="Calibri" w:hAnsi="Calibri" w:cs="Calibri"/>
          <w:b/>
          <w:bCs/>
          <w:color w:val="0070C0"/>
        </w:rPr>
        <w:t>Resto respuestas:</w:t>
      </w:r>
    </w:p>
    <w:p w:rsidR="00454359" w:rsidRPr="00454359" w:rsidRDefault="00454359" w:rsidP="00454359">
      <w:pPr>
        <w:pStyle w:val="NormalWeb"/>
        <w:shd w:val="clear" w:color="auto" w:fill="FFFFFF"/>
        <w:spacing w:before="0" w:beforeAutospacing="0" w:after="0" w:afterAutospacing="0"/>
        <w:ind w:left="426"/>
        <w:rPr>
          <w:rFonts w:ascii="Calibri" w:hAnsi="Calibri" w:cs="Calibri"/>
          <w:b/>
          <w:bCs/>
          <w:color w:val="0070C0"/>
        </w:rPr>
      </w:pPr>
      <w:r w:rsidRPr="00454359">
        <w:rPr>
          <w:rFonts w:ascii="Calibri" w:hAnsi="Calibri" w:cs="Calibri"/>
          <w:b/>
          <w:bCs/>
          <w:color w:val="0070C0"/>
        </w:rPr>
        <w:t>Efectividad (A): grado en que la práctica asistencial produce una mejora del nivel de salud no se relaciona con los costes</w:t>
      </w:r>
    </w:p>
    <w:p w:rsidR="00454359" w:rsidRPr="00454359" w:rsidRDefault="00454359" w:rsidP="00454359">
      <w:pPr>
        <w:pStyle w:val="NormalWeb"/>
        <w:shd w:val="clear" w:color="auto" w:fill="FFFFFF"/>
        <w:spacing w:before="0" w:beforeAutospacing="0" w:after="0" w:afterAutospacing="0"/>
        <w:ind w:left="426"/>
        <w:rPr>
          <w:rFonts w:ascii="Calibri" w:hAnsi="Calibri" w:cs="Calibri"/>
          <w:b/>
          <w:bCs/>
          <w:color w:val="0070C0"/>
        </w:rPr>
      </w:pPr>
      <w:r w:rsidRPr="00454359">
        <w:rPr>
          <w:rFonts w:ascii="Calibri" w:hAnsi="Calibri" w:cs="Calibri"/>
          <w:b/>
          <w:bCs/>
          <w:color w:val="0070C0"/>
        </w:rPr>
        <w:t>Accesibilidad (C): Facilidad con que se obtienen los cuidados médicos en cualquier momento a pesar de las posibles barreras</w:t>
      </w:r>
    </w:p>
    <w:p w:rsidR="00454359" w:rsidRPr="00454359" w:rsidRDefault="00454359" w:rsidP="00454359">
      <w:pPr>
        <w:pStyle w:val="NormalWeb"/>
        <w:shd w:val="clear" w:color="auto" w:fill="FFFFFF"/>
        <w:spacing w:before="0" w:beforeAutospacing="0" w:after="0" w:afterAutospacing="0"/>
        <w:ind w:left="426"/>
        <w:rPr>
          <w:rFonts w:ascii="Calibri" w:hAnsi="Calibri" w:cs="Calibri"/>
          <w:b/>
          <w:bCs/>
          <w:color w:val="0070C0"/>
        </w:rPr>
      </w:pPr>
      <w:r w:rsidRPr="00454359">
        <w:rPr>
          <w:rFonts w:ascii="Calibri" w:hAnsi="Calibri" w:cs="Calibri"/>
          <w:b/>
          <w:bCs/>
          <w:color w:val="0070C0"/>
        </w:rPr>
        <w:t>Seguridad (D): medida en la que se evita lesionar a las personas a las que dispensen atención</w:t>
      </w:r>
    </w:p>
    <w:p w:rsidR="00454359" w:rsidRPr="00113814" w:rsidRDefault="00454359" w:rsidP="00454359">
      <w:pPr>
        <w:pStyle w:val="Prrafodelista"/>
        <w:spacing w:after="0" w:line="240" w:lineRule="auto"/>
        <w:rPr>
          <w:rFonts w:cstheme="minorHAnsi"/>
          <w:b/>
          <w:bCs/>
          <w:color w:val="0070C0"/>
          <w:sz w:val="24"/>
          <w:szCs w:val="24"/>
        </w:rPr>
      </w:pPr>
    </w:p>
    <w:bookmarkEnd w:id="0"/>
    <w:p w:rsidR="00D61A54" w:rsidRDefault="00D61A54" w:rsidP="00D61A54">
      <w:pPr>
        <w:spacing w:after="0" w:line="240" w:lineRule="auto"/>
        <w:rPr>
          <w:rFonts w:cstheme="minorHAnsi"/>
        </w:rPr>
      </w:pPr>
    </w:p>
    <w:p w:rsidR="00D61A54" w:rsidRDefault="00D61A54" w:rsidP="00D61A54">
      <w:pPr>
        <w:spacing w:after="0" w:line="240" w:lineRule="auto"/>
        <w:rPr>
          <w:rFonts w:cstheme="minorHAnsi"/>
        </w:rPr>
      </w:pPr>
    </w:p>
    <w:p w:rsidR="00454359" w:rsidRDefault="00454359" w:rsidP="00D61A54">
      <w:pPr>
        <w:spacing w:after="0" w:line="240" w:lineRule="auto"/>
        <w:ind w:left="567"/>
        <w:rPr>
          <w:rFonts w:cstheme="minorHAnsi"/>
          <w:b/>
          <w:bCs/>
        </w:rPr>
      </w:pPr>
    </w:p>
    <w:p w:rsidR="00454359" w:rsidRDefault="00454359" w:rsidP="00D61A54">
      <w:pPr>
        <w:spacing w:after="0" w:line="240" w:lineRule="auto"/>
        <w:ind w:left="567"/>
        <w:rPr>
          <w:rFonts w:cstheme="minorHAnsi"/>
          <w:b/>
          <w:bCs/>
        </w:rPr>
      </w:pPr>
    </w:p>
    <w:p w:rsidR="00D61A54" w:rsidRPr="00D61A54" w:rsidRDefault="00D61A54" w:rsidP="00D61A54">
      <w:pPr>
        <w:spacing w:after="0" w:line="240" w:lineRule="auto"/>
        <w:ind w:left="567"/>
        <w:rPr>
          <w:rFonts w:cstheme="minorHAnsi"/>
          <w:b/>
          <w:bCs/>
        </w:rPr>
      </w:pPr>
      <w:r w:rsidRPr="00D61A54">
        <w:rPr>
          <w:rFonts w:cstheme="minorHAnsi"/>
          <w:b/>
          <w:bCs/>
        </w:rPr>
        <w:lastRenderedPageBreak/>
        <w:t>6 Según la Ley 41/2002, de 14 de noviembre, básica reguladora de la autonomía del paciente y de derechos y obligaciones en materia de información y documentación clínica, "el conjunto organizado de profesionales, instalaciones y medios técnicos que realiza actividades y presta servicios para cuidar la salud de los pacientes y usuarios" es la definición de:</w:t>
      </w:r>
    </w:p>
    <w:p w:rsidR="00D61A54" w:rsidRDefault="00D61A54" w:rsidP="00D61A54">
      <w:pPr>
        <w:spacing w:after="0" w:line="240" w:lineRule="auto"/>
        <w:rPr>
          <w:rFonts w:cstheme="minorHAnsi"/>
        </w:rPr>
      </w:pPr>
      <w:r>
        <w:rPr>
          <w:rFonts w:cstheme="minorHAnsi"/>
        </w:rPr>
        <w:tab/>
        <w:t xml:space="preserve">         </w:t>
      </w:r>
      <w:r w:rsidRPr="00D61A54">
        <w:rPr>
          <w:rFonts w:cstheme="minorHAnsi"/>
        </w:rPr>
        <w:t>A: Consentimiento informado</w:t>
      </w:r>
    </w:p>
    <w:p w:rsidR="00D61A54" w:rsidRPr="00D61A54" w:rsidRDefault="00D61A54" w:rsidP="00D61A54">
      <w:pPr>
        <w:numPr>
          <w:ilvl w:val="0"/>
          <w:numId w:val="7"/>
        </w:numPr>
        <w:spacing w:after="0" w:line="240" w:lineRule="auto"/>
        <w:rPr>
          <w:rFonts w:cstheme="minorHAnsi"/>
        </w:rPr>
      </w:pPr>
      <w:r w:rsidRPr="00D61A54">
        <w:rPr>
          <w:rFonts w:cstheme="minorHAnsi"/>
        </w:rPr>
        <w:t>Centro Sanitario</w:t>
      </w:r>
    </w:p>
    <w:p w:rsidR="00D61A54" w:rsidRPr="00D61A54" w:rsidRDefault="00D61A54" w:rsidP="00D61A54">
      <w:pPr>
        <w:numPr>
          <w:ilvl w:val="0"/>
          <w:numId w:val="7"/>
        </w:numPr>
        <w:spacing w:after="0" w:line="240" w:lineRule="auto"/>
        <w:rPr>
          <w:rFonts w:cstheme="minorHAnsi"/>
        </w:rPr>
      </w:pPr>
      <w:r w:rsidRPr="00D61A54">
        <w:rPr>
          <w:rFonts w:cstheme="minorHAnsi"/>
        </w:rPr>
        <w:t>Alta médica</w:t>
      </w:r>
    </w:p>
    <w:p w:rsidR="00D61A54" w:rsidRDefault="00D61A54" w:rsidP="00D61A54">
      <w:pPr>
        <w:numPr>
          <w:ilvl w:val="0"/>
          <w:numId w:val="7"/>
        </w:numPr>
        <w:spacing w:after="0" w:line="240" w:lineRule="auto"/>
        <w:rPr>
          <w:rFonts w:cstheme="minorHAnsi"/>
        </w:rPr>
      </w:pPr>
      <w:r w:rsidRPr="00D61A54">
        <w:rPr>
          <w:rFonts w:cstheme="minorHAnsi"/>
        </w:rPr>
        <w:t>Certificado médico</w:t>
      </w:r>
    </w:p>
    <w:p w:rsidR="001B3502" w:rsidRPr="001B3502" w:rsidRDefault="001B3502" w:rsidP="002F0998">
      <w:pPr>
        <w:spacing w:after="0" w:line="240" w:lineRule="auto"/>
        <w:ind w:left="426"/>
        <w:rPr>
          <w:rFonts w:cstheme="minorHAnsi"/>
          <w:b/>
          <w:bCs/>
          <w:color w:val="0070C0"/>
          <w:sz w:val="24"/>
          <w:szCs w:val="24"/>
        </w:rPr>
      </w:pPr>
      <w:r w:rsidRPr="001B3502">
        <w:rPr>
          <w:rFonts w:cstheme="minorHAnsi"/>
          <w:b/>
          <w:bCs/>
          <w:color w:val="0070C0"/>
          <w:sz w:val="24"/>
          <w:szCs w:val="24"/>
        </w:rPr>
        <w:t>B. Art.3 de la Ley, </w:t>
      </w:r>
      <w:r w:rsidRPr="001B3502">
        <w:rPr>
          <w:rFonts w:cstheme="minorHAnsi"/>
          <w:b/>
          <w:bCs/>
          <w:i/>
          <w:iCs/>
          <w:color w:val="0070C0"/>
          <w:sz w:val="24"/>
          <w:szCs w:val="24"/>
        </w:rPr>
        <w:t>Las definiciones legales. A efectos de esta Ley se entiende por: Centro sanitario: el conjunto organizado de profesionales, instalaciones y medios técnicos que realiza actividades y presta servicios para cuidar la salud de los pacientes y usuarios</w:t>
      </w:r>
    </w:p>
    <w:p w:rsidR="00D61A54" w:rsidRPr="00D61A54" w:rsidRDefault="00D61A54" w:rsidP="00D61A54">
      <w:pPr>
        <w:spacing w:after="0" w:line="240" w:lineRule="auto"/>
        <w:rPr>
          <w:rFonts w:cstheme="minorHAnsi"/>
        </w:rPr>
      </w:pPr>
    </w:p>
    <w:p w:rsidR="00D61A54" w:rsidRDefault="00D61A54" w:rsidP="00D61A54">
      <w:pPr>
        <w:spacing w:after="0" w:line="240" w:lineRule="auto"/>
        <w:rPr>
          <w:rFonts w:cstheme="minorHAnsi"/>
        </w:rPr>
      </w:pPr>
    </w:p>
    <w:p w:rsidR="003372A0" w:rsidRDefault="003372A0" w:rsidP="00D61A54">
      <w:pPr>
        <w:spacing w:after="0" w:line="240" w:lineRule="auto"/>
        <w:rPr>
          <w:rFonts w:cstheme="minorHAnsi"/>
        </w:rPr>
      </w:pPr>
    </w:p>
    <w:p w:rsidR="003372A0" w:rsidRPr="003372A0" w:rsidRDefault="003372A0" w:rsidP="003372A0">
      <w:pPr>
        <w:spacing w:after="0" w:line="240" w:lineRule="auto"/>
        <w:ind w:left="567"/>
        <w:rPr>
          <w:rFonts w:cstheme="minorHAnsi"/>
          <w:b/>
          <w:bCs/>
        </w:rPr>
      </w:pPr>
      <w:r w:rsidRPr="003372A0">
        <w:rPr>
          <w:rFonts w:cstheme="minorHAnsi"/>
          <w:b/>
          <w:bCs/>
        </w:rPr>
        <w:t>7 Según la Ley del Estatuto Básico del Empleado Público, los empleados públicos deberán desempeñar con diligencia las tareas que tengan asignadas, velar por los intereses generales y deberán actuar con arreglo a los siguientes principios éticos:</w:t>
      </w:r>
    </w:p>
    <w:p w:rsidR="003372A0" w:rsidRPr="003372A0" w:rsidRDefault="003372A0" w:rsidP="003372A0">
      <w:pPr>
        <w:numPr>
          <w:ilvl w:val="0"/>
          <w:numId w:val="8"/>
        </w:numPr>
        <w:spacing w:after="0" w:line="240" w:lineRule="auto"/>
        <w:ind w:left="1418"/>
        <w:rPr>
          <w:rFonts w:cstheme="minorHAnsi"/>
        </w:rPr>
      </w:pPr>
      <w:r w:rsidRPr="003372A0">
        <w:rPr>
          <w:rFonts w:cstheme="minorHAnsi"/>
        </w:rPr>
        <w:t>Observarán las normas sobre seguridad y salud laboral</w:t>
      </w:r>
    </w:p>
    <w:p w:rsidR="003372A0" w:rsidRPr="003372A0" w:rsidRDefault="003372A0" w:rsidP="003372A0">
      <w:pPr>
        <w:numPr>
          <w:ilvl w:val="0"/>
          <w:numId w:val="8"/>
        </w:numPr>
        <w:spacing w:after="0" w:line="240" w:lineRule="auto"/>
        <w:ind w:left="1418"/>
        <w:rPr>
          <w:rFonts w:cstheme="minorHAnsi"/>
        </w:rPr>
      </w:pPr>
      <w:r w:rsidRPr="003372A0">
        <w:rPr>
          <w:rFonts w:cstheme="minorHAnsi"/>
        </w:rPr>
        <w:t>Respetando las leyes que integran el ordenamiento jurídico aunque sean contrarias á la Constitución Española de 1978</w:t>
      </w:r>
    </w:p>
    <w:p w:rsidR="003372A0" w:rsidRPr="003372A0" w:rsidRDefault="003372A0" w:rsidP="003372A0">
      <w:pPr>
        <w:numPr>
          <w:ilvl w:val="0"/>
          <w:numId w:val="8"/>
        </w:numPr>
        <w:spacing w:after="0" w:line="240" w:lineRule="auto"/>
        <w:ind w:left="1418"/>
        <w:rPr>
          <w:rFonts w:cstheme="minorHAnsi"/>
        </w:rPr>
      </w:pPr>
      <w:r w:rsidRPr="003372A0">
        <w:rPr>
          <w:rFonts w:cstheme="minorHAnsi"/>
        </w:rPr>
        <w:t>No aceptarán ningún trato de favor o situación que implique privilegio o ventaja injustificada, por parte de personas físicas o entidades privadas</w:t>
      </w:r>
    </w:p>
    <w:p w:rsidR="003372A0" w:rsidRPr="003372A0" w:rsidRDefault="003372A0" w:rsidP="003372A0">
      <w:pPr>
        <w:numPr>
          <w:ilvl w:val="0"/>
          <w:numId w:val="8"/>
        </w:numPr>
        <w:spacing w:after="0" w:line="240" w:lineRule="auto"/>
        <w:ind w:left="1418"/>
        <w:rPr>
          <w:rFonts w:cstheme="minorHAnsi"/>
        </w:rPr>
      </w:pPr>
      <w:r w:rsidRPr="003372A0">
        <w:rPr>
          <w:rFonts w:cstheme="minorHAnsi"/>
        </w:rPr>
        <w:t>Tratarán con atención y respeto a los ciudadanos, a sus superiores y a los restantes empleados públicos</w:t>
      </w:r>
    </w:p>
    <w:p w:rsidR="003372A0" w:rsidRPr="003372A0" w:rsidRDefault="003372A0" w:rsidP="003372A0">
      <w:pPr>
        <w:spacing w:after="0" w:line="240" w:lineRule="auto"/>
        <w:ind w:left="567"/>
        <w:rPr>
          <w:rFonts w:cstheme="minorHAnsi"/>
          <w:b/>
          <w:bCs/>
          <w:color w:val="0070C0"/>
          <w:sz w:val="24"/>
          <w:szCs w:val="24"/>
        </w:rPr>
      </w:pPr>
      <w:r w:rsidRPr="003372A0">
        <w:rPr>
          <w:rFonts w:cstheme="minorHAnsi"/>
          <w:b/>
          <w:bCs/>
          <w:color w:val="0070C0"/>
          <w:sz w:val="24"/>
          <w:szCs w:val="24"/>
        </w:rPr>
        <w:t>C. Art.53. 7 del EBEP.</w:t>
      </w:r>
    </w:p>
    <w:p w:rsidR="003372A0" w:rsidRPr="003372A0" w:rsidRDefault="003372A0" w:rsidP="003372A0">
      <w:pPr>
        <w:spacing w:after="0" w:line="240" w:lineRule="auto"/>
        <w:ind w:left="567"/>
        <w:rPr>
          <w:rFonts w:cstheme="minorHAnsi"/>
          <w:b/>
          <w:bCs/>
        </w:rPr>
      </w:pPr>
    </w:p>
    <w:p w:rsidR="003372A0" w:rsidRPr="003372A0" w:rsidRDefault="003372A0" w:rsidP="003372A0">
      <w:pPr>
        <w:spacing w:after="0" w:line="240" w:lineRule="auto"/>
        <w:ind w:left="567"/>
        <w:rPr>
          <w:rFonts w:cstheme="minorHAnsi"/>
          <w:b/>
          <w:bCs/>
        </w:rPr>
      </w:pPr>
    </w:p>
    <w:p w:rsidR="003372A0" w:rsidRPr="003372A0" w:rsidRDefault="003372A0" w:rsidP="003372A0">
      <w:pPr>
        <w:spacing w:after="0" w:line="240" w:lineRule="auto"/>
        <w:ind w:left="567"/>
        <w:rPr>
          <w:rFonts w:cstheme="minorHAnsi"/>
          <w:b/>
          <w:bCs/>
        </w:rPr>
      </w:pPr>
      <w:r w:rsidRPr="003372A0">
        <w:rPr>
          <w:rFonts w:cstheme="minorHAnsi"/>
          <w:b/>
          <w:bCs/>
        </w:rPr>
        <w:t>8 En relación con el ámbito de aplicación de La ley 39/2015, de 1 de octubre, del Procedimiento Administrativo Común de las Administraciones Públicas, señale la respuesta INCORRECTA:</w:t>
      </w:r>
    </w:p>
    <w:p w:rsidR="003372A0" w:rsidRPr="003372A0" w:rsidRDefault="003372A0" w:rsidP="003372A0">
      <w:pPr>
        <w:numPr>
          <w:ilvl w:val="0"/>
          <w:numId w:val="9"/>
        </w:numPr>
        <w:spacing w:after="0" w:line="240" w:lineRule="auto"/>
        <w:ind w:left="1418"/>
        <w:rPr>
          <w:rFonts w:cstheme="minorHAnsi"/>
        </w:rPr>
      </w:pPr>
      <w:r w:rsidRPr="003372A0">
        <w:rPr>
          <w:rFonts w:cstheme="minorHAnsi"/>
        </w:rPr>
        <w:t>A las Administraciones Territoriales</w:t>
      </w:r>
    </w:p>
    <w:p w:rsidR="003372A0" w:rsidRPr="003372A0" w:rsidRDefault="003372A0" w:rsidP="003372A0">
      <w:pPr>
        <w:numPr>
          <w:ilvl w:val="0"/>
          <w:numId w:val="9"/>
        </w:numPr>
        <w:spacing w:after="0" w:line="240" w:lineRule="auto"/>
        <w:ind w:left="1418"/>
        <w:rPr>
          <w:rFonts w:cstheme="minorHAnsi"/>
        </w:rPr>
      </w:pPr>
      <w:r w:rsidRPr="003372A0">
        <w:rPr>
          <w:rFonts w:cstheme="minorHAnsi"/>
        </w:rPr>
        <w:t>A las Universidades Públicas</w:t>
      </w:r>
    </w:p>
    <w:p w:rsidR="003372A0" w:rsidRPr="003372A0" w:rsidRDefault="003372A0" w:rsidP="003372A0">
      <w:pPr>
        <w:numPr>
          <w:ilvl w:val="0"/>
          <w:numId w:val="9"/>
        </w:numPr>
        <w:spacing w:after="0" w:line="240" w:lineRule="auto"/>
        <w:ind w:left="1418"/>
        <w:rPr>
          <w:rFonts w:cstheme="minorHAnsi"/>
        </w:rPr>
      </w:pPr>
      <w:r w:rsidRPr="003372A0">
        <w:rPr>
          <w:rFonts w:cstheme="minorHAnsi"/>
        </w:rPr>
        <w:t>A las Entidades de derecho privado cuando ejerzan potestades administrativas</w:t>
      </w:r>
    </w:p>
    <w:p w:rsidR="003372A0" w:rsidRPr="003372A0" w:rsidRDefault="003372A0" w:rsidP="003372A0">
      <w:pPr>
        <w:numPr>
          <w:ilvl w:val="0"/>
          <w:numId w:val="9"/>
        </w:numPr>
        <w:spacing w:after="0" w:line="240" w:lineRule="auto"/>
        <w:ind w:left="1418"/>
        <w:rPr>
          <w:rFonts w:cstheme="minorHAnsi"/>
        </w:rPr>
      </w:pPr>
      <w:r w:rsidRPr="003372A0">
        <w:rPr>
          <w:rFonts w:cstheme="minorHAnsi"/>
        </w:rPr>
        <w:t>Sólo se aplica a las Administraciones Públicas</w:t>
      </w:r>
    </w:p>
    <w:p w:rsidR="003372A0" w:rsidRPr="003372A0" w:rsidRDefault="003372A0" w:rsidP="003372A0">
      <w:pPr>
        <w:spacing w:after="0" w:line="240" w:lineRule="auto"/>
        <w:ind w:left="567"/>
        <w:rPr>
          <w:rFonts w:cstheme="minorHAnsi"/>
          <w:b/>
          <w:bCs/>
          <w:color w:val="0070C0"/>
          <w:sz w:val="24"/>
          <w:szCs w:val="24"/>
        </w:rPr>
      </w:pPr>
      <w:r w:rsidRPr="003372A0">
        <w:rPr>
          <w:rFonts w:cstheme="minorHAnsi"/>
          <w:b/>
          <w:bCs/>
          <w:color w:val="0070C0"/>
          <w:sz w:val="24"/>
          <w:szCs w:val="24"/>
        </w:rPr>
        <w:t xml:space="preserve">D. Artículo 2.  </w:t>
      </w:r>
      <w:proofErr w:type="gramStart"/>
      <w:r w:rsidRPr="003372A0">
        <w:rPr>
          <w:rFonts w:cstheme="minorHAnsi"/>
          <w:b/>
          <w:bCs/>
          <w:color w:val="0070C0"/>
          <w:sz w:val="24"/>
          <w:szCs w:val="24"/>
        </w:rPr>
        <w:t>de</w:t>
      </w:r>
      <w:proofErr w:type="gramEnd"/>
      <w:r w:rsidRPr="003372A0">
        <w:rPr>
          <w:rFonts w:cstheme="minorHAnsi"/>
          <w:b/>
          <w:bCs/>
          <w:color w:val="0070C0"/>
          <w:sz w:val="24"/>
          <w:szCs w:val="24"/>
        </w:rPr>
        <w:t xml:space="preserve"> la Ley 39/2015 Ámbito subjetivo de aplicación. </w:t>
      </w:r>
    </w:p>
    <w:p w:rsidR="003372A0" w:rsidRPr="003372A0" w:rsidRDefault="003372A0" w:rsidP="003372A0">
      <w:pPr>
        <w:spacing w:after="0" w:line="240" w:lineRule="auto"/>
        <w:ind w:left="567"/>
        <w:rPr>
          <w:rFonts w:cstheme="minorHAnsi"/>
          <w:b/>
          <w:bCs/>
          <w:i/>
          <w:iCs/>
          <w:color w:val="0070C0"/>
          <w:sz w:val="24"/>
          <w:szCs w:val="24"/>
        </w:rPr>
      </w:pPr>
      <w:r w:rsidRPr="003372A0">
        <w:rPr>
          <w:rFonts w:cstheme="minorHAnsi"/>
          <w:b/>
          <w:bCs/>
          <w:i/>
          <w:iCs/>
          <w:color w:val="0070C0"/>
          <w:sz w:val="24"/>
          <w:szCs w:val="24"/>
        </w:rPr>
        <w:t xml:space="preserve">1. La presente Ley se aplica al sector público, que comprende: a) La Administración General del Estado. b) Las Administraciones de las Comunidades Autónomas. c) Las Entidades que integran la Administración Local. d) El sector público institucional. </w:t>
      </w:r>
    </w:p>
    <w:p w:rsidR="003372A0" w:rsidRPr="003372A0" w:rsidRDefault="003372A0" w:rsidP="003372A0">
      <w:pPr>
        <w:spacing w:after="0" w:line="240" w:lineRule="auto"/>
        <w:ind w:left="567"/>
        <w:rPr>
          <w:rFonts w:cstheme="minorHAnsi"/>
          <w:b/>
          <w:bCs/>
          <w:color w:val="0070C0"/>
          <w:sz w:val="24"/>
          <w:szCs w:val="24"/>
        </w:rPr>
        <w:sectPr w:rsidR="003372A0" w:rsidRPr="003372A0">
          <w:pgSz w:w="11923" w:h="16824"/>
          <w:pgMar w:top="540" w:right="530" w:bottom="657" w:left="315" w:header="720" w:footer="720" w:gutter="0"/>
          <w:cols w:space="720"/>
          <w:noEndnote/>
        </w:sectPr>
      </w:pPr>
      <w:r w:rsidRPr="003372A0">
        <w:rPr>
          <w:rFonts w:cstheme="minorHAnsi"/>
          <w:b/>
          <w:bCs/>
          <w:i/>
          <w:iCs/>
          <w:color w:val="0070C0"/>
          <w:sz w:val="24"/>
          <w:szCs w:val="24"/>
        </w:rPr>
        <w:t>2. El sector público institucional se integra por: a) Cualesquiera organismos públicos y entidades de derecho público vinculados o dependientes de las Administraciones Públicas. b) Las entidades de derecho privado vinculadas o dependientes de las Administraciones Públicas, que quedarán sujetas a lo dispuesto en las normas de esta Ley que específicamente se refieran a las mismas, y en todo caso, cuando ejerzan potestades administrativas. c) Las Universidades públicas, que se regirán por su normativa específica y supletoriamente por las previsiones de esta Le</w:t>
      </w:r>
      <w:r w:rsidR="00FA2B0F">
        <w:rPr>
          <w:rFonts w:cstheme="minorHAnsi"/>
          <w:b/>
          <w:bCs/>
          <w:i/>
          <w:iCs/>
          <w:color w:val="0070C0"/>
          <w:sz w:val="24"/>
          <w:szCs w:val="24"/>
        </w:rPr>
        <w:t>y</w:t>
      </w:r>
    </w:p>
    <w:p w:rsidR="00D61A54" w:rsidRPr="00D61A54" w:rsidRDefault="00D61A54" w:rsidP="00D61A54">
      <w:pPr>
        <w:spacing w:after="0" w:line="240" w:lineRule="auto"/>
        <w:rPr>
          <w:rFonts w:cstheme="minorHAnsi"/>
        </w:rPr>
        <w:sectPr w:rsidR="00D61A54" w:rsidRPr="00D61A54" w:rsidSect="00D61A54">
          <w:pgSz w:w="11923" w:h="16824"/>
          <w:pgMar w:top="2243" w:right="345" w:bottom="521" w:left="500" w:header="720" w:footer="720" w:gutter="0"/>
          <w:cols w:space="720"/>
          <w:noEndnote/>
        </w:sectPr>
      </w:pPr>
    </w:p>
    <w:p w:rsidR="00D61A54" w:rsidRPr="00D61A54" w:rsidRDefault="00D61A54" w:rsidP="00D61A54">
      <w:pPr>
        <w:spacing w:after="0" w:line="240" w:lineRule="auto"/>
        <w:rPr>
          <w:rFonts w:cstheme="minorHAnsi"/>
          <w:b/>
          <w:bCs/>
        </w:rPr>
      </w:pPr>
      <w:r w:rsidRPr="00D61A54">
        <w:rPr>
          <w:rFonts w:cstheme="minorHAnsi"/>
          <w:b/>
          <w:bCs/>
        </w:rPr>
        <w:lastRenderedPageBreak/>
        <w:t>9 Una de las herramientas de validación de la prescripción, de forma previa a la dispensación es:</w:t>
      </w:r>
    </w:p>
    <w:p w:rsidR="00D61A54" w:rsidRPr="00D61A54" w:rsidRDefault="00D61A54" w:rsidP="00D61A54">
      <w:pPr>
        <w:numPr>
          <w:ilvl w:val="0"/>
          <w:numId w:val="10"/>
        </w:numPr>
        <w:spacing w:after="0" w:line="240" w:lineRule="auto"/>
        <w:ind w:left="993"/>
        <w:rPr>
          <w:rFonts w:cstheme="minorHAnsi"/>
        </w:rPr>
      </w:pPr>
      <w:r w:rsidRPr="00D61A54">
        <w:rPr>
          <w:rFonts w:cstheme="minorHAnsi"/>
        </w:rPr>
        <w:t>Dispensación intrahospitalaria</w:t>
      </w:r>
    </w:p>
    <w:p w:rsidR="00D61A54" w:rsidRPr="00D61A54" w:rsidRDefault="00D61A54" w:rsidP="00D61A54">
      <w:pPr>
        <w:numPr>
          <w:ilvl w:val="0"/>
          <w:numId w:val="10"/>
        </w:numPr>
        <w:spacing w:after="0" w:line="240" w:lineRule="auto"/>
        <w:ind w:left="993"/>
        <w:rPr>
          <w:rFonts w:cstheme="minorHAnsi"/>
        </w:rPr>
      </w:pPr>
      <w:r w:rsidRPr="00D61A54">
        <w:rPr>
          <w:rFonts w:cstheme="minorHAnsi"/>
        </w:rPr>
        <w:t>Visado</w:t>
      </w:r>
    </w:p>
    <w:p w:rsidR="00D61A54" w:rsidRPr="00D61A54" w:rsidRDefault="00D61A54" w:rsidP="00D61A54">
      <w:pPr>
        <w:numPr>
          <w:ilvl w:val="0"/>
          <w:numId w:val="10"/>
        </w:numPr>
        <w:spacing w:after="0" w:line="240" w:lineRule="auto"/>
        <w:ind w:left="993"/>
        <w:rPr>
          <w:rFonts w:cstheme="minorHAnsi"/>
        </w:rPr>
      </w:pPr>
      <w:r w:rsidRPr="00D61A54">
        <w:rPr>
          <w:rFonts w:cstheme="minorHAnsi"/>
        </w:rPr>
        <w:t xml:space="preserve">Dispensación </w:t>
      </w:r>
      <w:proofErr w:type="spellStart"/>
      <w:r w:rsidRPr="00D61A54">
        <w:rPr>
          <w:rFonts w:cstheme="minorHAnsi"/>
        </w:rPr>
        <w:t>extrahospitalaria</w:t>
      </w:r>
      <w:proofErr w:type="spellEnd"/>
    </w:p>
    <w:p w:rsidR="00D61A54" w:rsidRDefault="00D61A54" w:rsidP="00D61A54">
      <w:pPr>
        <w:numPr>
          <w:ilvl w:val="0"/>
          <w:numId w:val="10"/>
        </w:numPr>
        <w:spacing w:after="0" w:line="240" w:lineRule="auto"/>
        <w:ind w:left="993"/>
        <w:rPr>
          <w:rFonts w:cstheme="minorHAnsi"/>
        </w:rPr>
      </w:pPr>
      <w:r w:rsidRPr="00D61A54">
        <w:rPr>
          <w:rFonts w:cstheme="minorHAnsi"/>
        </w:rPr>
        <w:t>Dispensación farmacéutica</w:t>
      </w:r>
    </w:p>
    <w:p w:rsidR="00FA2B0F" w:rsidRPr="00FA2B0F" w:rsidRDefault="00FA2B0F" w:rsidP="00FA2B0F">
      <w:pPr>
        <w:pStyle w:val="Prrafodelista"/>
        <w:spacing w:after="0" w:line="240" w:lineRule="auto"/>
        <w:ind w:left="0"/>
        <w:rPr>
          <w:rFonts w:cstheme="minorHAnsi"/>
          <w:b/>
          <w:color w:val="0070C0"/>
          <w:sz w:val="24"/>
          <w:szCs w:val="24"/>
        </w:rPr>
      </w:pPr>
      <w:r w:rsidRPr="00FA2B0F">
        <w:rPr>
          <w:rFonts w:cstheme="minorHAnsi"/>
          <w:b/>
          <w:color w:val="0070C0"/>
          <w:sz w:val="24"/>
          <w:szCs w:val="24"/>
        </w:rPr>
        <w:t>B; la pregunta es rebuscada, pero es la definición de visado</w:t>
      </w:r>
    </w:p>
    <w:p w:rsidR="00D61A54" w:rsidRPr="00D61A54" w:rsidRDefault="00D61A54" w:rsidP="00D61A54">
      <w:pPr>
        <w:spacing w:after="0" w:line="240" w:lineRule="auto"/>
        <w:rPr>
          <w:rFonts w:cstheme="minorHAnsi"/>
        </w:rPr>
      </w:pPr>
    </w:p>
    <w:p w:rsidR="00113814" w:rsidRDefault="00113814" w:rsidP="00D61A54">
      <w:pPr>
        <w:spacing w:after="0" w:line="240" w:lineRule="auto"/>
        <w:rPr>
          <w:rFonts w:cstheme="minorHAnsi"/>
          <w:b/>
          <w:bCs/>
        </w:rPr>
      </w:pPr>
    </w:p>
    <w:p w:rsidR="00113814" w:rsidRDefault="00113814" w:rsidP="00D61A54">
      <w:pPr>
        <w:spacing w:after="0" w:line="240" w:lineRule="auto"/>
        <w:rPr>
          <w:rFonts w:cstheme="minorHAnsi"/>
          <w:b/>
          <w:bCs/>
        </w:rPr>
      </w:pPr>
    </w:p>
    <w:p w:rsidR="00D61A54" w:rsidRPr="00D61A54" w:rsidRDefault="00D61A54" w:rsidP="00D61A54">
      <w:pPr>
        <w:spacing w:after="0" w:line="240" w:lineRule="auto"/>
        <w:rPr>
          <w:rFonts w:cstheme="minorHAnsi"/>
          <w:b/>
          <w:bCs/>
        </w:rPr>
      </w:pPr>
      <w:r w:rsidRPr="00D61A54">
        <w:rPr>
          <w:rFonts w:cstheme="minorHAnsi"/>
          <w:b/>
          <w:bCs/>
        </w:rPr>
        <w:t>10 ¿Cuál de las siguientes afirmaciones es FALSA?</w:t>
      </w:r>
    </w:p>
    <w:p w:rsidR="00D61A54" w:rsidRPr="00D61A54" w:rsidRDefault="00D61A54" w:rsidP="00D61A54">
      <w:pPr>
        <w:numPr>
          <w:ilvl w:val="0"/>
          <w:numId w:val="11"/>
        </w:numPr>
        <w:spacing w:after="0" w:line="240" w:lineRule="auto"/>
        <w:ind w:left="993"/>
        <w:rPr>
          <w:rFonts w:cstheme="minorHAnsi"/>
        </w:rPr>
      </w:pPr>
      <w:r w:rsidRPr="00D61A54">
        <w:rPr>
          <w:rFonts w:cstheme="minorHAnsi"/>
        </w:rPr>
        <w:t>En el análisis coste-efectividad, las consecuencias deseables del programa se valoran en términos de salud</w:t>
      </w:r>
    </w:p>
    <w:p w:rsidR="00D61A54" w:rsidRPr="00D61A54" w:rsidRDefault="00D61A54" w:rsidP="00D61A54">
      <w:pPr>
        <w:numPr>
          <w:ilvl w:val="0"/>
          <w:numId w:val="12"/>
        </w:numPr>
        <w:spacing w:after="0" w:line="240" w:lineRule="auto"/>
        <w:ind w:left="993"/>
        <w:rPr>
          <w:rFonts w:cstheme="minorHAnsi"/>
        </w:rPr>
      </w:pPr>
      <w:r w:rsidRPr="00D61A54">
        <w:rPr>
          <w:rFonts w:cstheme="minorHAnsi"/>
        </w:rPr>
        <w:t>El análisis coste-utilidad es un tipo de análisis en el que la efectividad se mide en unidades de salud ajustadas por la calidad de vida</w:t>
      </w:r>
    </w:p>
    <w:p w:rsidR="00D61A54" w:rsidRPr="00D61A54" w:rsidRDefault="00D61A54" w:rsidP="00D61A54">
      <w:pPr>
        <w:numPr>
          <w:ilvl w:val="0"/>
          <w:numId w:val="11"/>
        </w:numPr>
        <w:spacing w:after="0" w:line="240" w:lineRule="auto"/>
        <w:ind w:left="993"/>
        <w:rPr>
          <w:rFonts w:cstheme="minorHAnsi"/>
        </w:rPr>
      </w:pPr>
      <w:r w:rsidRPr="00D61A54">
        <w:rPr>
          <w:rFonts w:cstheme="minorHAnsi"/>
        </w:rPr>
        <w:t>El análisis coste-utilidad se expresa en términos monetarios</w:t>
      </w:r>
    </w:p>
    <w:p w:rsidR="00113814" w:rsidRPr="003372A0" w:rsidRDefault="00D61A54" w:rsidP="003372A0">
      <w:pPr>
        <w:numPr>
          <w:ilvl w:val="0"/>
          <w:numId w:val="11"/>
        </w:numPr>
        <w:spacing w:after="0" w:line="240" w:lineRule="auto"/>
        <w:ind w:left="993"/>
        <w:rPr>
          <w:rFonts w:cstheme="minorHAnsi"/>
        </w:rPr>
      </w:pPr>
      <w:r w:rsidRPr="00D61A54">
        <w:rPr>
          <w:rFonts w:cstheme="minorHAnsi"/>
        </w:rPr>
        <w:t>En el análisis coste-beneficio tanto los beneficios como los costes se cuantifican en unidades monetarias</w:t>
      </w:r>
    </w:p>
    <w:p w:rsidR="003372A0" w:rsidRPr="003372A0" w:rsidRDefault="00113814" w:rsidP="003372A0">
      <w:pPr>
        <w:spacing w:after="0" w:line="240" w:lineRule="auto"/>
        <w:ind w:left="-142"/>
        <w:rPr>
          <w:rFonts w:ascii="Calibri" w:eastAsia="Calibri" w:hAnsi="Calibri" w:cs="Calibri"/>
          <w:b/>
          <w:color w:val="0070C0"/>
          <w:sz w:val="24"/>
          <w:szCs w:val="24"/>
        </w:rPr>
      </w:pPr>
      <w:r w:rsidRPr="00113814">
        <w:rPr>
          <w:rFonts w:cstheme="minorHAnsi"/>
          <w:b/>
          <w:bCs/>
          <w:color w:val="0070C0"/>
          <w:sz w:val="24"/>
          <w:szCs w:val="24"/>
        </w:rPr>
        <w:t xml:space="preserve">C,   Vista en clase. </w:t>
      </w:r>
      <w:r w:rsidR="003372A0" w:rsidRPr="003372A0">
        <w:rPr>
          <w:rFonts w:ascii="Calibri" w:eastAsia="Calibri" w:hAnsi="Calibri" w:cs="Calibri"/>
          <w:b/>
          <w:color w:val="0070C0"/>
          <w:sz w:val="24"/>
          <w:szCs w:val="24"/>
        </w:rPr>
        <w:t>El coste/utilidad hace referencia a un nuevo tipo de unidades que mezclan los resultados clínicos con la calidad de vida alcanzada.</w:t>
      </w:r>
    </w:p>
    <w:p w:rsidR="003372A0" w:rsidRPr="003372A0" w:rsidRDefault="003372A0" w:rsidP="003372A0">
      <w:pPr>
        <w:spacing w:after="0" w:line="240" w:lineRule="auto"/>
        <w:ind w:left="-142"/>
        <w:rPr>
          <w:rFonts w:ascii="Calibri" w:eastAsia="Calibri" w:hAnsi="Calibri" w:cs="Calibri"/>
          <w:b/>
          <w:color w:val="0070C0"/>
          <w:sz w:val="24"/>
          <w:szCs w:val="24"/>
        </w:rPr>
      </w:pPr>
      <w:r w:rsidRPr="003372A0">
        <w:rPr>
          <w:rFonts w:ascii="Calibri" w:eastAsia="Calibri" w:hAnsi="Calibri" w:cs="Calibri"/>
          <w:b/>
          <w:color w:val="0070C0"/>
          <w:sz w:val="24"/>
          <w:szCs w:val="24"/>
        </w:rPr>
        <w:t xml:space="preserve">“Utilidad” es la preferencia o valoración que el ciudadano tiene respecto a un estado de salud. Las Unidades de medida de las utilidades son el QALY o AVAC, es decir, años ganados ajustados por calidad de vida. </w:t>
      </w:r>
      <w:r w:rsidRPr="003372A0">
        <w:rPr>
          <w:rFonts w:ascii="Calibri" w:eastAsia="Calibri" w:hAnsi="Calibri" w:cs="Calibri"/>
          <w:b/>
          <w:color w:val="0070C0"/>
          <w:sz w:val="24"/>
          <w:szCs w:val="24"/>
          <w:u w:val="single"/>
        </w:rPr>
        <w:t>No se mide en términos monetarios</w:t>
      </w:r>
    </w:p>
    <w:p w:rsidR="00113814" w:rsidRPr="003372A0" w:rsidRDefault="003372A0" w:rsidP="003372A0">
      <w:pPr>
        <w:pStyle w:val="Prrafodelista"/>
        <w:spacing w:after="0" w:line="240" w:lineRule="auto"/>
        <w:ind w:left="-142"/>
        <w:rPr>
          <w:rFonts w:cstheme="minorHAnsi"/>
          <w:b/>
          <w:bCs/>
          <w:color w:val="0070C0"/>
          <w:sz w:val="24"/>
          <w:szCs w:val="24"/>
        </w:rPr>
      </w:pPr>
      <w:r w:rsidRPr="003372A0">
        <w:rPr>
          <w:rFonts w:ascii="Calibri" w:eastAsia="Calibri" w:hAnsi="Calibri" w:cs="Calibri"/>
          <w:b/>
          <w:color w:val="0070C0"/>
          <w:sz w:val="24"/>
          <w:szCs w:val="24"/>
        </w:rPr>
        <w:t xml:space="preserve">El análisis coste/utilidad se diferencia del de coste-efectividad en que los resultados no se miden en magnitudes clínicas, sino en un nuevo tipo de medida que relaciona la eficacia y efectividad del tratamiento en cuestión con </w:t>
      </w:r>
      <w:r w:rsidRPr="003372A0">
        <w:rPr>
          <w:rFonts w:ascii="Calibri" w:eastAsia="Calibri" w:hAnsi="Calibri" w:cs="Calibri"/>
          <w:b/>
          <w:color w:val="0070C0"/>
          <w:sz w:val="24"/>
          <w:szCs w:val="24"/>
          <w:u w:val="single"/>
        </w:rPr>
        <w:t>el grado de calidad de vida que se alcanza al concluir de procedimiento analizado.</w:t>
      </w:r>
    </w:p>
    <w:p w:rsidR="00113814" w:rsidRPr="00113814" w:rsidRDefault="00113814" w:rsidP="00113814">
      <w:pPr>
        <w:pStyle w:val="Prrafodelista"/>
        <w:ind w:left="0"/>
        <w:rPr>
          <w:rFonts w:cstheme="minorHAnsi"/>
        </w:rPr>
        <w:sectPr w:rsidR="00113814" w:rsidRPr="00113814" w:rsidSect="00D61A54">
          <w:type w:val="continuous"/>
          <w:pgSz w:w="11923" w:h="16824"/>
          <w:pgMar w:top="540" w:right="724" w:bottom="657" w:left="1589" w:header="720" w:footer="720" w:gutter="0"/>
          <w:cols w:space="720"/>
          <w:noEndnote/>
        </w:sectPr>
      </w:pPr>
      <w:r w:rsidRPr="003372A0">
        <w:rPr>
          <w:rFonts w:cstheme="minorHAnsi"/>
          <w:color w:val="0070C0"/>
        </w:rPr>
        <w:t xml:space="preserve">  </w:t>
      </w:r>
    </w:p>
    <w:p w:rsidR="00D61A54" w:rsidRPr="00D61A54" w:rsidRDefault="00D61A54" w:rsidP="00D61A54">
      <w:pPr>
        <w:spacing w:after="0" w:line="240" w:lineRule="auto"/>
        <w:rPr>
          <w:rFonts w:cstheme="minorHAnsi"/>
        </w:rPr>
      </w:pPr>
    </w:p>
    <w:sectPr w:rsidR="00D61A54" w:rsidRPr="00D61A54" w:rsidSect="00BF5540">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9D1E1"/>
    <w:multiLevelType w:val="singleLevel"/>
    <w:tmpl w:val="4CCCF402"/>
    <w:lvl w:ilvl="0">
      <w:start w:val="2"/>
      <w:numFmt w:val="upperLetter"/>
      <w:lvlText w:val="%1:"/>
      <w:lvlJc w:val="left"/>
      <w:pPr>
        <w:tabs>
          <w:tab w:val="num" w:pos="1728"/>
        </w:tabs>
        <w:ind w:left="1512" w:hanging="288"/>
      </w:pPr>
      <w:rPr>
        <w:snapToGrid/>
        <w:spacing w:val="-2"/>
        <w:sz w:val="21"/>
        <w:szCs w:val="21"/>
      </w:rPr>
    </w:lvl>
  </w:abstractNum>
  <w:abstractNum w:abstractNumId="1">
    <w:nsid w:val="0323AC1E"/>
    <w:multiLevelType w:val="singleLevel"/>
    <w:tmpl w:val="41F5ED33"/>
    <w:lvl w:ilvl="0">
      <w:start w:val="1"/>
      <w:numFmt w:val="upperLetter"/>
      <w:lvlText w:val="%1:"/>
      <w:lvlJc w:val="left"/>
      <w:pPr>
        <w:tabs>
          <w:tab w:val="num" w:pos="1584"/>
        </w:tabs>
        <w:ind w:left="1080"/>
      </w:pPr>
      <w:rPr>
        <w:snapToGrid/>
        <w:spacing w:val="5"/>
        <w:sz w:val="20"/>
        <w:szCs w:val="20"/>
      </w:rPr>
    </w:lvl>
  </w:abstractNum>
  <w:abstractNum w:abstractNumId="2">
    <w:nsid w:val="03674F11"/>
    <w:multiLevelType w:val="singleLevel"/>
    <w:tmpl w:val="092B724D"/>
    <w:lvl w:ilvl="0">
      <w:start w:val="1"/>
      <w:numFmt w:val="upperLetter"/>
      <w:lvlText w:val="%1:"/>
      <w:lvlJc w:val="left"/>
      <w:pPr>
        <w:tabs>
          <w:tab w:val="num" w:pos="1584"/>
        </w:tabs>
        <w:ind w:left="1080"/>
      </w:pPr>
      <w:rPr>
        <w:snapToGrid/>
        <w:spacing w:val="-5"/>
        <w:sz w:val="20"/>
        <w:szCs w:val="20"/>
      </w:rPr>
    </w:lvl>
  </w:abstractNum>
  <w:abstractNum w:abstractNumId="3">
    <w:nsid w:val="0372C76B"/>
    <w:multiLevelType w:val="singleLevel"/>
    <w:tmpl w:val="0679D126"/>
    <w:lvl w:ilvl="0">
      <w:start w:val="1"/>
      <w:numFmt w:val="upperLetter"/>
      <w:lvlText w:val="%1:"/>
      <w:lvlJc w:val="left"/>
      <w:pPr>
        <w:tabs>
          <w:tab w:val="num" w:pos="1728"/>
        </w:tabs>
        <w:ind w:left="1512" w:hanging="288"/>
      </w:pPr>
      <w:rPr>
        <w:snapToGrid/>
        <w:spacing w:val="-2"/>
        <w:sz w:val="21"/>
        <w:szCs w:val="21"/>
      </w:rPr>
    </w:lvl>
  </w:abstractNum>
  <w:abstractNum w:abstractNumId="4">
    <w:nsid w:val="042C98C2"/>
    <w:multiLevelType w:val="singleLevel"/>
    <w:tmpl w:val="7308AC07"/>
    <w:lvl w:ilvl="0">
      <w:start w:val="1"/>
      <w:numFmt w:val="upperLetter"/>
      <w:lvlText w:val="%1:"/>
      <w:lvlJc w:val="left"/>
      <w:pPr>
        <w:tabs>
          <w:tab w:val="num" w:pos="930"/>
        </w:tabs>
        <w:ind w:left="714" w:hanging="288"/>
      </w:pPr>
      <w:rPr>
        <w:snapToGrid/>
        <w:sz w:val="21"/>
        <w:szCs w:val="21"/>
      </w:rPr>
    </w:lvl>
  </w:abstractNum>
  <w:abstractNum w:abstractNumId="5">
    <w:nsid w:val="04AC4B7C"/>
    <w:multiLevelType w:val="singleLevel"/>
    <w:tmpl w:val="099E0839"/>
    <w:lvl w:ilvl="0">
      <w:start w:val="1"/>
      <w:numFmt w:val="upperLetter"/>
      <w:lvlText w:val="%1:"/>
      <w:lvlJc w:val="left"/>
      <w:pPr>
        <w:tabs>
          <w:tab w:val="num" w:pos="1512"/>
        </w:tabs>
        <w:ind w:left="1080"/>
      </w:pPr>
      <w:rPr>
        <w:snapToGrid/>
        <w:spacing w:val="3"/>
        <w:sz w:val="20"/>
        <w:szCs w:val="20"/>
      </w:rPr>
    </w:lvl>
  </w:abstractNum>
  <w:abstractNum w:abstractNumId="6">
    <w:nsid w:val="04C805DF"/>
    <w:multiLevelType w:val="singleLevel"/>
    <w:tmpl w:val="0AC3ABD6"/>
    <w:lvl w:ilvl="0">
      <w:start w:val="1"/>
      <w:numFmt w:val="upperLetter"/>
      <w:lvlText w:val="%1:"/>
      <w:lvlJc w:val="left"/>
      <w:pPr>
        <w:tabs>
          <w:tab w:val="num" w:pos="1584"/>
        </w:tabs>
        <w:ind w:left="1080"/>
      </w:pPr>
      <w:rPr>
        <w:snapToGrid/>
        <w:spacing w:val="5"/>
        <w:sz w:val="20"/>
        <w:szCs w:val="20"/>
      </w:rPr>
    </w:lvl>
  </w:abstractNum>
  <w:abstractNum w:abstractNumId="7">
    <w:nsid w:val="054FAE36"/>
    <w:multiLevelType w:val="singleLevel"/>
    <w:tmpl w:val="2ED59292"/>
    <w:lvl w:ilvl="0">
      <w:start w:val="1"/>
      <w:numFmt w:val="upperLetter"/>
      <w:lvlText w:val="%1:"/>
      <w:lvlJc w:val="left"/>
      <w:pPr>
        <w:tabs>
          <w:tab w:val="num" w:pos="1728"/>
        </w:tabs>
        <w:ind w:left="1512" w:hanging="288"/>
      </w:pPr>
      <w:rPr>
        <w:snapToGrid/>
        <w:sz w:val="21"/>
        <w:szCs w:val="21"/>
      </w:rPr>
    </w:lvl>
  </w:abstractNum>
  <w:abstractNum w:abstractNumId="8">
    <w:nsid w:val="05D82A0D"/>
    <w:multiLevelType w:val="singleLevel"/>
    <w:tmpl w:val="25E594E1"/>
    <w:lvl w:ilvl="0">
      <w:start w:val="1"/>
      <w:numFmt w:val="upperLetter"/>
      <w:lvlText w:val="%1:"/>
      <w:lvlJc w:val="left"/>
      <w:pPr>
        <w:tabs>
          <w:tab w:val="num" w:pos="1584"/>
        </w:tabs>
        <w:ind w:left="1080"/>
      </w:pPr>
      <w:rPr>
        <w:snapToGrid/>
        <w:spacing w:val="4"/>
        <w:sz w:val="20"/>
        <w:szCs w:val="20"/>
      </w:rPr>
    </w:lvl>
  </w:abstractNum>
  <w:abstractNum w:abstractNumId="9">
    <w:nsid w:val="0661623C"/>
    <w:multiLevelType w:val="singleLevel"/>
    <w:tmpl w:val="288EA5FB"/>
    <w:lvl w:ilvl="0">
      <w:start w:val="1"/>
      <w:numFmt w:val="upperLetter"/>
      <w:lvlText w:val="%1:"/>
      <w:lvlJc w:val="left"/>
      <w:pPr>
        <w:tabs>
          <w:tab w:val="num" w:pos="930"/>
        </w:tabs>
        <w:ind w:left="714" w:hanging="288"/>
      </w:pPr>
      <w:rPr>
        <w:snapToGrid/>
        <w:spacing w:val="-1"/>
        <w:sz w:val="21"/>
        <w:szCs w:val="21"/>
      </w:rPr>
    </w:lvl>
  </w:abstractNum>
  <w:abstractNum w:abstractNumId="10">
    <w:nsid w:val="1231031E"/>
    <w:multiLevelType w:val="hybridMultilevel"/>
    <w:tmpl w:val="38BCE5E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148260FF"/>
    <w:multiLevelType w:val="hybridMultilevel"/>
    <w:tmpl w:val="31144838"/>
    <w:lvl w:ilvl="0" w:tplc="FC1C47EA">
      <w:start w:val="1"/>
      <w:numFmt w:val="upperLetter"/>
      <w:lvlText w:val="%1."/>
      <w:lvlJc w:val="left"/>
      <w:pPr>
        <w:ind w:left="660" w:hanging="360"/>
      </w:pPr>
      <w:rPr>
        <w:rFonts w:hint="default"/>
      </w:rPr>
    </w:lvl>
    <w:lvl w:ilvl="1" w:tplc="0C0A0019" w:tentative="1">
      <w:start w:val="1"/>
      <w:numFmt w:val="lowerLetter"/>
      <w:lvlText w:val="%2."/>
      <w:lvlJc w:val="left"/>
      <w:pPr>
        <w:ind w:left="1380" w:hanging="360"/>
      </w:pPr>
    </w:lvl>
    <w:lvl w:ilvl="2" w:tplc="0C0A001B" w:tentative="1">
      <w:start w:val="1"/>
      <w:numFmt w:val="lowerRoman"/>
      <w:lvlText w:val="%3."/>
      <w:lvlJc w:val="right"/>
      <w:pPr>
        <w:ind w:left="2100" w:hanging="180"/>
      </w:pPr>
    </w:lvl>
    <w:lvl w:ilvl="3" w:tplc="0C0A000F" w:tentative="1">
      <w:start w:val="1"/>
      <w:numFmt w:val="decimal"/>
      <w:lvlText w:val="%4."/>
      <w:lvlJc w:val="left"/>
      <w:pPr>
        <w:ind w:left="2820" w:hanging="360"/>
      </w:pPr>
    </w:lvl>
    <w:lvl w:ilvl="4" w:tplc="0C0A0019" w:tentative="1">
      <w:start w:val="1"/>
      <w:numFmt w:val="lowerLetter"/>
      <w:lvlText w:val="%5."/>
      <w:lvlJc w:val="left"/>
      <w:pPr>
        <w:ind w:left="3540" w:hanging="360"/>
      </w:pPr>
    </w:lvl>
    <w:lvl w:ilvl="5" w:tplc="0C0A001B" w:tentative="1">
      <w:start w:val="1"/>
      <w:numFmt w:val="lowerRoman"/>
      <w:lvlText w:val="%6."/>
      <w:lvlJc w:val="right"/>
      <w:pPr>
        <w:ind w:left="4260" w:hanging="180"/>
      </w:pPr>
    </w:lvl>
    <w:lvl w:ilvl="6" w:tplc="0C0A000F" w:tentative="1">
      <w:start w:val="1"/>
      <w:numFmt w:val="decimal"/>
      <w:lvlText w:val="%7."/>
      <w:lvlJc w:val="left"/>
      <w:pPr>
        <w:ind w:left="4980" w:hanging="360"/>
      </w:pPr>
    </w:lvl>
    <w:lvl w:ilvl="7" w:tplc="0C0A0019" w:tentative="1">
      <w:start w:val="1"/>
      <w:numFmt w:val="lowerLetter"/>
      <w:lvlText w:val="%8."/>
      <w:lvlJc w:val="left"/>
      <w:pPr>
        <w:ind w:left="5700" w:hanging="360"/>
      </w:pPr>
    </w:lvl>
    <w:lvl w:ilvl="8" w:tplc="0C0A001B" w:tentative="1">
      <w:start w:val="1"/>
      <w:numFmt w:val="lowerRoman"/>
      <w:lvlText w:val="%9."/>
      <w:lvlJc w:val="right"/>
      <w:pPr>
        <w:ind w:left="6420" w:hanging="180"/>
      </w:pPr>
    </w:lvl>
  </w:abstractNum>
  <w:abstractNum w:abstractNumId="12">
    <w:nsid w:val="53CE5320"/>
    <w:multiLevelType w:val="hybridMultilevel"/>
    <w:tmpl w:val="38BCE5EC"/>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6"/>
  </w:num>
  <w:num w:numId="2">
    <w:abstractNumId w:val="1"/>
  </w:num>
  <w:num w:numId="3">
    <w:abstractNumId w:val="8"/>
  </w:num>
  <w:num w:numId="4">
    <w:abstractNumId w:val="2"/>
  </w:num>
  <w:num w:numId="5">
    <w:abstractNumId w:val="2"/>
    <w:lvlOverride w:ilvl="0">
      <w:lvl w:ilvl="0">
        <w:numFmt w:val="upperLetter"/>
        <w:lvlText w:val="%1:"/>
        <w:lvlJc w:val="left"/>
        <w:pPr>
          <w:tabs>
            <w:tab w:val="num" w:pos="1584"/>
          </w:tabs>
          <w:ind w:left="1080"/>
        </w:pPr>
        <w:rPr>
          <w:snapToGrid/>
          <w:spacing w:val="-8"/>
          <w:sz w:val="20"/>
          <w:szCs w:val="20"/>
        </w:rPr>
      </w:lvl>
    </w:lvlOverride>
  </w:num>
  <w:num w:numId="6">
    <w:abstractNumId w:val="5"/>
  </w:num>
  <w:num w:numId="7">
    <w:abstractNumId w:val="0"/>
  </w:num>
  <w:num w:numId="8">
    <w:abstractNumId w:val="4"/>
  </w:num>
  <w:num w:numId="9">
    <w:abstractNumId w:val="9"/>
  </w:num>
  <w:num w:numId="10">
    <w:abstractNumId w:val="3"/>
  </w:num>
  <w:num w:numId="11">
    <w:abstractNumId w:val="7"/>
  </w:num>
  <w:num w:numId="12">
    <w:abstractNumId w:val="7"/>
    <w:lvlOverride w:ilvl="0">
      <w:lvl w:ilvl="0">
        <w:numFmt w:val="upperLetter"/>
        <w:lvlText w:val="%1:"/>
        <w:lvlJc w:val="left"/>
        <w:pPr>
          <w:tabs>
            <w:tab w:val="num" w:pos="1728"/>
          </w:tabs>
          <w:ind w:left="1512" w:hanging="288"/>
        </w:pPr>
        <w:rPr>
          <w:rFonts w:ascii="Tahoma" w:hAnsi="Tahoma" w:cs="Tahoma"/>
          <w:snapToGrid/>
          <w:sz w:val="19"/>
          <w:szCs w:val="19"/>
        </w:rPr>
      </w:lvl>
    </w:lvlOverride>
  </w:num>
  <w:num w:numId="13">
    <w:abstractNumId w:val="12"/>
  </w:num>
  <w:num w:numId="14">
    <w:abstractNumId w:val="11"/>
  </w:num>
  <w:num w:numId="1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D61A54"/>
    <w:rsid w:val="00113814"/>
    <w:rsid w:val="001B3502"/>
    <w:rsid w:val="00223397"/>
    <w:rsid w:val="002F0998"/>
    <w:rsid w:val="003372A0"/>
    <w:rsid w:val="00451340"/>
    <w:rsid w:val="00454359"/>
    <w:rsid w:val="00BF5540"/>
    <w:rsid w:val="00CC5579"/>
    <w:rsid w:val="00D61A54"/>
    <w:rsid w:val="00EB1845"/>
    <w:rsid w:val="00FA2B0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5540"/>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B3502"/>
    <w:pPr>
      <w:ind w:left="720"/>
      <w:contextualSpacing/>
    </w:pPr>
  </w:style>
  <w:style w:type="paragraph" w:styleId="NormalWeb">
    <w:name w:val="Normal (Web)"/>
    <w:basedOn w:val="Normal"/>
    <w:uiPriority w:val="99"/>
    <w:semiHidden/>
    <w:unhideWhenUsed/>
    <w:rsid w:val="00454359"/>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r="http://schemas.openxmlformats.org/officeDocument/2006/relationships" xmlns:w="http://schemas.openxmlformats.org/wordprocessingml/2006/main">
  <w:divs>
    <w:div w:id="510410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1018</Words>
  <Characters>5600</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Lorenzo Arracó</dc:creator>
  <cp:lastModifiedBy>Lorenzo Arracó</cp:lastModifiedBy>
  <cp:revision>3</cp:revision>
  <dcterms:created xsi:type="dcterms:W3CDTF">2021-10-29T14:18:00Z</dcterms:created>
  <dcterms:modified xsi:type="dcterms:W3CDTF">2021-10-29T14:23:00Z</dcterms:modified>
</cp:coreProperties>
</file>