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708F" w:rsidRPr="008A12DF" w:rsidRDefault="00386DF8" w:rsidP="008A12DF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EXAMEN </w:t>
      </w:r>
      <w:r w:rsidR="0091708F" w:rsidRPr="0091708F">
        <w:rPr>
          <w:rFonts w:cstheme="minorHAnsi"/>
          <w:b/>
          <w:bCs/>
          <w:sz w:val="24"/>
          <w:szCs w:val="24"/>
        </w:rPr>
        <w:t>F</w:t>
      </w:r>
      <w:r w:rsidR="008A12DF">
        <w:rPr>
          <w:rFonts w:cstheme="minorHAnsi"/>
          <w:b/>
          <w:bCs/>
          <w:sz w:val="24"/>
          <w:szCs w:val="24"/>
        </w:rPr>
        <w:t>E</w:t>
      </w:r>
      <w:r w:rsidR="0091708F" w:rsidRPr="0091708F">
        <w:rPr>
          <w:rFonts w:cstheme="minorHAnsi"/>
          <w:b/>
          <w:bCs/>
          <w:sz w:val="24"/>
          <w:szCs w:val="24"/>
        </w:rPr>
        <w:t>A GERIATRIA</w:t>
      </w:r>
    </w:p>
    <w:p w:rsidR="0091708F" w:rsidRDefault="0091708F" w:rsidP="0091708F">
      <w:pPr>
        <w:spacing w:after="0" w:line="240" w:lineRule="auto"/>
        <w:rPr>
          <w:rFonts w:cstheme="minorHAnsi"/>
          <w:b/>
          <w:bCs/>
        </w:rPr>
      </w:pPr>
    </w:p>
    <w:p w:rsidR="0091708F" w:rsidRPr="0091708F" w:rsidRDefault="0091708F" w:rsidP="0091708F">
      <w:pPr>
        <w:spacing w:after="0" w:line="240" w:lineRule="auto"/>
        <w:rPr>
          <w:rFonts w:cstheme="minorHAnsi"/>
          <w:b/>
          <w:bCs/>
        </w:rPr>
      </w:pPr>
    </w:p>
    <w:p w:rsidR="0091708F" w:rsidRPr="0091708F" w:rsidRDefault="0091708F" w:rsidP="0091708F">
      <w:pPr>
        <w:spacing w:after="0" w:line="240" w:lineRule="auto"/>
        <w:rPr>
          <w:rFonts w:cstheme="minorHAnsi"/>
          <w:b/>
          <w:bCs/>
        </w:rPr>
      </w:pPr>
      <w:r w:rsidRPr="0091708F">
        <w:rPr>
          <w:rFonts w:cstheme="minorHAnsi"/>
          <w:b/>
          <w:bCs/>
        </w:rPr>
        <w:t>1 De acuerdo con la Ley 41/2002, los Centros Sanitarios tienen la obligación de conservar la</w:t>
      </w:r>
    </w:p>
    <w:p w:rsidR="0091708F" w:rsidRPr="0091708F" w:rsidRDefault="0091708F" w:rsidP="0091708F">
      <w:pPr>
        <w:spacing w:after="0" w:line="240" w:lineRule="auto"/>
        <w:rPr>
          <w:rFonts w:cstheme="minorHAnsi"/>
          <w:b/>
          <w:bCs/>
        </w:rPr>
      </w:pPr>
      <w:r w:rsidRPr="0091708F">
        <w:rPr>
          <w:rFonts w:cstheme="minorHAnsi"/>
          <w:b/>
          <w:bCs/>
        </w:rPr>
        <w:t>documentación clínica un mínimo de</w:t>
      </w:r>
      <w:r>
        <w:rPr>
          <w:rFonts w:cstheme="minorHAnsi"/>
          <w:b/>
          <w:bCs/>
        </w:rPr>
        <w:t>:</w:t>
      </w:r>
    </w:p>
    <w:p w:rsidR="0091708F" w:rsidRPr="0091708F" w:rsidRDefault="0091708F" w:rsidP="0091708F">
      <w:pPr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1708F">
        <w:rPr>
          <w:rFonts w:cstheme="minorHAnsi"/>
        </w:rPr>
        <w:t>10 a</w:t>
      </w:r>
      <w:r>
        <w:rPr>
          <w:rFonts w:cstheme="minorHAnsi"/>
        </w:rPr>
        <w:t>ñ</w:t>
      </w:r>
      <w:r w:rsidRPr="0091708F">
        <w:rPr>
          <w:rFonts w:cstheme="minorHAnsi"/>
        </w:rPr>
        <w:t xml:space="preserve">os corno </w:t>
      </w:r>
      <w:r>
        <w:rPr>
          <w:rFonts w:cstheme="minorHAnsi"/>
        </w:rPr>
        <w:t>m</w:t>
      </w:r>
      <w:r w:rsidRPr="0091708F">
        <w:rPr>
          <w:rFonts w:cstheme="minorHAnsi"/>
        </w:rPr>
        <w:t>ínimo</w:t>
      </w:r>
    </w:p>
    <w:p w:rsidR="0091708F" w:rsidRPr="0091708F" w:rsidRDefault="0091708F" w:rsidP="0091708F">
      <w:pPr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1708F">
        <w:rPr>
          <w:rFonts w:cstheme="minorHAnsi"/>
        </w:rPr>
        <w:t>El tiempo adecuado en cada caso y como mínimo, 5 años contados desde la fecha dé alta de cada proceso asistencial</w:t>
      </w:r>
    </w:p>
    <w:p w:rsidR="0091708F" w:rsidRPr="0091708F" w:rsidRDefault="0091708F" w:rsidP="0091708F">
      <w:pPr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1708F">
        <w:rPr>
          <w:rFonts w:cstheme="minorHAnsi"/>
        </w:rPr>
        <w:t xml:space="preserve">Mientras viva </w:t>
      </w:r>
      <w:r>
        <w:rPr>
          <w:rFonts w:cstheme="minorHAnsi"/>
        </w:rPr>
        <w:t>el</w:t>
      </w:r>
      <w:r w:rsidRPr="0091708F">
        <w:rPr>
          <w:rFonts w:cstheme="minorHAnsi"/>
        </w:rPr>
        <w:t xml:space="preserve"> paciente</w:t>
      </w:r>
    </w:p>
    <w:p w:rsidR="0091708F" w:rsidRDefault="0091708F" w:rsidP="0091708F">
      <w:pPr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91708F">
        <w:rPr>
          <w:rFonts w:cstheme="minorHAnsi"/>
        </w:rPr>
        <w:t>Lo que los Profesionales Sanitarios estimen oportuno</w:t>
      </w:r>
    </w:p>
    <w:p w:rsidR="003A6131" w:rsidRPr="003A6131" w:rsidRDefault="003A6131" w:rsidP="003A6131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</w:rPr>
      </w:pPr>
      <w:r w:rsidRPr="003A6131">
        <w:rPr>
          <w:rFonts w:cstheme="minorHAnsi"/>
          <w:b/>
          <w:bCs/>
          <w:color w:val="0070C0"/>
          <w:sz w:val="24"/>
          <w:szCs w:val="24"/>
        </w:rPr>
        <w:t>B</w:t>
      </w:r>
      <w:r w:rsidR="00441544">
        <w:rPr>
          <w:rFonts w:cstheme="minorHAnsi"/>
          <w:b/>
          <w:bCs/>
          <w:color w:val="0070C0"/>
          <w:sz w:val="24"/>
          <w:szCs w:val="24"/>
        </w:rPr>
        <w:t>, muy sencilla y muy preguntada en todas las oposiciones</w:t>
      </w:r>
    </w:p>
    <w:p w:rsidR="0091708F" w:rsidRDefault="0091708F" w:rsidP="0091708F">
      <w:pPr>
        <w:spacing w:after="0" w:line="240" w:lineRule="auto"/>
        <w:rPr>
          <w:rFonts w:cstheme="minorHAnsi"/>
          <w:b/>
          <w:bCs/>
        </w:rPr>
      </w:pPr>
    </w:p>
    <w:p w:rsidR="008A12DF" w:rsidRDefault="008A12DF" w:rsidP="0091708F">
      <w:pPr>
        <w:spacing w:after="0" w:line="240" w:lineRule="auto"/>
        <w:rPr>
          <w:rFonts w:cstheme="minorHAnsi"/>
          <w:b/>
          <w:bCs/>
        </w:rPr>
      </w:pPr>
    </w:p>
    <w:p w:rsidR="003A6131" w:rsidRDefault="003A6131" w:rsidP="0091708F">
      <w:pPr>
        <w:spacing w:after="0" w:line="240" w:lineRule="auto"/>
        <w:rPr>
          <w:rFonts w:cstheme="minorHAnsi"/>
          <w:b/>
          <w:bCs/>
        </w:rPr>
      </w:pPr>
    </w:p>
    <w:p w:rsidR="003A6131" w:rsidRDefault="003A6131" w:rsidP="0091708F">
      <w:pPr>
        <w:spacing w:after="0" w:line="240" w:lineRule="auto"/>
        <w:rPr>
          <w:rFonts w:cstheme="minorHAnsi"/>
          <w:b/>
          <w:bCs/>
        </w:rPr>
      </w:pPr>
    </w:p>
    <w:p w:rsidR="0091708F" w:rsidRPr="0091708F" w:rsidRDefault="0091708F" w:rsidP="0091708F">
      <w:pPr>
        <w:spacing w:after="0" w:line="240" w:lineRule="auto"/>
        <w:rPr>
          <w:rFonts w:cstheme="minorHAnsi"/>
          <w:b/>
          <w:bCs/>
        </w:rPr>
      </w:pPr>
      <w:r w:rsidRPr="0091708F">
        <w:rPr>
          <w:rFonts w:cstheme="minorHAnsi"/>
          <w:b/>
          <w:bCs/>
        </w:rPr>
        <w:t>2 ¿Cuál de las siguientes opciones NO forma par</w:t>
      </w:r>
      <w:r w:rsidR="006F02BE">
        <w:rPr>
          <w:rFonts w:cstheme="minorHAnsi"/>
          <w:b/>
          <w:bCs/>
        </w:rPr>
        <w:t>t</w:t>
      </w:r>
      <w:r w:rsidRPr="0091708F">
        <w:rPr>
          <w:rFonts w:cstheme="minorHAnsi"/>
          <w:b/>
          <w:bCs/>
        </w:rPr>
        <w:t>e de las fases del desarrollo de una Guía de Práctica Clínica (GPC)?</w:t>
      </w:r>
    </w:p>
    <w:p w:rsidR="0091708F" w:rsidRPr="0091708F" w:rsidRDefault="0091708F" w:rsidP="0091708F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91708F">
        <w:rPr>
          <w:rFonts w:cstheme="minorHAnsi"/>
        </w:rPr>
        <w:t>Justificación, alcance y Objetivos</w:t>
      </w:r>
    </w:p>
    <w:p w:rsidR="0091708F" w:rsidRPr="0091708F" w:rsidRDefault="0091708F" w:rsidP="0091708F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91708F">
        <w:rPr>
          <w:rFonts w:cstheme="minorHAnsi"/>
        </w:rPr>
        <w:t>Formulación de preguntas clínicas</w:t>
      </w:r>
    </w:p>
    <w:p w:rsidR="0091708F" w:rsidRDefault="0091708F" w:rsidP="0091708F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91708F">
        <w:rPr>
          <w:rFonts w:cstheme="minorHAnsi"/>
        </w:rPr>
        <w:t>Form</w:t>
      </w:r>
      <w:r>
        <w:rPr>
          <w:rFonts w:cstheme="minorHAnsi"/>
        </w:rPr>
        <w:t>u</w:t>
      </w:r>
      <w:r w:rsidRPr="0091708F">
        <w:rPr>
          <w:rFonts w:cstheme="minorHAnsi"/>
        </w:rPr>
        <w:t>lación de recomendaciones clínicas Establecer la cartera de servicio de las unidades</w:t>
      </w:r>
    </w:p>
    <w:p w:rsidR="004A0F6A" w:rsidRDefault="004A0F6A" w:rsidP="0091708F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Establecer la Cartera de Servicio de las unidades</w:t>
      </w:r>
    </w:p>
    <w:p w:rsidR="003A6131" w:rsidRPr="003A6131" w:rsidRDefault="003A6131" w:rsidP="003A6131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</w:rPr>
      </w:pPr>
      <w:r w:rsidRPr="003A6131">
        <w:rPr>
          <w:rFonts w:cstheme="minorHAnsi"/>
          <w:b/>
          <w:bCs/>
          <w:color w:val="0070C0"/>
          <w:sz w:val="24"/>
          <w:szCs w:val="24"/>
        </w:rPr>
        <w:t>D</w:t>
      </w:r>
      <w:r w:rsidR="004A0F6A">
        <w:rPr>
          <w:rFonts w:cstheme="minorHAnsi"/>
          <w:b/>
          <w:bCs/>
          <w:color w:val="0070C0"/>
          <w:sz w:val="24"/>
          <w:szCs w:val="24"/>
        </w:rPr>
        <w:t>, vista en clase, lógica</w:t>
      </w:r>
    </w:p>
    <w:p w:rsidR="0091708F" w:rsidRDefault="0091708F" w:rsidP="0091708F">
      <w:pPr>
        <w:spacing w:after="0" w:line="240" w:lineRule="auto"/>
        <w:rPr>
          <w:rFonts w:cstheme="minorHAnsi"/>
          <w:b/>
          <w:bCs/>
        </w:rPr>
      </w:pPr>
    </w:p>
    <w:p w:rsidR="003A6131" w:rsidRDefault="003A6131" w:rsidP="0091708F">
      <w:pPr>
        <w:spacing w:after="0" w:line="240" w:lineRule="auto"/>
        <w:rPr>
          <w:rFonts w:cstheme="minorHAnsi"/>
          <w:b/>
          <w:bCs/>
        </w:rPr>
      </w:pPr>
    </w:p>
    <w:p w:rsidR="0091708F" w:rsidRPr="0091708F" w:rsidRDefault="0091708F" w:rsidP="0091708F">
      <w:pPr>
        <w:spacing w:after="0" w:line="240" w:lineRule="auto"/>
        <w:rPr>
          <w:rFonts w:cstheme="minorHAnsi"/>
          <w:b/>
          <w:bCs/>
        </w:rPr>
      </w:pPr>
      <w:r w:rsidRPr="0091708F">
        <w:rPr>
          <w:rFonts w:cstheme="minorHAnsi"/>
          <w:b/>
          <w:bCs/>
        </w:rPr>
        <w:t>3 La sensibilidad en relación a la validez de una prueba diagnóstica:</w:t>
      </w:r>
    </w:p>
    <w:p w:rsidR="0091708F" w:rsidRPr="0091708F" w:rsidRDefault="0091708F" w:rsidP="0091708F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1708F">
        <w:rPr>
          <w:rFonts w:cstheme="minorHAnsi"/>
        </w:rPr>
        <w:t>Indica la probabilidad cine tiene una prueba diagnóstica de dar resultados positivos entre los sujetos enfermos</w:t>
      </w:r>
    </w:p>
    <w:p w:rsidR="0091708F" w:rsidRPr="0091708F" w:rsidRDefault="0091708F" w:rsidP="0091708F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1708F">
        <w:rPr>
          <w:rFonts w:cstheme="minorHAnsi"/>
        </w:rPr>
        <w:t>Indica la probabilidad que tiene una prueba diagnóstica de dar resultados negativos entre los sujetos que no presentan la enfer</w:t>
      </w:r>
      <w:r>
        <w:rPr>
          <w:rFonts w:cstheme="minorHAnsi"/>
        </w:rPr>
        <w:t>m</w:t>
      </w:r>
      <w:r w:rsidRPr="0091708F">
        <w:rPr>
          <w:rFonts w:cstheme="minorHAnsi"/>
        </w:rPr>
        <w:t>edad</w:t>
      </w:r>
    </w:p>
    <w:p w:rsidR="0091708F" w:rsidRPr="0091708F" w:rsidRDefault="0091708F" w:rsidP="0091708F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1708F">
        <w:rPr>
          <w:rFonts w:cstheme="minorHAnsi"/>
        </w:rPr>
        <w:t xml:space="preserve">Una sensibilidad del 80%, indica que la prueba da un resultado positivo en el 20% de los </w:t>
      </w:r>
      <w:r>
        <w:rPr>
          <w:rFonts w:cstheme="minorHAnsi"/>
        </w:rPr>
        <w:t>qu</w:t>
      </w:r>
      <w:r w:rsidRPr="0091708F">
        <w:rPr>
          <w:rFonts w:cstheme="minorHAnsi"/>
        </w:rPr>
        <w:t>e tienen el proceso en estudio</w:t>
      </w:r>
    </w:p>
    <w:p w:rsidR="0091708F" w:rsidRDefault="0091708F" w:rsidP="0091708F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91708F">
        <w:rPr>
          <w:rFonts w:cstheme="minorHAnsi"/>
        </w:rPr>
        <w:t>La sensibilidad es un parámetro de validez externa</w:t>
      </w:r>
    </w:p>
    <w:p w:rsidR="003A6131" w:rsidRPr="003A6131" w:rsidRDefault="009104BA" w:rsidP="0091708F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</w:rPr>
      </w:pPr>
      <w:r w:rsidRPr="009104BA">
        <w:rPr>
          <w:rFonts w:cstheme="minorHAnsi"/>
          <w:b/>
          <w:bCs/>
          <w:color w:val="0070C0"/>
          <w:sz w:val="24"/>
          <w:szCs w:val="24"/>
        </w:rPr>
        <w:t>A, fácil muy insistida en clas</w:t>
      </w:r>
      <w:r w:rsidR="003A6131">
        <w:rPr>
          <w:rFonts w:cstheme="minorHAnsi"/>
          <w:b/>
          <w:bCs/>
          <w:color w:val="0070C0"/>
          <w:sz w:val="24"/>
          <w:szCs w:val="24"/>
        </w:rPr>
        <w:t>e</w:t>
      </w:r>
    </w:p>
    <w:p w:rsidR="003A6131" w:rsidRDefault="003A6131" w:rsidP="0091708F">
      <w:pPr>
        <w:spacing w:after="0" w:line="240" w:lineRule="auto"/>
        <w:rPr>
          <w:rFonts w:cstheme="minorHAnsi"/>
          <w:b/>
          <w:bCs/>
        </w:rPr>
      </w:pPr>
    </w:p>
    <w:p w:rsidR="003A6131" w:rsidRDefault="003A6131" w:rsidP="0091708F">
      <w:pPr>
        <w:spacing w:after="0" w:line="240" w:lineRule="auto"/>
        <w:rPr>
          <w:rFonts w:cstheme="minorHAnsi"/>
          <w:b/>
          <w:bCs/>
        </w:rPr>
      </w:pPr>
    </w:p>
    <w:p w:rsidR="003A6131" w:rsidRDefault="003A6131" w:rsidP="0091708F">
      <w:pPr>
        <w:spacing w:after="0" w:line="240" w:lineRule="auto"/>
        <w:rPr>
          <w:rFonts w:cstheme="minorHAnsi"/>
          <w:b/>
          <w:bCs/>
        </w:rPr>
      </w:pPr>
    </w:p>
    <w:p w:rsidR="0091708F" w:rsidRPr="0091708F" w:rsidRDefault="0091708F" w:rsidP="0091708F">
      <w:pPr>
        <w:spacing w:after="0" w:line="240" w:lineRule="auto"/>
        <w:rPr>
          <w:rFonts w:cstheme="minorHAnsi"/>
          <w:b/>
          <w:bCs/>
        </w:rPr>
      </w:pPr>
      <w:r w:rsidRPr="0091708F">
        <w:rPr>
          <w:rFonts w:cstheme="minorHAnsi"/>
          <w:b/>
          <w:bCs/>
        </w:rPr>
        <w:t>4 Dentro de los objetivos de las Guías de Práctica Clínica (GPC), solo uno se considera un objetivo específico:</w:t>
      </w:r>
    </w:p>
    <w:p w:rsidR="0091708F" w:rsidRPr="0091708F" w:rsidRDefault="0091708F" w:rsidP="0091708F">
      <w:pPr>
        <w:spacing w:after="0" w:line="240" w:lineRule="auto"/>
        <w:ind w:left="993" w:hanging="284"/>
        <w:rPr>
          <w:rFonts w:cstheme="minorHAnsi"/>
        </w:rPr>
      </w:pPr>
      <w:r w:rsidRPr="0091708F">
        <w:rPr>
          <w:rFonts w:cstheme="minorHAnsi"/>
        </w:rPr>
        <w:t>A: Estable</w:t>
      </w:r>
      <w:r>
        <w:rPr>
          <w:rFonts w:cstheme="minorHAnsi"/>
        </w:rPr>
        <w:t>c</w:t>
      </w:r>
      <w:r w:rsidRPr="0091708F">
        <w:rPr>
          <w:rFonts w:cstheme="minorHAnsi"/>
        </w:rPr>
        <w:t>er un conjunto de recomenda</w:t>
      </w:r>
      <w:r>
        <w:rPr>
          <w:rFonts w:cstheme="minorHAnsi"/>
        </w:rPr>
        <w:t>c</w:t>
      </w:r>
      <w:r w:rsidRPr="0091708F">
        <w:rPr>
          <w:rFonts w:cstheme="minorHAnsi"/>
        </w:rPr>
        <w:t>iones basadas en la evidencia científica para mejorar la salud de las personas afectas por la patología abordada en la GPC</w:t>
      </w:r>
    </w:p>
    <w:p w:rsidR="0091708F" w:rsidRPr="0091708F" w:rsidRDefault="0091708F" w:rsidP="0091708F">
      <w:pPr>
        <w:spacing w:after="0" w:line="240" w:lineRule="auto"/>
        <w:ind w:left="993" w:hanging="284"/>
        <w:rPr>
          <w:rFonts w:cstheme="minorHAnsi"/>
        </w:rPr>
      </w:pPr>
      <w:r w:rsidRPr="0091708F">
        <w:rPr>
          <w:rFonts w:cstheme="minorHAnsi"/>
        </w:rPr>
        <w:t>B: Mejorar la</w:t>
      </w:r>
      <w:r>
        <w:rPr>
          <w:rFonts w:cstheme="minorHAnsi"/>
        </w:rPr>
        <w:t xml:space="preserve"> </w:t>
      </w:r>
      <w:r w:rsidRPr="0091708F">
        <w:rPr>
          <w:rFonts w:cstheme="minorHAnsi"/>
        </w:rPr>
        <w:t>atención sanitaria prestada a los pacientes</w:t>
      </w:r>
    </w:p>
    <w:p w:rsidR="0091708F" w:rsidRPr="0091708F" w:rsidRDefault="0091708F" w:rsidP="0091708F">
      <w:pPr>
        <w:spacing w:after="0" w:line="240" w:lineRule="auto"/>
        <w:ind w:left="993" w:hanging="284"/>
        <w:rPr>
          <w:rFonts w:cstheme="minorHAnsi"/>
        </w:rPr>
      </w:pPr>
      <w:r w:rsidRPr="0091708F">
        <w:rPr>
          <w:rFonts w:cstheme="minorHAnsi"/>
        </w:rPr>
        <w:t>C: Pro</w:t>
      </w:r>
      <w:r>
        <w:rPr>
          <w:rFonts w:cstheme="minorHAnsi"/>
        </w:rPr>
        <w:t>m</w:t>
      </w:r>
      <w:r w:rsidRPr="0091708F">
        <w:rPr>
          <w:rFonts w:cstheme="minorHAnsi"/>
        </w:rPr>
        <w:t>over la racionalidad y la eficiencia en la</w:t>
      </w:r>
      <w:r>
        <w:rPr>
          <w:rFonts w:cstheme="minorHAnsi"/>
        </w:rPr>
        <w:t xml:space="preserve"> </w:t>
      </w:r>
      <w:r w:rsidRPr="0091708F">
        <w:rPr>
          <w:rFonts w:cstheme="minorHAnsi"/>
        </w:rPr>
        <w:t>elección de las diferentes opciones terapéuticas</w:t>
      </w:r>
    </w:p>
    <w:p w:rsidR="0091708F" w:rsidRDefault="0091708F" w:rsidP="0091708F">
      <w:pPr>
        <w:spacing w:after="0" w:line="240" w:lineRule="auto"/>
        <w:ind w:left="993" w:hanging="284"/>
        <w:rPr>
          <w:rFonts w:cstheme="minorHAnsi"/>
        </w:rPr>
      </w:pPr>
      <w:r w:rsidRPr="0091708F">
        <w:rPr>
          <w:rFonts w:cstheme="minorHAnsi"/>
        </w:rPr>
        <w:t xml:space="preserve">D: Disminuirla frecuencia y la gravedad de los efectos adversos de un determinado tratamiento </w:t>
      </w:r>
    </w:p>
    <w:p w:rsidR="003A6131" w:rsidRPr="001714F0" w:rsidRDefault="003A6131" w:rsidP="003A6131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</w:rPr>
      </w:pPr>
      <w:r w:rsidRPr="001714F0">
        <w:rPr>
          <w:rFonts w:cstheme="minorHAnsi"/>
          <w:b/>
          <w:bCs/>
          <w:color w:val="0070C0"/>
          <w:sz w:val="24"/>
          <w:szCs w:val="24"/>
        </w:rPr>
        <w:t xml:space="preserve"> D</w:t>
      </w:r>
      <w:r w:rsidR="004A0F6A">
        <w:rPr>
          <w:rFonts w:cstheme="minorHAnsi"/>
          <w:b/>
          <w:bCs/>
          <w:color w:val="0070C0"/>
          <w:sz w:val="24"/>
          <w:szCs w:val="24"/>
        </w:rPr>
        <w:t>, es correcta (textual en el manual metodológico de elaboración de GPC de 2016), pero es innecesariamente compleja y rebuscada</w:t>
      </w:r>
    </w:p>
    <w:p w:rsidR="0091708F" w:rsidRDefault="0091708F" w:rsidP="0091708F">
      <w:pPr>
        <w:spacing w:after="0" w:line="240" w:lineRule="auto"/>
        <w:rPr>
          <w:rFonts w:cstheme="minorHAnsi"/>
        </w:rPr>
      </w:pPr>
    </w:p>
    <w:p w:rsidR="008A12DF" w:rsidRDefault="008A12DF" w:rsidP="0091708F">
      <w:pPr>
        <w:spacing w:after="0" w:line="240" w:lineRule="auto"/>
        <w:rPr>
          <w:rFonts w:cstheme="minorHAnsi"/>
          <w:b/>
          <w:bCs/>
        </w:rPr>
      </w:pPr>
    </w:p>
    <w:p w:rsidR="003A6131" w:rsidRDefault="003A6131" w:rsidP="0091708F">
      <w:pPr>
        <w:spacing w:after="0" w:line="240" w:lineRule="auto"/>
        <w:rPr>
          <w:rFonts w:cstheme="minorHAnsi"/>
          <w:b/>
          <w:bCs/>
        </w:rPr>
      </w:pPr>
    </w:p>
    <w:p w:rsidR="003A6131" w:rsidRDefault="003A6131" w:rsidP="0091708F">
      <w:pPr>
        <w:spacing w:after="0" w:line="240" w:lineRule="auto"/>
        <w:rPr>
          <w:rFonts w:cstheme="minorHAnsi"/>
          <w:b/>
          <w:bCs/>
        </w:rPr>
      </w:pPr>
    </w:p>
    <w:p w:rsidR="003A6131" w:rsidRDefault="003A6131" w:rsidP="0091708F">
      <w:pPr>
        <w:spacing w:after="0" w:line="240" w:lineRule="auto"/>
        <w:rPr>
          <w:rFonts w:cstheme="minorHAnsi"/>
          <w:b/>
          <w:bCs/>
        </w:rPr>
      </w:pPr>
    </w:p>
    <w:p w:rsidR="003A6131" w:rsidRDefault="003A6131" w:rsidP="0091708F">
      <w:pPr>
        <w:spacing w:after="0" w:line="240" w:lineRule="auto"/>
        <w:rPr>
          <w:rFonts w:cstheme="minorHAnsi"/>
          <w:b/>
          <w:bCs/>
        </w:rPr>
      </w:pPr>
    </w:p>
    <w:p w:rsidR="003A6131" w:rsidRDefault="003A6131" w:rsidP="0091708F">
      <w:pPr>
        <w:spacing w:after="0" w:line="240" w:lineRule="auto"/>
        <w:rPr>
          <w:rFonts w:cstheme="minorHAnsi"/>
          <w:b/>
          <w:bCs/>
        </w:rPr>
      </w:pPr>
    </w:p>
    <w:p w:rsidR="003A6131" w:rsidRDefault="003A6131" w:rsidP="0091708F">
      <w:pPr>
        <w:spacing w:after="0" w:line="240" w:lineRule="auto"/>
        <w:rPr>
          <w:rFonts w:cstheme="minorHAnsi"/>
          <w:b/>
          <w:bCs/>
        </w:rPr>
      </w:pPr>
    </w:p>
    <w:p w:rsidR="001714F0" w:rsidRDefault="001714F0" w:rsidP="0091708F">
      <w:pPr>
        <w:spacing w:after="0" w:line="240" w:lineRule="auto"/>
        <w:rPr>
          <w:rFonts w:cstheme="minorHAnsi"/>
          <w:b/>
          <w:bCs/>
        </w:rPr>
      </w:pPr>
    </w:p>
    <w:p w:rsidR="001714F0" w:rsidRDefault="001714F0" w:rsidP="0091708F">
      <w:pPr>
        <w:spacing w:after="0" w:line="240" w:lineRule="auto"/>
        <w:rPr>
          <w:rFonts w:cstheme="minorHAnsi"/>
          <w:b/>
          <w:bCs/>
        </w:rPr>
      </w:pPr>
    </w:p>
    <w:p w:rsidR="001714F0" w:rsidRDefault="001714F0" w:rsidP="0091708F">
      <w:pPr>
        <w:spacing w:after="0" w:line="240" w:lineRule="auto"/>
        <w:rPr>
          <w:rFonts w:cstheme="minorHAnsi"/>
          <w:b/>
          <w:bCs/>
        </w:rPr>
      </w:pPr>
    </w:p>
    <w:p w:rsidR="0091708F" w:rsidRPr="0091708F" w:rsidRDefault="0091708F" w:rsidP="0091708F">
      <w:pPr>
        <w:spacing w:after="0" w:line="240" w:lineRule="auto"/>
        <w:rPr>
          <w:rFonts w:cstheme="minorHAnsi"/>
          <w:b/>
          <w:bCs/>
        </w:rPr>
      </w:pPr>
      <w:r w:rsidRPr="0091708F">
        <w:rPr>
          <w:rFonts w:cstheme="minorHAnsi"/>
          <w:b/>
          <w:bCs/>
        </w:rPr>
        <w:lastRenderedPageBreak/>
        <w:t xml:space="preserve">5 ¿Cuál de estas afirmaciones </w:t>
      </w:r>
      <w:r>
        <w:rPr>
          <w:rFonts w:cstheme="minorHAnsi"/>
          <w:b/>
          <w:bCs/>
        </w:rPr>
        <w:t>e</w:t>
      </w:r>
      <w:r w:rsidRPr="0091708F">
        <w:rPr>
          <w:rFonts w:cstheme="minorHAnsi"/>
          <w:b/>
          <w:bCs/>
        </w:rPr>
        <w:t>s correcta?:</w:t>
      </w:r>
    </w:p>
    <w:p w:rsidR="0091708F" w:rsidRPr="0091708F" w:rsidRDefault="0091708F" w:rsidP="0091708F">
      <w:pPr>
        <w:spacing w:after="0" w:line="240" w:lineRule="auto"/>
        <w:ind w:left="709"/>
        <w:rPr>
          <w:rFonts w:cstheme="minorHAnsi"/>
        </w:rPr>
      </w:pPr>
      <w:r w:rsidRPr="0091708F">
        <w:rPr>
          <w:rFonts w:cstheme="minorHAnsi"/>
        </w:rPr>
        <w:t>A: El valor predictivo de la prueba positiva (VPP) se define como la probabilidad que tiene una prueba de detectar enfermos cuando da un resultado positivo</w:t>
      </w:r>
    </w:p>
    <w:p w:rsidR="0091708F" w:rsidRPr="0091708F" w:rsidRDefault="0091708F" w:rsidP="0091708F">
      <w:pPr>
        <w:spacing w:after="0" w:line="240" w:lineRule="auto"/>
        <w:ind w:left="709"/>
        <w:rPr>
          <w:rFonts w:cstheme="minorHAnsi"/>
        </w:rPr>
      </w:pPr>
      <w:r w:rsidRPr="0091708F">
        <w:rPr>
          <w:rFonts w:cstheme="minorHAnsi"/>
        </w:rPr>
        <w:t>)3: El valor predictivo de la prueba negativa (VPN) se define como la probabilidad que tiene tina prueba de detectar enfermos cuando da un resultado negativo</w:t>
      </w:r>
    </w:p>
    <w:p w:rsidR="0091708F" w:rsidRPr="0091708F" w:rsidRDefault="0091708F" w:rsidP="0091708F">
      <w:pPr>
        <w:spacing w:after="0" w:line="240" w:lineRule="auto"/>
        <w:ind w:left="709"/>
        <w:rPr>
          <w:rFonts w:cstheme="minorHAnsi"/>
        </w:rPr>
      </w:pPr>
      <w:r w:rsidRPr="0091708F">
        <w:rPr>
          <w:rFonts w:cstheme="minorHAnsi"/>
        </w:rPr>
        <w:t>C: Los valores predictivos no dependen de la prevalencia</w:t>
      </w:r>
    </w:p>
    <w:p w:rsidR="0091708F" w:rsidRDefault="0091708F" w:rsidP="009104BA">
      <w:pPr>
        <w:spacing w:after="0" w:line="240" w:lineRule="auto"/>
        <w:ind w:left="709"/>
        <w:rPr>
          <w:rFonts w:cstheme="minorHAnsi"/>
        </w:rPr>
      </w:pPr>
      <w:r w:rsidRPr="0091708F">
        <w:rPr>
          <w:rFonts w:cstheme="minorHAnsi"/>
        </w:rPr>
        <w:t>D: El valor predi</w:t>
      </w:r>
      <w:r>
        <w:rPr>
          <w:rFonts w:cstheme="minorHAnsi"/>
        </w:rPr>
        <w:t>c</w:t>
      </w:r>
      <w:r w:rsidRPr="0091708F">
        <w:rPr>
          <w:rFonts w:cstheme="minorHAnsi"/>
        </w:rPr>
        <w:t>tivo global (VPG) es la</w:t>
      </w:r>
      <w:r>
        <w:rPr>
          <w:rFonts w:cstheme="minorHAnsi"/>
        </w:rPr>
        <w:t xml:space="preserve"> </w:t>
      </w:r>
      <w:r w:rsidRPr="0091708F">
        <w:rPr>
          <w:rFonts w:cstheme="minorHAnsi"/>
        </w:rPr>
        <w:t>probabilidad que tiene una prueba de no acertar</w:t>
      </w:r>
    </w:p>
    <w:p w:rsidR="009104BA" w:rsidRDefault="009104BA" w:rsidP="009104BA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</w:rPr>
      </w:pPr>
      <w:r w:rsidRPr="009104BA">
        <w:rPr>
          <w:rFonts w:cstheme="minorHAnsi"/>
          <w:b/>
          <w:bCs/>
          <w:color w:val="0070C0"/>
          <w:sz w:val="24"/>
          <w:szCs w:val="24"/>
        </w:rPr>
        <w:t>A, fácil</w:t>
      </w:r>
      <w:r>
        <w:rPr>
          <w:rFonts w:cstheme="minorHAnsi"/>
          <w:b/>
          <w:bCs/>
          <w:color w:val="0070C0"/>
          <w:sz w:val="24"/>
          <w:szCs w:val="24"/>
        </w:rPr>
        <w:t>, se insistió mucho en las definiciones</w:t>
      </w:r>
      <w:r w:rsidRPr="009104BA">
        <w:rPr>
          <w:rFonts w:cstheme="minorHAnsi"/>
          <w:b/>
          <w:bCs/>
          <w:color w:val="0070C0"/>
          <w:sz w:val="24"/>
          <w:szCs w:val="24"/>
        </w:rPr>
        <w:t xml:space="preserve"> </w:t>
      </w:r>
    </w:p>
    <w:p w:rsidR="003A6131" w:rsidRDefault="003A6131" w:rsidP="009104BA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</w:rPr>
      </w:pPr>
    </w:p>
    <w:p w:rsidR="003A6131" w:rsidRDefault="003A6131" w:rsidP="009104BA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</w:rPr>
      </w:pPr>
    </w:p>
    <w:p w:rsidR="003A6131" w:rsidRPr="003A6131" w:rsidRDefault="003A6131" w:rsidP="003A6131">
      <w:pPr>
        <w:spacing w:after="0" w:line="240" w:lineRule="auto"/>
        <w:rPr>
          <w:rFonts w:cstheme="minorHAnsi"/>
          <w:b/>
          <w:bCs/>
        </w:rPr>
      </w:pPr>
      <w:r w:rsidRPr="003A6131">
        <w:rPr>
          <w:rFonts w:cstheme="minorHAnsi"/>
          <w:b/>
          <w:bCs/>
        </w:rPr>
        <w:t xml:space="preserve">6 </w:t>
      </w:r>
      <w:proofErr w:type="gramStart"/>
      <w:r w:rsidRPr="003A6131">
        <w:rPr>
          <w:rFonts w:cstheme="minorHAnsi"/>
          <w:b/>
          <w:bCs/>
        </w:rPr>
        <w:t>¿ Cuánto</w:t>
      </w:r>
      <w:proofErr w:type="gramEnd"/>
      <w:r w:rsidRPr="003A6131">
        <w:rPr>
          <w:rFonts w:cstheme="minorHAnsi"/>
          <w:b/>
          <w:bCs/>
        </w:rPr>
        <w:t xml:space="preserve"> tiempo debe permanecer un profesional en el Segundo nivel de Carrera profesional para optar al tercer nivel?</w:t>
      </w:r>
    </w:p>
    <w:p w:rsidR="003A6131" w:rsidRPr="003A6131" w:rsidRDefault="003A6131" w:rsidP="003A6131">
      <w:pPr>
        <w:spacing w:after="0" w:line="240" w:lineRule="auto"/>
        <w:ind w:left="709"/>
        <w:rPr>
          <w:rFonts w:cstheme="minorHAnsi"/>
        </w:rPr>
      </w:pPr>
      <w:r w:rsidRPr="003A6131">
        <w:rPr>
          <w:rFonts w:cstheme="minorHAnsi"/>
        </w:rPr>
        <w:t xml:space="preserve">A: 5 años </w:t>
      </w:r>
    </w:p>
    <w:p w:rsidR="003A6131" w:rsidRPr="003A6131" w:rsidRDefault="003A6131" w:rsidP="003A6131">
      <w:pPr>
        <w:spacing w:after="0" w:line="240" w:lineRule="auto"/>
        <w:ind w:left="709"/>
        <w:rPr>
          <w:rFonts w:cstheme="minorHAnsi"/>
        </w:rPr>
      </w:pPr>
      <w:r w:rsidRPr="003A6131">
        <w:rPr>
          <w:rFonts w:cstheme="minorHAnsi"/>
        </w:rPr>
        <w:t>B: 7años</w:t>
      </w:r>
    </w:p>
    <w:p w:rsidR="003A6131" w:rsidRPr="003A6131" w:rsidRDefault="003A6131" w:rsidP="003A6131">
      <w:pPr>
        <w:spacing w:after="0" w:line="240" w:lineRule="auto"/>
        <w:ind w:left="709"/>
        <w:rPr>
          <w:rFonts w:cstheme="minorHAnsi"/>
        </w:rPr>
      </w:pPr>
      <w:r w:rsidRPr="003A6131">
        <w:rPr>
          <w:rFonts w:cstheme="minorHAnsi"/>
        </w:rPr>
        <w:t>C: 4 años</w:t>
      </w:r>
    </w:p>
    <w:p w:rsidR="003A6131" w:rsidRPr="003A6131" w:rsidRDefault="003A6131" w:rsidP="003A6131">
      <w:pPr>
        <w:spacing w:after="0" w:line="240" w:lineRule="auto"/>
        <w:ind w:left="709"/>
        <w:rPr>
          <w:rFonts w:cstheme="minorHAnsi"/>
        </w:rPr>
      </w:pPr>
      <w:r w:rsidRPr="003A6131">
        <w:rPr>
          <w:rFonts w:cstheme="minorHAnsi"/>
        </w:rPr>
        <w:t>C: Según su evaluación</w:t>
      </w:r>
    </w:p>
    <w:p w:rsidR="003A6131" w:rsidRPr="003A6131" w:rsidRDefault="003A6131" w:rsidP="003A6131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</w:rPr>
      </w:pPr>
      <w:r w:rsidRPr="003A6131">
        <w:rPr>
          <w:rFonts w:cstheme="minorHAnsi"/>
          <w:b/>
          <w:bCs/>
          <w:color w:val="0070C0"/>
          <w:sz w:val="24"/>
          <w:szCs w:val="24"/>
        </w:rPr>
        <w:t>A</w:t>
      </w:r>
      <w:r w:rsidR="00441544">
        <w:rPr>
          <w:rFonts w:cstheme="minorHAnsi"/>
          <w:b/>
          <w:bCs/>
          <w:color w:val="0070C0"/>
          <w:sz w:val="24"/>
          <w:szCs w:val="24"/>
        </w:rPr>
        <w:t xml:space="preserve">, </w:t>
      </w:r>
      <w:r w:rsidR="00441544" w:rsidRPr="00441544">
        <w:rPr>
          <w:rFonts w:cstheme="minorHAnsi"/>
          <w:b/>
          <w:bCs/>
          <w:color w:val="0070C0"/>
          <w:sz w:val="24"/>
          <w:szCs w:val="24"/>
        </w:rPr>
        <w:t xml:space="preserve">sencilla, son tres años de permanencia en el nivel 2 para poder solicitar el nivel 3. Solo cambia la permanencia en el caso de solicitar el nivel </w:t>
      </w:r>
      <w:proofErr w:type="gramStart"/>
      <w:r w:rsidR="00441544" w:rsidRPr="00441544">
        <w:rPr>
          <w:rFonts w:cstheme="minorHAnsi"/>
          <w:b/>
          <w:bCs/>
          <w:color w:val="0070C0"/>
          <w:sz w:val="24"/>
          <w:szCs w:val="24"/>
        </w:rPr>
        <w:t>4 ,</w:t>
      </w:r>
      <w:proofErr w:type="gramEnd"/>
      <w:r w:rsidR="00441544" w:rsidRPr="00441544">
        <w:rPr>
          <w:rFonts w:cstheme="minorHAnsi"/>
          <w:b/>
          <w:bCs/>
          <w:color w:val="0070C0"/>
          <w:sz w:val="24"/>
          <w:szCs w:val="24"/>
        </w:rPr>
        <w:t xml:space="preserve"> en este caso hay que permanecer 7 años en el nivel 3.</w:t>
      </w:r>
    </w:p>
    <w:p w:rsidR="003A6131" w:rsidRPr="003A6131" w:rsidRDefault="003A6131" w:rsidP="003A6131">
      <w:pPr>
        <w:spacing w:after="0" w:line="240" w:lineRule="auto"/>
        <w:rPr>
          <w:rFonts w:cstheme="minorHAnsi"/>
        </w:rPr>
      </w:pPr>
    </w:p>
    <w:p w:rsidR="003A6131" w:rsidRPr="003A6131" w:rsidRDefault="003A6131" w:rsidP="003A6131">
      <w:pPr>
        <w:spacing w:after="0" w:line="240" w:lineRule="auto"/>
        <w:rPr>
          <w:rFonts w:cstheme="minorHAnsi"/>
        </w:rPr>
      </w:pPr>
    </w:p>
    <w:p w:rsidR="003A6131" w:rsidRDefault="003A6131" w:rsidP="003A6131">
      <w:pPr>
        <w:spacing w:after="0" w:line="240" w:lineRule="auto"/>
        <w:rPr>
          <w:rFonts w:cstheme="minorHAnsi"/>
          <w:b/>
          <w:bCs/>
        </w:rPr>
      </w:pPr>
    </w:p>
    <w:p w:rsidR="003A6131" w:rsidRPr="003A6131" w:rsidRDefault="003A6131" w:rsidP="003A6131">
      <w:pPr>
        <w:spacing w:after="0" w:line="240" w:lineRule="auto"/>
        <w:rPr>
          <w:rFonts w:cstheme="minorHAnsi"/>
          <w:b/>
          <w:bCs/>
        </w:rPr>
      </w:pPr>
      <w:r w:rsidRPr="003A6131">
        <w:rPr>
          <w:rFonts w:cstheme="minorHAnsi"/>
          <w:b/>
          <w:bCs/>
        </w:rPr>
        <w:t>7 El primer paso en una revisión sistemática es:</w:t>
      </w:r>
    </w:p>
    <w:p w:rsidR="003A6131" w:rsidRPr="003A6131" w:rsidRDefault="003A6131" w:rsidP="003A6131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3A6131">
        <w:rPr>
          <w:rFonts w:cstheme="minorHAnsi"/>
        </w:rPr>
        <w:t>Formulación del problema</w:t>
      </w:r>
    </w:p>
    <w:p w:rsidR="003A6131" w:rsidRPr="003A6131" w:rsidRDefault="003A6131" w:rsidP="003A6131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3A6131">
        <w:rPr>
          <w:rFonts w:cstheme="minorHAnsi"/>
        </w:rPr>
        <w:t>Selección de los estudios a incluir</w:t>
      </w:r>
    </w:p>
    <w:p w:rsidR="003A6131" w:rsidRPr="003A6131" w:rsidRDefault="003A6131" w:rsidP="003A6131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3A6131">
        <w:rPr>
          <w:rFonts w:cstheme="minorHAnsi"/>
        </w:rPr>
        <w:t>Definición de los criterios de selección de los estudios</w:t>
      </w:r>
    </w:p>
    <w:p w:rsidR="003A6131" w:rsidRPr="003A6131" w:rsidRDefault="003A6131" w:rsidP="003A6131">
      <w:pPr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3A6131">
        <w:rPr>
          <w:rFonts w:cstheme="minorHAnsi"/>
        </w:rPr>
        <w:t>Elaboración de la estrategia de búsqueda de los estudios</w:t>
      </w:r>
    </w:p>
    <w:p w:rsidR="003A6131" w:rsidRPr="003A6131" w:rsidRDefault="003A6131" w:rsidP="003A6131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</w:rPr>
      </w:pPr>
      <w:r w:rsidRPr="003A6131">
        <w:rPr>
          <w:rFonts w:cstheme="minorHAnsi"/>
          <w:b/>
          <w:bCs/>
          <w:color w:val="0070C0"/>
          <w:sz w:val="24"/>
          <w:szCs w:val="24"/>
        </w:rPr>
        <w:t>A</w:t>
      </w:r>
      <w:r w:rsidR="004A0F6A">
        <w:rPr>
          <w:rFonts w:cstheme="minorHAnsi"/>
          <w:b/>
          <w:bCs/>
          <w:color w:val="0070C0"/>
          <w:sz w:val="24"/>
          <w:szCs w:val="24"/>
        </w:rPr>
        <w:t xml:space="preserve">, vista en clase </w:t>
      </w:r>
    </w:p>
    <w:p w:rsidR="003A6131" w:rsidRPr="003A6131" w:rsidRDefault="003A6131" w:rsidP="003A6131">
      <w:pPr>
        <w:spacing w:after="0" w:line="240" w:lineRule="auto"/>
        <w:rPr>
          <w:rFonts w:cstheme="minorHAnsi"/>
        </w:rPr>
      </w:pPr>
    </w:p>
    <w:p w:rsidR="0067393E" w:rsidRDefault="0067393E" w:rsidP="003A6131">
      <w:pPr>
        <w:spacing w:after="0" w:line="240" w:lineRule="auto"/>
        <w:rPr>
          <w:rFonts w:cstheme="minorHAnsi"/>
          <w:b/>
          <w:bCs/>
        </w:rPr>
      </w:pPr>
    </w:p>
    <w:p w:rsidR="0067393E" w:rsidRDefault="0067393E" w:rsidP="003A6131">
      <w:pPr>
        <w:spacing w:after="0" w:line="240" w:lineRule="auto"/>
        <w:rPr>
          <w:rFonts w:cstheme="minorHAnsi"/>
          <w:b/>
          <w:bCs/>
        </w:rPr>
      </w:pPr>
    </w:p>
    <w:p w:rsidR="003A6131" w:rsidRPr="003A6131" w:rsidRDefault="003A6131" w:rsidP="003A6131">
      <w:pPr>
        <w:spacing w:after="0" w:line="240" w:lineRule="auto"/>
        <w:rPr>
          <w:rFonts w:cstheme="minorHAnsi"/>
          <w:b/>
          <w:bCs/>
        </w:rPr>
      </w:pPr>
      <w:r w:rsidRPr="003A6131">
        <w:rPr>
          <w:rFonts w:cstheme="minorHAnsi"/>
          <w:b/>
          <w:bCs/>
        </w:rPr>
        <w:t>8 ¿Cuál de las siguientes afirmaciones sobre la cartera de servicios complementaria de las CCAA (Comunidades Autónomas) es FALSA?</w:t>
      </w:r>
    </w:p>
    <w:p w:rsidR="003A6131" w:rsidRPr="003A6131" w:rsidRDefault="003A6131" w:rsidP="003A6131">
      <w:pPr>
        <w:spacing w:after="0" w:line="240" w:lineRule="auto"/>
        <w:ind w:left="567"/>
        <w:rPr>
          <w:rFonts w:cstheme="minorHAnsi"/>
        </w:rPr>
      </w:pPr>
      <w:r w:rsidRPr="003A6131">
        <w:rPr>
          <w:rFonts w:cstheme="minorHAnsi"/>
        </w:rPr>
        <w:t>A: El Consejo Interterritorial podrá emitir recomendaciones sobre el establecimiento por parte de las CCAA de prestaciones sanitarias complementarias a las prestaciones comunes del Sistema Nacional de Salud</w:t>
      </w:r>
    </w:p>
    <w:p w:rsidR="003A6131" w:rsidRPr="003A6131" w:rsidRDefault="003A6131" w:rsidP="003A6131">
      <w:pPr>
        <w:spacing w:after="0" w:line="240" w:lineRule="auto"/>
        <w:ind w:left="567"/>
        <w:rPr>
          <w:rFonts w:cstheme="minorHAnsi"/>
        </w:rPr>
      </w:pPr>
      <w:r w:rsidRPr="003A6131">
        <w:rPr>
          <w:rFonts w:cstheme="minorHAnsi"/>
        </w:rPr>
        <w:t xml:space="preserve">B: Las CCAA pondrán en conocimiento del Ministerio de Sanidad los servicios complementarios no contemplados en la cartera común de servicios del Sistema Nacional de Salud </w:t>
      </w:r>
    </w:p>
    <w:p w:rsidR="003A6131" w:rsidRPr="003A6131" w:rsidRDefault="003A6131" w:rsidP="003A6131">
      <w:pPr>
        <w:spacing w:after="0" w:line="240" w:lineRule="auto"/>
        <w:ind w:left="567"/>
        <w:rPr>
          <w:rFonts w:cstheme="minorHAnsi"/>
        </w:rPr>
      </w:pPr>
      <w:r w:rsidRPr="003A6131">
        <w:rPr>
          <w:rFonts w:cstheme="minorHAnsi"/>
        </w:rPr>
        <w:t xml:space="preserve">C: Las prestaciones complementarias deberán reunir los mismos requisitos establecidos para la incorporación de nuevas técnicas, tecnologías o procedimientos a la cartera común de servicios </w:t>
      </w:r>
    </w:p>
    <w:p w:rsidR="003A6131" w:rsidRPr="003A6131" w:rsidRDefault="003A6131" w:rsidP="003A6131">
      <w:pPr>
        <w:spacing w:after="0" w:line="240" w:lineRule="auto"/>
        <w:ind w:left="567"/>
        <w:rPr>
          <w:rFonts w:cstheme="minorHAnsi"/>
        </w:rPr>
      </w:pPr>
      <w:r w:rsidRPr="003A6131">
        <w:rPr>
          <w:rFonts w:cstheme="minorHAnsi"/>
        </w:rPr>
        <w:t>D: Las prestaciones complementarias estarán incluidas en la financiación general de las prestaciones del Sistema Nacional de Salud</w:t>
      </w:r>
    </w:p>
    <w:p w:rsidR="003A6131" w:rsidRPr="003A6131" w:rsidRDefault="003A6131" w:rsidP="003A6131">
      <w:pPr>
        <w:spacing w:after="0" w:line="240" w:lineRule="auto"/>
        <w:rPr>
          <w:rFonts w:cstheme="minorHAnsi"/>
        </w:rPr>
      </w:pPr>
    </w:p>
    <w:p w:rsidR="00B51AD5" w:rsidRPr="00B51AD5" w:rsidRDefault="003A6131" w:rsidP="00B51AD5">
      <w:pPr>
        <w:rPr>
          <w:rFonts w:ascii="Calibri" w:eastAsia="Calibri" w:hAnsi="Calibri" w:cs="Times New Roman"/>
          <w:b/>
          <w:bCs/>
          <w:color w:val="0070C0"/>
          <w:sz w:val="24"/>
          <w:szCs w:val="24"/>
        </w:rPr>
      </w:pPr>
      <w:r w:rsidRPr="003A6131">
        <w:rPr>
          <w:rFonts w:cstheme="minorHAnsi"/>
          <w:b/>
          <w:bCs/>
          <w:color w:val="0070C0"/>
          <w:sz w:val="24"/>
          <w:szCs w:val="24"/>
        </w:rPr>
        <w:t>D</w:t>
      </w:r>
      <w:r w:rsidR="00B51AD5">
        <w:rPr>
          <w:rFonts w:cstheme="minorHAnsi"/>
          <w:b/>
          <w:bCs/>
          <w:color w:val="0070C0"/>
          <w:sz w:val="24"/>
          <w:szCs w:val="24"/>
        </w:rPr>
        <w:t xml:space="preserve">: </w:t>
      </w:r>
      <w:r w:rsidR="00B51AD5" w:rsidRPr="00B51AD5">
        <w:rPr>
          <w:rFonts w:ascii="Calibri" w:eastAsia="Calibri" w:hAnsi="Calibri" w:cs="Times New Roman"/>
          <w:b/>
          <w:bCs/>
          <w:color w:val="0070C0"/>
          <w:sz w:val="24"/>
          <w:szCs w:val="24"/>
        </w:rPr>
        <w:t>El RD 1030/2006 describe las respuestas A, B y C (así como en los apuntes) y tanto en una fuente como en la otra se señala textualmente lo siguiente (artículo 11 del RD 1030/2006):</w:t>
      </w:r>
      <w:r w:rsidR="00B51AD5">
        <w:rPr>
          <w:rFonts w:ascii="Calibri" w:eastAsia="Calibri" w:hAnsi="Calibri" w:cs="Times New Roman"/>
          <w:b/>
          <w:bCs/>
          <w:color w:val="0070C0"/>
          <w:sz w:val="24"/>
          <w:szCs w:val="24"/>
        </w:rPr>
        <w:t xml:space="preserve"> </w:t>
      </w:r>
      <w:r w:rsidR="00B51AD5" w:rsidRPr="00B51AD5">
        <w:rPr>
          <w:rFonts w:ascii="Calibri" w:eastAsia="Calibri" w:hAnsi="Calibri" w:cs="Times New Roman"/>
          <w:b/>
          <w:bCs/>
          <w:i/>
          <w:iCs/>
          <w:color w:val="0070C0"/>
          <w:sz w:val="24"/>
          <w:szCs w:val="24"/>
        </w:rPr>
        <w:t>“Los servicios o prestaciones complementarios deberán reunir los mismos requisitos establecidos para la incorporación de nuevas técnicas, tecnologías o procedimientos a la cartera común de servicios,</w:t>
      </w:r>
      <w:r w:rsidR="00B51AD5" w:rsidRPr="00B51AD5">
        <w:rPr>
          <w:rFonts w:ascii="Calibri" w:eastAsia="Calibri" w:hAnsi="Calibri" w:cs="Times New Roman"/>
          <w:b/>
          <w:bCs/>
          <w:color w:val="0070C0"/>
          <w:sz w:val="24"/>
          <w:szCs w:val="24"/>
        </w:rPr>
        <w:t xml:space="preserve"> </w:t>
      </w:r>
      <w:r w:rsidR="00B51AD5" w:rsidRPr="00B51AD5">
        <w:rPr>
          <w:rFonts w:ascii="Calibri" w:eastAsia="Calibri" w:hAnsi="Calibri" w:cs="Times New Roman"/>
          <w:b/>
          <w:bCs/>
          <w:i/>
          <w:color w:val="0070C0"/>
          <w:sz w:val="24"/>
          <w:szCs w:val="24"/>
          <w:u w:val="single"/>
        </w:rPr>
        <w:t>y no estarán incluidos en la financiación general de las prestaciones del SNS</w:t>
      </w:r>
      <w:r w:rsidR="00B51AD5" w:rsidRPr="00B51AD5">
        <w:rPr>
          <w:rFonts w:ascii="Calibri" w:eastAsia="Calibri" w:hAnsi="Calibri" w:cs="Times New Roman"/>
          <w:b/>
          <w:bCs/>
          <w:color w:val="0070C0"/>
          <w:sz w:val="24"/>
          <w:szCs w:val="24"/>
        </w:rPr>
        <w:t>.”</w:t>
      </w:r>
    </w:p>
    <w:p w:rsidR="003A6131" w:rsidRPr="003A6131" w:rsidRDefault="003A6131" w:rsidP="003A6131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</w:rPr>
      </w:pPr>
    </w:p>
    <w:p w:rsidR="003A6131" w:rsidRDefault="003A6131" w:rsidP="003A6131">
      <w:pPr>
        <w:spacing w:after="0" w:line="240" w:lineRule="auto"/>
        <w:rPr>
          <w:rFonts w:cstheme="minorHAnsi"/>
        </w:rPr>
      </w:pPr>
    </w:p>
    <w:p w:rsidR="00780589" w:rsidRDefault="00780589" w:rsidP="003A6131">
      <w:pPr>
        <w:spacing w:after="0" w:line="240" w:lineRule="auto"/>
        <w:rPr>
          <w:rFonts w:cstheme="minorHAnsi"/>
        </w:rPr>
      </w:pPr>
    </w:p>
    <w:p w:rsidR="00780589" w:rsidRDefault="00780589" w:rsidP="003A6131">
      <w:pPr>
        <w:spacing w:after="0" w:line="240" w:lineRule="auto"/>
        <w:rPr>
          <w:rFonts w:cstheme="minorHAnsi"/>
        </w:rPr>
      </w:pPr>
    </w:p>
    <w:p w:rsidR="00780589" w:rsidRDefault="00780589" w:rsidP="003A6131">
      <w:pPr>
        <w:spacing w:after="0" w:line="240" w:lineRule="auto"/>
        <w:rPr>
          <w:rFonts w:cstheme="minorHAnsi"/>
        </w:rPr>
      </w:pPr>
    </w:p>
    <w:p w:rsidR="00780589" w:rsidRPr="003A6131" w:rsidRDefault="00780589" w:rsidP="003A6131">
      <w:pPr>
        <w:spacing w:after="0" w:line="240" w:lineRule="auto"/>
        <w:rPr>
          <w:rFonts w:cstheme="minorHAnsi"/>
        </w:rPr>
      </w:pPr>
    </w:p>
    <w:p w:rsidR="003A6131" w:rsidRPr="003A6131" w:rsidRDefault="003A6131" w:rsidP="003A6131">
      <w:pPr>
        <w:spacing w:after="0" w:line="240" w:lineRule="auto"/>
        <w:rPr>
          <w:rFonts w:cstheme="minorHAnsi"/>
          <w:b/>
          <w:bCs/>
        </w:rPr>
      </w:pPr>
    </w:p>
    <w:p w:rsidR="0067393E" w:rsidRPr="0067393E" w:rsidRDefault="0067393E" w:rsidP="0067393E">
      <w:pPr>
        <w:spacing w:after="0" w:line="240" w:lineRule="auto"/>
        <w:rPr>
          <w:rFonts w:cstheme="minorHAnsi"/>
          <w:b/>
          <w:bCs/>
        </w:rPr>
      </w:pPr>
      <w:r w:rsidRPr="0067393E">
        <w:rPr>
          <w:rFonts w:cstheme="minorHAnsi"/>
          <w:b/>
          <w:bCs/>
        </w:rPr>
        <w:lastRenderedPageBreak/>
        <w:t>9 En relación con la asistencia sanitaria NO es una actuación que el Sistema de Salud de Aragón deba llevar a cabo:</w:t>
      </w:r>
    </w:p>
    <w:p w:rsidR="0067393E" w:rsidRPr="0067393E" w:rsidRDefault="0067393E" w:rsidP="0067393E">
      <w:pPr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67393E">
        <w:rPr>
          <w:rFonts w:cstheme="minorHAnsi"/>
        </w:rPr>
        <w:t>La atención a las urgencias y emergencias sanitarias.</w:t>
      </w:r>
    </w:p>
    <w:p w:rsidR="0067393E" w:rsidRPr="0067393E" w:rsidRDefault="0067393E" w:rsidP="0067393E">
      <w:pPr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67393E">
        <w:rPr>
          <w:rFonts w:cstheme="minorHAnsi"/>
        </w:rPr>
        <w:t>La atención, promoción, protección y mejora de la salud mental.</w:t>
      </w:r>
    </w:p>
    <w:p w:rsidR="0067393E" w:rsidRPr="0067393E" w:rsidRDefault="0067393E" w:rsidP="0067393E">
      <w:pPr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67393E">
        <w:rPr>
          <w:rFonts w:cstheme="minorHAnsi"/>
        </w:rPr>
        <w:t>El control sanitario y la prevención de los riesgos para la salud derivados de los productos alimenticios en la cadena alimentaria hasta su destino final para el consumo.</w:t>
      </w:r>
    </w:p>
    <w:p w:rsidR="0067393E" w:rsidRPr="0067393E" w:rsidRDefault="0067393E" w:rsidP="0067393E">
      <w:pPr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67393E">
        <w:rPr>
          <w:rFonts w:cstheme="minorHAnsi"/>
        </w:rPr>
        <w:t>La atención temprana.</w:t>
      </w:r>
    </w:p>
    <w:p w:rsidR="0067393E" w:rsidRPr="0067393E" w:rsidRDefault="0067393E" w:rsidP="0067393E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  <w:u w:val="single"/>
        </w:rPr>
      </w:pPr>
      <w:r w:rsidRPr="0067393E">
        <w:rPr>
          <w:rFonts w:cstheme="minorHAnsi"/>
          <w:b/>
          <w:bCs/>
          <w:color w:val="0070C0"/>
          <w:sz w:val="24"/>
          <w:szCs w:val="24"/>
        </w:rPr>
        <w:t xml:space="preserve">C: Podemos enfocar esta pregunta como contenidos o tipos de cartera de servicios que ofrece el sistema sanitario de Aragón. Es una pregunta que podemos clasificar como “pregunta trampa” si la leemos rápidamente. Las respuestas A, B y D nos ofrecen respuestas que claramente podemos clasificar dentro de lo que es asistencia sanitaria (lo tengamos o no muy claro). Todas ellas están incluidas en la cartera de servicios común del SNS, por lo que también lo va a estar en el de Aragón. La respuesta C, siendo un cometido que podemos encuadrar dentro de la cartera de servicios de salud pública, </w:t>
      </w:r>
      <w:r w:rsidRPr="0067393E">
        <w:rPr>
          <w:rFonts w:cstheme="minorHAnsi"/>
          <w:b/>
          <w:bCs/>
          <w:color w:val="0070C0"/>
          <w:sz w:val="24"/>
          <w:szCs w:val="24"/>
          <w:u w:val="single"/>
        </w:rPr>
        <w:t>NO consiste en una prestación mediante asistencia sanitaria.</w:t>
      </w:r>
    </w:p>
    <w:p w:rsidR="0067393E" w:rsidRPr="0067393E" w:rsidRDefault="0067393E" w:rsidP="0067393E">
      <w:pPr>
        <w:spacing w:after="0" w:line="240" w:lineRule="auto"/>
        <w:rPr>
          <w:rFonts w:cstheme="minorHAnsi"/>
          <w:b/>
          <w:bCs/>
        </w:rPr>
      </w:pPr>
    </w:p>
    <w:p w:rsidR="0067393E" w:rsidRPr="0067393E" w:rsidRDefault="0067393E" w:rsidP="0067393E">
      <w:pPr>
        <w:spacing w:after="0" w:line="240" w:lineRule="auto"/>
        <w:rPr>
          <w:rFonts w:cstheme="minorHAnsi"/>
        </w:rPr>
      </w:pPr>
    </w:p>
    <w:p w:rsidR="0067393E" w:rsidRPr="0067393E" w:rsidRDefault="0067393E" w:rsidP="0067393E">
      <w:pPr>
        <w:spacing w:after="0" w:line="240" w:lineRule="auto"/>
        <w:rPr>
          <w:rFonts w:cstheme="minorHAnsi"/>
          <w:b/>
          <w:bCs/>
        </w:rPr>
      </w:pPr>
      <w:r w:rsidRPr="0067393E">
        <w:rPr>
          <w:rFonts w:cstheme="minorHAnsi"/>
          <w:b/>
          <w:bCs/>
        </w:rPr>
        <w:tab/>
        <w:t>.</w:t>
      </w:r>
    </w:p>
    <w:p w:rsidR="0067393E" w:rsidRPr="0067393E" w:rsidRDefault="0067393E" w:rsidP="0067393E">
      <w:pPr>
        <w:spacing w:after="0" w:line="240" w:lineRule="auto"/>
        <w:rPr>
          <w:rFonts w:cstheme="minorHAnsi"/>
          <w:b/>
          <w:bCs/>
        </w:rPr>
      </w:pPr>
      <w:r w:rsidRPr="0067393E">
        <w:rPr>
          <w:rFonts w:cstheme="minorHAnsi"/>
          <w:b/>
          <w:bCs/>
        </w:rPr>
        <w:t>10 El nombramiento de personal interino se expedirá para el desempeño de:</w:t>
      </w:r>
    </w:p>
    <w:p w:rsidR="0067393E" w:rsidRPr="0067393E" w:rsidRDefault="0067393E" w:rsidP="0067393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67393E">
        <w:rPr>
          <w:rFonts w:cstheme="minorHAnsi"/>
        </w:rPr>
        <w:t>Una plaza vacante</w:t>
      </w:r>
    </w:p>
    <w:p w:rsidR="0067393E" w:rsidRPr="0067393E" w:rsidRDefault="0067393E" w:rsidP="0067393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67393E">
        <w:rPr>
          <w:rFonts w:cstheme="minorHAnsi"/>
        </w:rPr>
        <w:t>Una eventualidad</w:t>
      </w:r>
    </w:p>
    <w:p w:rsidR="0067393E" w:rsidRPr="0067393E" w:rsidRDefault="0067393E" w:rsidP="0067393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67393E">
        <w:rPr>
          <w:rFonts w:cstheme="minorHAnsi"/>
        </w:rPr>
        <w:t>Una sustitución</w:t>
      </w:r>
    </w:p>
    <w:p w:rsidR="0067393E" w:rsidRPr="0067393E" w:rsidRDefault="0067393E" w:rsidP="0067393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67393E">
        <w:rPr>
          <w:rFonts w:cstheme="minorHAnsi"/>
        </w:rPr>
        <w:t>Reducción de Jornada</w:t>
      </w:r>
    </w:p>
    <w:p w:rsidR="0067393E" w:rsidRPr="0067393E" w:rsidRDefault="0067393E" w:rsidP="0067393E">
      <w:pPr>
        <w:spacing w:after="0" w:line="240" w:lineRule="auto"/>
        <w:rPr>
          <w:rFonts w:cstheme="minorHAnsi"/>
          <w:b/>
          <w:bCs/>
          <w:color w:val="0070C0"/>
          <w:sz w:val="24"/>
          <w:szCs w:val="24"/>
        </w:rPr>
      </w:pPr>
      <w:r w:rsidRPr="0067393E">
        <w:rPr>
          <w:rFonts w:cstheme="minorHAnsi"/>
          <w:b/>
          <w:bCs/>
          <w:color w:val="0070C0"/>
          <w:sz w:val="24"/>
          <w:szCs w:val="24"/>
        </w:rPr>
        <w:t>A,</w:t>
      </w:r>
      <w:r w:rsidRPr="0067393E">
        <w:rPr>
          <w:rFonts w:cstheme="minorHAnsi"/>
          <w:color w:val="0070C0"/>
          <w:sz w:val="24"/>
          <w:szCs w:val="24"/>
        </w:rPr>
        <w:t xml:space="preserve"> </w:t>
      </w:r>
      <w:r w:rsidRPr="0067393E">
        <w:rPr>
          <w:rFonts w:cstheme="minorHAnsi"/>
          <w:b/>
          <w:bCs/>
          <w:color w:val="0070C0"/>
          <w:sz w:val="24"/>
          <w:szCs w:val="24"/>
        </w:rPr>
        <w:t xml:space="preserve">sencilla, la interinidad es sobre plaza vacante, art.9 del Estatuto Marco. </w:t>
      </w:r>
    </w:p>
    <w:p w:rsidR="0067393E" w:rsidRPr="0067393E" w:rsidRDefault="0067393E" w:rsidP="0067393E">
      <w:pPr>
        <w:spacing w:after="0" w:line="240" w:lineRule="auto"/>
        <w:rPr>
          <w:rFonts w:cstheme="minorHAnsi"/>
        </w:rPr>
      </w:pPr>
    </w:p>
    <w:p w:rsidR="003A6131" w:rsidRPr="0091708F" w:rsidRDefault="003A6131" w:rsidP="0091708F">
      <w:pPr>
        <w:spacing w:after="0" w:line="240" w:lineRule="auto"/>
        <w:rPr>
          <w:rFonts w:cstheme="minorHAnsi"/>
        </w:rPr>
        <w:sectPr w:rsidR="003A6131" w:rsidRPr="0091708F" w:rsidSect="001714F0">
          <w:pgSz w:w="11923" w:h="16824"/>
          <w:pgMar w:top="1418" w:right="828" w:bottom="266" w:left="955" w:header="720" w:footer="720" w:gutter="0"/>
          <w:cols w:space="720"/>
          <w:noEndnote/>
        </w:sectPr>
      </w:pPr>
    </w:p>
    <w:p w:rsidR="003A6131" w:rsidRDefault="003A6131" w:rsidP="008A12DF">
      <w:pPr>
        <w:spacing w:after="0" w:line="240" w:lineRule="auto"/>
        <w:rPr>
          <w:rFonts w:cstheme="minorHAnsi"/>
          <w:b/>
          <w:bCs/>
        </w:rPr>
      </w:pPr>
    </w:p>
    <w:sectPr w:rsidR="003A6131" w:rsidSect="003743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2DDA2"/>
    <w:multiLevelType w:val="singleLevel"/>
    <w:tmpl w:val="022A44FF"/>
    <w:lvl w:ilvl="0">
      <w:start w:val="1"/>
      <w:numFmt w:val="upperLetter"/>
      <w:lvlText w:val="%1:"/>
      <w:lvlJc w:val="left"/>
      <w:pPr>
        <w:tabs>
          <w:tab w:val="num" w:pos="1152"/>
        </w:tabs>
        <w:ind w:left="576"/>
      </w:pPr>
      <w:rPr>
        <w:snapToGrid/>
        <w:spacing w:val="-1"/>
        <w:sz w:val="22"/>
        <w:szCs w:val="22"/>
      </w:rPr>
    </w:lvl>
  </w:abstractNum>
  <w:abstractNum w:abstractNumId="1">
    <w:nsid w:val="01494265"/>
    <w:multiLevelType w:val="singleLevel"/>
    <w:tmpl w:val="0181AE25"/>
    <w:lvl w:ilvl="0">
      <w:start w:val="1"/>
      <w:numFmt w:val="upperLetter"/>
      <w:lvlText w:val="%1:"/>
      <w:lvlJc w:val="left"/>
      <w:pPr>
        <w:tabs>
          <w:tab w:val="num" w:pos="1008"/>
        </w:tabs>
        <w:ind w:left="576"/>
      </w:pPr>
      <w:rPr>
        <w:snapToGrid/>
        <w:sz w:val="22"/>
        <w:szCs w:val="22"/>
      </w:rPr>
    </w:lvl>
  </w:abstractNum>
  <w:abstractNum w:abstractNumId="2">
    <w:nsid w:val="01849F12"/>
    <w:multiLevelType w:val="singleLevel"/>
    <w:tmpl w:val="01EC1F98"/>
    <w:lvl w:ilvl="0">
      <w:start w:val="3"/>
      <w:numFmt w:val="upperLetter"/>
      <w:lvlText w:val="%1:"/>
      <w:lvlJc w:val="left"/>
      <w:pPr>
        <w:tabs>
          <w:tab w:val="num" w:pos="1152"/>
        </w:tabs>
        <w:ind w:left="576"/>
      </w:pPr>
      <w:rPr>
        <w:snapToGrid/>
        <w:spacing w:val="-6"/>
        <w:sz w:val="22"/>
        <w:szCs w:val="22"/>
      </w:rPr>
    </w:lvl>
  </w:abstractNum>
  <w:abstractNum w:abstractNumId="3">
    <w:nsid w:val="01FAEB36"/>
    <w:multiLevelType w:val="singleLevel"/>
    <w:tmpl w:val="653FE2D7"/>
    <w:lvl w:ilvl="0">
      <w:start w:val="3"/>
      <w:numFmt w:val="upperLetter"/>
      <w:lvlText w:val="%1:"/>
      <w:lvlJc w:val="left"/>
      <w:pPr>
        <w:tabs>
          <w:tab w:val="num" w:pos="1008"/>
        </w:tabs>
        <w:ind w:left="1080" w:hanging="504"/>
      </w:pPr>
      <w:rPr>
        <w:snapToGrid/>
        <w:spacing w:val="-2"/>
        <w:sz w:val="22"/>
        <w:szCs w:val="22"/>
      </w:rPr>
    </w:lvl>
  </w:abstractNum>
  <w:abstractNum w:abstractNumId="4">
    <w:nsid w:val="039EE018"/>
    <w:multiLevelType w:val="singleLevel"/>
    <w:tmpl w:val="1F3100AA"/>
    <w:lvl w:ilvl="0">
      <w:start w:val="1"/>
      <w:numFmt w:val="upperLetter"/>
      <w:lvlText w:val="%1:"/>
      <w:lvlJc w:val="left"/>
      <w:pPr>
        <w:tabs>
          <w:tab w:val="num" w:pos="936"/>
        </w:tabs>
        <w:ind w:left="1008" w:hanging="504"/>
      </w:pPr>
      <w:rPr>
        <w:snapToGrid/>
        <w:spacing w:val="1"/>
        <w:sz w:val="22"/>
        <w:szCs w:val="22"/>
      </w:rPr>
    </w:lvl>
  </w:abstractNum>
  <w:abstractNum w:abstractNumId="5">
    <w:nsid w:val="03A2A146"/>
    <w:multiLevelType w:val="singleLevel"/>
    <w:tmpl w:val="4D295486"/>
    <w:lvl w:ilvl="0">
      <w:start w:val="1"/>
      <w:numFmt w:val="upperLetter"/>
      <w:lvlText w:val="%1:"/>
      <w:lvlJc w:val="left"/>
      <w:pPr>
        <w:tabs>
          <w:tab w:val="num" w:pos="1008"/>
        </w:tabs>
        <w:ind w:left="1080" w:hanging="504"/>
      </w:pPr>
      <w:rPr>
        <w:snapToGrid/>
        <w:sz w:val="22"/>
        <w:szCs w:val="22"/>
      </w:rPr>
    </w:lvl>
  </w:abstractNum>
  <w:abstractNum w:abstractNumId="6">
    <w:nsid w:val="04AE0307"/>
    <w:multiLevelType w:val="singleLevel"/>
    <w:tmpl w:val="02DF576E"/>
    <w:lvl w:ilvl="0">
      <w:start w:val="1"/>
      <w:numFmt w:val="upperLetter"/>
      <w:lvlText w:val="%1:"/>
      <w:lvlJc w:val="left"/>
      <w:pPr>
        <w:tabs>
          <w:tab w:val="num" w:pos="936"/>
        </w:tabs>
        <w:ind w:left="1008" w:hanging="504"/>
      </w:pPr>
      <w:rPr>
        <w:snapToGrid/>
        <w:sz w:val="22"/>
        <w:szCs w:val="22"/>
      </w:rPr>
    </w:lvl>
  </w:abstractNum>
  <w:abstractNum w:abstractNumId="7">
    <w:nsid w:val="061162D0"/>
    <w:multiLevelType w:val="singleLevel"/>
    <w:tmpl w:val="21EBB008"/>
    <w:lvl w:ilvl="0">
      <w:start w:val="1"/>
      <w:numFmt w:val="upperLetter"/>
      <w:lvlText w:val="%1:"/>
      <w:lvlJc w:val="left"/>
      <w:pPr>
        <w:tabs>
          <w:tab w:val="num" w:pos="936"/>
        </w:tabs>
        <w:ind w:left="1008" w:hanging="504"/>
      </w:pPr>
      <w:rPr>
        <w:snapToGrid/>
        <w:spacing w:val="1"/>
        <w:sz w:val="22"/>
        <w:szCs w:val="22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5"/>
  </w:num>
  <w:num w:numId="8">
    <w:abstractNumId w:val="5"/>
    <w:lvlOverride w:ilvl="0">
      <w:lvl w:ilvl="0">
        <w:numFmt w:val="upperLetter"/>
        <w:lvlText w:val="%1:"/>
        <w:lvlJc w:val="left"/>
        <w:pPr>
          <w:tabs>
            <w:tab w:val="num" w:pos="1008"/>
          </w:tabs>
          <w:ind w:left="576"/>
        </w:pPr>
        <w:rPr>
          <w:snapToGrid/>
          <w:sz w:val="22"/>
          <w:szCs w:val="22"/>
        </w:rPr>
      </w:lvl>
    </w:lvlOverride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1708F"/>
    <w:rsid w:val="001714F0"/>
    <w:rsid w:val="00223397"/>
    <w:rsid w:val="00374365"/>
    <w:rsid w:val="00386DF8"/>
    <w:rsid w:val="003A6131"/>
    <w:rsid w:val="00441544"/>
    <w:rsid w:val="004A0F6A"/>
    <w:rsid w:val="0067393E"/>
    <w:rsid w:val="006F02BE"/>
    <w:rsid w:val="00780589"/>
    <w:rsid w:val="008A12DF"/>
    <w:rsid w:val="009104BA"/>
    <w:rsid w:val="0091708F"/>
    <w:rsid w:val="00B51AD5"/>
    <w:rsid w:val="00F50FB9"/>
    <w:rsid w:val="00F737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36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D54DC-6230-4544-BA18-0CD297B16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888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Arracó</dc:creator>
  <cp:lastModifiedBy>Lorenzo Arracó</cp:lastModifiedBy>
  <cp:revision>3</cp:revision>
  <dcterms:created xsi:type="dcterms:W3CDTF">2021-11-19T14:04:00Z</dcterms:created>
  <dcterms:modified xsi:type="dcterms:W3CDTF">2021-11-19T14:17:00Z</dcterms:modified>
</cp:coreProperties>
</file>