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7DC8" w:rsidRDefault="00BE7DC8"/>
    <w:p w:rsidR="00223397" w:rsidRPr="00BE7DC8" w:rsidRDefault="00BE7DC8" w:rsidP="00BE7DC8">
      <w:pPr>
        <w:jc w:val="center"/>
        <w:rPr>
          <w:b/>
          <w:bCs/>
        </w:rPr>
      </w:pPr>
      <w:r w:rsidRPr="00BE7DC8">
        <w:rPr>
          <w:b/>
          <w:bCs/>
        </w:rPr>
        <w:t>HEMATOLOGÍA</w:t>
      </w:r>
    </w:p>
    <w:p w:rsidR="00BE7DC8" w:rsidRDefault="00BE7DC8"/>
    <w:p w:rsidR="00BE7DC8" w:rsidRPr="00BE7DC8" w:rsidRDefault="00BE7DC8" w:rsidP="00BE7DC8">
      <w:pPr>
        <w:rPr>
          <w:b/>
          <w:bCs/>
        </w:rPr>
      </w:pPr>
      <w:r w:rsidRPr="00BE7DC8">
        <w:rPr>
          <w:b/>
          <w:bCs/>
        </w:rPr>
        <w:t>1 De acuerdo con la Ley 39/2015, de 1 de octubre, del Procedimiento Administrativo Común de las Administraciones Públicas:</w:t>
      </w:r>
    </w:p>
    <w:p w:rsidR="00BE7DC8" w:rsidRPr="00BE7DC8" w:rsidRDefault="00BE7DC8" w:rsidP="00BE7DC8">
      <w:pPr>
        <w:numPr>
          <w:ilvl w:val="0"/>
          <w:numId w:val="1"/>
        </w:numPr>
      </w:pPr>
      <w:r w:rsidRPr="00BE7DC8">
        <w:t>El plazo para la interposició</w:t>
      </w:r>
      <w:r>
        <w:t xml:space="preserve">n </w:t>
      </w:r>
      <w:r w:rsidRPr="00BE7DC8">
        <w:t>del recurso de reposición será de 10 días, si el acto fuera expreso.</w:t>
      </w:r>
    </w:p>
    <w:p w:rsidR="00BE7DC8" w:rsidRPr="00BE7DC8" w:rsidRDefault="00BE7DC8" w:rsidP="00BE7DC8">
      <w:pPr>
        <w:numPr>
          <w:ilvl w:val="0"/>
          <w:numId w:val="1"/>
        </w:numPr>
      </w:pPr>
      <w:r w:rsidRPr="00BE7DC8">
        <w:t>El plazo para la interposición del recurso de reposición será de 15 días, si el acto fuera expreso.</w:t>
      </w:r>
    </w:p>
    <w:p w:rsidR="00BE7DC8" w:rsidRPr="00BE7DC8" w:rsidRDefault="00BE7DC8" w:rsidP="00BE7DC8">
      <w:pPr>
        <w:numPr>
          <w:ilvl w:val="0"/>
          <w:numId w:val="1"/>
        </w:numPr>
      </w:pPr>
      <w:r w:rsidRPr="00BE7DC8">
        <w:t>El plazo para la interposición del recurso de reposición será de 20 días, si el acto fuera expreso.</w:t>
      </w:r>
    </w:p>
    <w:p w:rsidR="00BE7DC8" w:rsidRDefault="00BE7DC8" w:rsidP="00BE7DC8">
      <w:pPr>
        <w:numPr>
          <w:ilvl w:val="0"/>
          <w:numId w:val="1"/>
        </w:numPr>
      </w:pPr>
      <w:r w:rsidRPr="00BE7DC8">
        <w:t>El plazo para la interposición del recurso de reposición será de un mes, si el acto fuera expreso.</w:t>
      </w:r>
    </w:p>
    <w:p w:rsidR="0081089A" w:rsidRPr="0081089A" w:rsidRDefault="0081089A" w:rsidP="0081089A">
      <w:pPr>
        <w:rPr>
          <w:b/>
          <w:bCs/>
          <w:color w:val="0070C0"/>
          <w:sz w:val="24"/>
          <w:szCs w:val="24"/>
        </w:rPr>
      </w:pPr>
      <w:r w:rsidRPr="0081089A">
        <w:rPr>
          <w:b/>
          <w:bCs/>
          <w:color w:val="0070C0"/>
          <w:sz w:val="24"/>
          <w:szCs w:val="24"/>
        </w:rPr>
        <w:t>D</w:t>
      </w:r>
      <w:r w:rsidR="001D1268">
        <w:rPr>
          <w:b/>
          <w:bCs/>
          <w:color w:val="0070C0"/>
          <w:sz w:val="24"/>
          <w:szCs w:val="24"/>
        </w:rPr>
        <w:t xml:space="preserve">: </w:t>
      </w:r>
      <w:r w:rsidR="001D1268" w:rsidRPr="001D1268">
        <w:rPr>
          <w:b/>
          <w:bCs/>
          <w:color w:val="0070C0"/>
          <w:sz w:val="24"/>
          <w:szCs w:val="24"/>
        </w:rPr>
        <w:t>Artículo 124.1 Plazos. </w:t>
      </w:r>
      <w:r w:rsidR="001D1268" w:rsidRPr="001D1268">
        <w:rPr>
          <w:b/>
          <w:bCs/>
          <w:i/>
          <w:iCs/>
          <w:color w:val="0070C0"/>
          <w:sz w:val="24"/>
          <w:szCs w:val="24"/>
        </w:rPr>
        <w:t>El plazo para la interposición del recurso de reposición será de un mes, si el acto fuera expreso.</w:t>
      </w:r>
    </w:p>
    <w:p w:rsidR="00BE7DC8" w:rsidRDefault="00BE7DC8" w:rsidP="00BE7DC8">
      <w:pPr>
        <w:rPr>
          <w:b/>
          <w:bCs/>
        </w:rPr>
      </w:pPr>
    </w:p>
    <w:p w:rsidR="00BE7DC8" w:rsidRPr="00BE7DC8" w:rsidRDefault="00BE7DC8" w:rsidP="00BE7DC8">
      <w:pPr>
        <w:rPr>
          <w:b/>
          <w:bCs/>
        </w:rPr>
      </w:pPr>
      <w:r w:rsidRPr="00BE7DC8">
        <w:rPr>
          <w:b/>
          <w:bCs/>
        </w:rPr>
        <w:t>2 ¿Cuál de los siguientes NO es un tipo de estudio epidemiológico descriptivo?</w:t>
      </w:r>
    </w:p>
    <w:p w:rsidR="00BE7DC8" w:rsidRPr="00BE7DC8" w:rsidRDefault="00BE7DC8" w:rsidP="00BE7DC8">
      <w:pPr>
        <w:numPr>
          <w:ilvl w:val="0"/>
          <w:numId w:val="2"/>
        </w:numPr>
      </w:pPr>
      <w:r w:rsidRPr="00BE7DC8">
        <w:t>Estudios ecológicos.</w:t>
      </w:r>
    </w:p>
    <w:p w:rsidR="00BE7DC8" w:rsidRPr="00BE7DC8" w:rsidRDefault="00BE7DC8" w:rsidP="00BE7DC8">
      <w:pPr>
        <w:numPr>
          <w:ilvl w:val="0"/>
          <w:numId w:val="2"/>
        </w:numPr>
      </w:pPr>
      <w:r w:rsidRPr="00BE7DC8">
        <w:t>Estudios de mortalidad proporcional</w:t>
      </w:r>
    </w:p>
    <w:p w:rsidR="00BE7DC8" w:rsidRPr="00BE7DC8" w:rsidRDefault="00BE7DC8" w:rsidP="00BE7DC8">
      <w:pPr>
        <w:numPr>
          <w:ilvl w:val="0"/>
          <w:numId w:val="2"/>
        </w:numPr>
      </w:pPr>
      <w:r w:rsidRPr="00BE7DC8">
        <w:t>Estudios de casos y controles.</w:t>
      </w:r>
    </w:p>
    <w:p w:rsidR="00BE7DC8" w:rsidRDefault="00BE7DC8" w:rsidP="00BE7DC8">
      <w:pPr>
        <w:numPr>
          <w:ilvl w:val="0"/>
          <w:numId w:val="2"/>
        </w:numPr>
      </w:pPr>
      <w:r w:rsidRPr="00BE7DC8">
        <w:t>Series de casos</w:t>
      </w:r>
      <w:r w:rsidR="0081089A">
        <w:t>.</w:t>
      </w:r>
    </w:p>
    <w:p w:rsidR="00923A72" w:rsidRPr="00923A72" w:rsidRDefault="0081089A" w:rsidP="00923A72">
      <w:pPr>
        <w:rPr>
          <w:b/>
          <w:bCs/>
          <w:color w:val="0070C0"/>
          <w:sz w:val="24"/>
          <w:szCs w:val="24"/>
        </w:rPr>
      </w:pPr>
      <w:bookmarkStart w:id="0" w:name="_Hlk88208540"/>
      <w:r w:rsidRPr="0081089A">
        <w:rPr>
          <w:b/>
          <w:bCs/>
          <w:color w:val="0070C0"/>
          <w:sz w:val="24"/>
          <w:szCs w:val="24"/>
        </w:rPr>
        <w:t>C</w:t>
      </w:r>
      <w:r w:rsidR="00923A72">
        <w:rPr>
          <w:b/>
          <w:bCs/>
          <w:color w:val="0070C0"/>
          <w:sz w:val="24"/>
          <w:szCs w:val="24"/>
        </w:rPr>
        <w:t>, l</w:t>
      </w:r>
      <w:r w:rsidR="00923A72" w:rsidRPr="00923A72">
        <w:rPr>
          <w:b/>
          <w:bCs/>
          <w:color w:val="0070C0"/>
          <w:sz w:val="24"/>
          <w:szCs w:val="24"/>
        </w:rPr>
        <w:t xml:space="preserve">os Estudios caso control son </w:t>
      </w:r>
      <w:r w:rsidR="00923A72" w:rsidRPr="00923A72">
        <w:rPr>
          <w:b/>
          <w:bCs/>
          <w:color w:val="0070C0"/>
          <w:sz w:val="24"/>
          <w:szCs w:val="24"/>
          <w:u w:val="single"/>
        </w:rPr>
        <w:t>analíticos</w:t>
      </w:r>
      <w:r w:rsidR="00923A72" w:rsidRPr="00923A72">
        <w:rPr>
          <w:b/>
          <w:bCs/>
          <w:color w:val="0070C0"/>
          <w:sz w:val="24"/>
          <w:szCs w:val="24"/>
        </w:rPr>
        <w:t>.</w:t>
      </w:r>
    </w:p>
    <w:bookmarkEnd w:id="0"/>
    <w:p w:rsidR="00BE7DC8" w:rsidRDefault="00BE7DC8" w:rsidP="00BE7DC8"/>
    <w:p w:rsidR="00BE7DC8" w:rsidRPr="00BE7DC8" w:rsidRDefault="00BE7DC8" w:rsidP="00BE7DC8">
      <w:pPr>
        <w:rPr>
          <w:b/>
          <w:bCs/>
        </w:rPr>
      </w:pPr>
      <w:r w:rsidRPr="00BE7DC8">
        <w:rPr>
          <w:b/>
          <w:bCs/>
        </w:rPr>
        <w:t>3 En la Estrategia de Seguridad del Paciente del Sistema Nacional de Salud 2015 a 2020, se señala como punto de partida para conocer la magnitud y los factores determinantes del riesgo asistencial en España varios estudios promovidos por el Ministerio. Señale cuál NO es uno de ellos:</w:t>
      </w:r>
    </w:p>
    <w:p w:rsidR="00BE7DC8" w:rsidRPr="00BE7DC8" w:rsidRDefault="00BE7DC8" w:rsidP="00BE7DC8">
      <w:pPr>
        <w:numPr>
          <w:ilvl w:val="0"/>
          <w:numId w:val="3"/>
        </w:numPr>
      </w:pPr>
      <w:r w:rsidRPr="00BE7DC8">
        <w:t>ENEA</w:t>
      </w:r>
      <w:r w:rsidR="00D05FBA">
        <w:t xml:space="preserve">S </w:t>
      </w:r>
      <w:r w:rsidRPr="00BE7DC8">
        <w:t>Estudio Nacional de Eventos Adversos relacionados con la Hospitalización.</w:t>
      </w:r>
    </w:p>
    <w:p w:rsidR="00BE7DC8" w:rsidRPr="00BE7DC8" w:rsidRDefault="00BE7DC8" w:rsidP="00BE7DC8">
      <w:pPr>
        <w:numPr>
          <w:ilvl w:val="0"/>
          <w:numId w:val="4"/>
        </w:numPr>
      </w:pPr>
      <w:r w:rsidRPr="00BE7DC8">
        <w:t>APEAS. Estudio sobre la seguridad de los pacientes eh atención Primaria.</w:t>
      </w:r>
    </w:p>
    <w:p w:rsidR="00BE7DC8" w:rsidRPr="00BE7DC8" w:rsidRDefault="00BE7DC8" w:rsidP="00BE7DC8">
      <w:pPr>
        <w:numPr>
          <w:ilvl w:val="0"/>
          <w:numId w:val="4"/>
        </w:numPr>
      </w:pPr>
      <w:r w:rsidRPr="00BE7DC8">
        <w:t>SAFIR. Seguridad y Eventos Adversos en Farmacia Intrahospitalaria y Residencias de Ancianos.</w:t>
      </w:r>
    </w:p>
    <w:p w:rsidR="00BE7DC8" w:rsidRDefault="00BE7DC8" w:rsidP="00BE7DC8">
      <w:pPr>
        <w:numPr>
          <w:ilvl w:val="0"/>
          <w:numId w:val="4"/>
        </w:numPr>
      </w:pPr>
      <w:r w:rsidRPr="00BE7DC8">
        <w:t>EARCAS. Eventos Adversos en Residencias y Centros Sociosanitarios.</w:t>
      </w:r>
    </w:p>
    <w:p w:rsidR="0081089A" w:rsidRPr="0081089A" w:rsidRDefault="0081089A" w:rsidP="0081089A">
      <w:pPr>
        <w:rPr>
          <w:b/>
          <w:bCs/>
          <w:color w:val="0070C0"/>
          <w:sz w:val="24"/>
          <w:szCs w:val="24"/>
        </w:rPr>
      </w:pPr>
      <w:r w:rsidRPr="0081089A">
        <w:rPr>
          <w:b/>
          <w:bCs/>
          <w:color w:val="0070C0"/>
          <w:sz w:val="24"/>
          <w:szCs w:val="24"/>
        </w:rPr>
        <w:t>C</w:t>
      </w:r>
      <w:r w:rsidR="00260746">
        <w:rPr>
          <w:b/>
          <w:bCs/>
          <w:color w:val="0070C0"/>
          <w:sz w:val="24"/>
          <w:szCs w:val="24"/>
        </w:rPr>
        <w:t>, muy concreta, estaba en una de las tablas del temario.</w:t>
      </w:r>
    </w:p>
    <w:p w:rsidR="0081089A" w:rsidRDefault="0081089A" w:rsidP="00BE7DC8"/>
    <w:p w:rsidR="00BE7DC8" w:rsidRPr="00BE7DC8" w:rsidRDefault="00BE7DC8" w:rsidP="00BE7DC8">
      <w:pPr>
        <w:rPr>
          <w:b/>
          <w:bCs/>
        </w:rPr>
      </w:pPr>
      <w:r w:rsidRPr="00BE7DC8">
        <w:rPr>
          <w:b/>
          <w:bCs/>
        </w:rPr>
        <w:t>4 La gestión que implica directamente a los profesionales es:</w:t>
      </w:r>
    </w:p>
    <w:p w:rsidR="00BE7DC8" w:rsidRPr="00BE7DC8" w:rsidRDefault="00BE7DC8" w:rsidP="00BE7DC8">
      <w:pPr>
        <w:numPr>
          <w:ilvl w:val="0"/>
          <w:numId w:val="5"/>
        </w:numPr>
      </w:pPr>
      <w:r w:rsidRPr="00BE7DC8">
        <w:t xml:space="preserve">La </w:t>
      </w:r>
      <w:proofErr w:type="spellStart"/>
      <w:r w:rsidRPr="00BE7DC8">
        <w:t>microgestión</w:t>
      </w:r>
      <w:proofErr w:type="spellEnd"/>
      <w:r w:rsidRPr="00BE7DC8">
        <w:t>.</w:t>
      </w:r>
    </w:p>
    <w:p w:rsidR="00BE7DC8" w:rsidRPr="00BE7DC8" w:rsidRDefault="00BE7DC8" w:rsidP="00BE7DC8">
      <w:pPr>
        <w:numPr>
          <w:ilvl w:val="0"/>
          <w:numId w:val="5"/>
        </w:numPr>
      </w:pPr>
      <w:r w:rsidRPr="00BE7DC8">
        <w:t xml:space="preserve">La </w:t>
      </w:r>
      <w:proofErr w:type="spellStart"/>
      <w:r w:rsidRPr="00BE7DC8">
        <w:t>mesogestión</w:t>
      </w:r>
      <w:proofErr w:type="spellEnd"/>
      <w:r w:rsidRPr="00BE7DC8">
        <w:t>.</w:t>
      </w:r>
    </w:p>
    <w:p w:rsidR="00BE7DC8" w:rsidRPr="00BE7DC8" w:rsidRDefault="00BE7DC8" w:rsidP="00BE7DC8">
      <w:pPr>
        <w:numPr>
          <w:ilvl w:val="0"/>
          <w:numId w:val="5"/>
        </w:numPr>
      </w:pPr>
      <w:r w:rsidRPr="00BE7DC8">
        <w:t xml:space="preserve">La </w:t>
      </w:r>
      <w:proofErr w:type="spellStart"/>
      <w:r w:rsidRPr="00BE7DC8">
        <w:t>macrogestión</w:t>
      </w:r>
      <w:proofErr w:type="spellEnd"/>
      <w:r w:rsidRPr="00BE7DC8">
        <w:t>.</w:t>
      </w:r>
    </w:p>
    <w:p w:rsidR="00BE7DC8" w:rsidRDefault="00BE7DC8" w:rsidP="00BE7DC8">
      <w:pPr>
        <w:numPr>
          <w:ilvl w:val="0"/>
          <w:numId w:val="5"/>
        </w:numPr>
      </w:pPr>
      <w:r w:rsidRPr="00BE7DC8">
        <w:t>Unidades Clínicas.</w:t>
      </w:r>
    </w:p>
    <w:p w:rsidR="00D05FBA" w:rsidRPr="00D05FBA" w:rsidRDefault="00D05FBA" w:rsidP="00D05FBA">
      <w:pPr>
        <w:spacing w:after="0" w:line="240" w:lineRule="auto"/>
        <w:rPr>
          <w:rFonts w:ascii="Calibri" w:eastAsia="Calibri" w:hAnsi="Calibri" w:cs="Calibri"/>
          <w:b/>
          <w:bCs/>
          <w:color w:val="0070C0"/>
          <w:sz w:val="24"/>
          <w:szCs w:val="24"/>
        </w:rPr>
      </w:pPr>
      <w:r w:rsidRPr="00D05FBA">
        <w:rPr>
          <w:rFonts w:ascii="Calibri" w:eastAsia="Calibri" w:hAnsi="Calibri" w:cs="Calibri"/>
          <w:b/>
          <w:bCs/>
          <w:color w:val="0070C0"/>
          <w:sz w:val="24"/>
          <w:szCs w:val="24"/>
        </w:rPr>
        <w:t>A, fácil</w:t>
      </w:r>
      <w:r>
        <w:rPr>
          <w:rFonts w:ascii="Calibri" w:eastAsia="Calibri" w:hAnsi="Calibri" w:cs="Calibri"/>
          <w:b/>
          <w:bCs/>
          <w:color w:val="0070C0"/>
          <w:sz w:val="24"/>
          <w:szCs w:val="24"/>
        </w:rPr>
        <w:t>,</w:t>
      </w:r>
      <w:r w:rsidRPr="00D05FBA">
        <w:rPr>
          <w:rFonts w:ascii="Calibri" w:eastAsia="Calibri" w:hAnsi="Calibri" w:cs="Calibri"/>
          <w:b/>
          <w:bCs/>
          <w:color w:val="0070C0"/>
          <w:sz w:val="24"/>
          <w:szCs w:val="24"/>
        </w:rPr>
        <w:t xml:space="preserve"> muy insistid</w:t>
      </w:r>
      <w:r>
        <w:rPr>
          <w:rFonts w:ascii="Calibri" w:eastAsia="Calibri" w:hAnsi="Calibri" w:cs="Calibri"/>
          <w:b/>
          <w:bCs/>
          <w:color w:val="0070C0"/>
          <w:sz w:val="24"/>
          <w:szCs w:val="24"/>
        </w:rPr>
        <w:t>o</w:t>
      </w:r>
      <w:r w:rsidRPr="00D05FBA">
        <w:rPr>
          <w:rFonts w:ascii="Calibri" w:eastAsia="Calibri" w:hAnsi="Calibri" w:cs="Calibri"/>
          <w:b/>
          <w:bCs/>
          <w:color w:val="0070C0"/>
          <w:sz w:val="24"/>
          <w:szCs w:val="24"/>
        </w:rPr>
        <w:t xml:space="preserve"> en </w:t>
      </w:r>
      <w:r>
        <w:rPr>
          <w:rFonts w:ascii="Calibri" w:eastAsia="Calibri" w:hAnsi="Calibri" w:cs="Calibri"/>
          <w:b/>
          <w:bCs/>
          <w:color w:val="0070C0"/>
          <w:sz w:val="24"/>
          <w:szCs w:val="24"/>
        </w:rPr>
        <w:t>la definición</w:t>
      </w:r>
    </w:p>
    <w:p w:rsidR="00BE7DC8" w:rsidRDefault="00BE7DC8" w:rsidP="00BE7DC8">
      <w:pPr>
        <w:rPr>
          <w:b/>
          <w:bCs/>
        </w:rPr>
      </w:pPr>
    </w:p>
    <w:p w:rsidR="00BE7DC8" w:rsidRPr="00BE7DC8" w:rsidRDefault="00BE7DC8" w:rsidP="00BE7DC8">
      <w:pPr>
        <w:rPr>
          <w:b/>
          <w:bCs/>
        </w:rPr>
      </w:pPr>
      <w:r w:rsidRPr="00BE7DC8">
        <w:rPr>
          <w:b/>
          <w:bCs/>
        </w:rPr>
        <w:lastRenderedPageBreak/>
        <w:t>5 Señale la respuesta correcta con relación a la sanción de suspensión de funciones del personal estatutario de los servicios de salud:</w:t>
      </w:r>
    </w:p>
    <w:p w:rsidR="00BE7DC8" w:rsidRPr="00BE7DC8" w:rsidRDefault="00BE7DC8" w:rsidP="00BE7DC8">
      <w:pPr>
        <w:numPr>
          <w:ilvl w:val="0"/>
          <w:numId w:val="6"/>
        </w:numPr>
      </w:pPr>
      <w:r w:rsidRPr="00BE7DC8">
        <w:t>Durante los dos años siguientes a su ejecución, el interesado no podrá prestar servicios como personal estatuario temporal.</w:t>
      </w:r>
    </w:p>
    <w:p w:rsidR="00BE7DC8" w:rsidRPr="00BE7DC8" w:rsidRDefault="00BE7DC8" w:rsidP="00BE7DC8">
      <w:pPr>
        <w:numPr>
          <w:ilvl w:val="0"/>
          <w:numId w:val="6"/>
        </w:numPr>
      </w:pPr>
      <w:r w:rsidRPr="00BE7DC8">
        <w:t>Cuando se imponga por faltas graves, podrá superar los dos años.</w:t>
      </w:r>
    </w:p>
    <w:p w:rsidR="00BE7DC8" w:rsidRPr="00BE7DC8" w:rsidRDefault="00BE7DC8" w:rsidP="00BE7DC8">
      <w:pPr>
        <w:numPr>
          <w:ilvl w:val="0"/>
          <w:numId w:val="6"/>
        </w:numPr>
      </w:pPr>
      <w:r w:rsidRPr="00BE7DC8">
        <w:t>Si no supera los 6 meses, el interesado no perderá su destino.</w:t>
      </w:r>
    </w:p>
    <w:p w:rsidR="00BE7DC8" w:rsidRDefault="00BE7DC8" w:rsidP="00BE7DC8">
      <w:pPr>
        <w:numPr>
          <w:ilvl w:val="0"/>
          <w:numId w:val="6"/>
        </w:numPr>
      </w:pPr>
      <w:r w:rsidRPr="00BE7DC8">
        <w:t>Cuando se imponga por faltas muy graves, podrá ser inferior a los dos años.</w:t>
      </w:r>
    </w:p>
    <w:p w:rsidR="0081089A" w:rsidRPr="0081089A" w:rsidRDefault="0081089A" w:rsidP="0081089A">
      <w:pPr>
        <w:rPr>
          <w:b/>
          <w:bCs/>
          <w:color w:val="0070C0"/>
          <w:sz w:val="24"/>
          <w:szCs w:val="24"/>
        </w:rPr>
      </w:pPr>
      <w:r w:rsidRPr="0081089A">
        <w:rPr>
          <w:b/>
          <w:bCs/>
          <w:color w:val="0070C0"/>
          <w:sz w:val="24"/>
          <w:szCs w:val="24"/>
        </w:rPr>
        <w:t>C</w:t>
      </w:r>
      <w:r w:rsidR="00877A11">
        <w:rPr>
          <w:b/>
          <w:bCs/>
          <w:color w:val="0070C0"/>
          <w:sz w:val="24"/>
          <w:szCs w:val="24"/>
        </w:rPr>
        <w:t xml:space="preserve">: </w:t>
      </w:r>
      <w:r w:rsidR="00877A11" w:rsidRPr="00877A11">
        <w:rPr>
          <w:b/>
          <w:bCs/>
          <w:color w:val="0070C0"/>
          <w:sz w:val="24"/>
          <w:szCs w:val="24"/>
        </w:rPr>
        <w:t>Art. 73.1.c) del Estatuto Marco. </w:t>
      </w:r>
      <w:r w:rsidR="00877A11" w:rsidRPr="00877A11">
        <w:rPr>
          <w:b/>
          <w:bCs/>
          <w:i/>
          <w:iCs/>
          <w:color w:val="0070C0"/>
          <w:sz w:val="24"/>
          <w:szCs w:val="24"/>
        </w:rPr>
        <w:t>Suspensión de funciones. Cuando esta sanción se imponga por faltas muy graves, no podrá superar los seis años ni será inferior a los dos años. Si se impusiera por faltas graves, no superará los dos años. Si la suspensión no supera los seis meses, el interesado no perderá su destino.</w:t>
      </w:r>
    </w:p>
    <w:p w:rsidR="00BE7DC8" w:rsidRDefault="00BE7DC8" w:rsidP="00BE7DC8"/>
    <w:p w:rsidR="00BE7DC8" w:rsidRPr="00BE7DC8" w:rsidRDefault="00BE7DC8" w:rsidP="00BE7DC8">
      <w:pPr>
        <w:rPr>
          <w:b/>
          <w:bCs/>
        </w:rPr>
      </w:pPr>
      <w:r w:rsidRPr="00BE7DC8">
        <w:rPr>
          <w:b/>
          <w:bCs/>
        </w:rPr>
        <w:t>6 Las Cortes de Aragón, según se establezca en la ley electoral, estarán integradas por un número de Diputados y Diputadas comprendido entre:</w:t>
      </w:r>
    </w:p>
    <w:p w:rsidR="00BE7DC8" w:rsidRPr="00BE7DC8" w:rsidRDefault="00BE7DC8" w:rsidP="00BE7DC8">
      <w:pPr>
        <w:numPr>
          <w:ilvl w:val="0"/>
          <w:numId w:val="7"/>
        </w:numPr>
      </w:pPr>
      <w:r w:rsidRPr="00BE7DC8">
        <w:t>50 y 65.</w:t>
      </w:r>
    </w:p>
    <w:p w:rsidR="00BE7DC8" w:rsidRPr="00BE7DC8" w:rsidRDefault="00BE7DC8" w:rsidP="00BE7DC8">
      <w:pPr>
        <w:numPr>
          <w:ilvl w:val="0"/>
          <w:numId w:val="7"/>
        </w:numPr>
      </w:pPr>
      <w:r w:rsidRPr="00BE7DC8">
        <w:t>65 y 8</w:t>
      </w:r>
      <w:r w:rsidR="00D05FBA">
        <w:t>0.</w:t>
      </w:r>
    </w:p>
    <w:p w:rsidR="00BE7DC8" w:rsidRPr="00BE7DC8" w:rsidRDefault="00BE7DC8" w:rsidP="00BE7DC8">
      <w:pPr>
        <w:numPr>
          <w:ilvl w:val="0"/>
          <w:numId w:val="7"/>
        </w:numPr>
      </w:pPr>
      <w:r w:rsidRPr="00BE7DC8">
        <w:t>80 y 95.</w:t>
      </w:r>
    </w:p>
    <w:p w:rsidR="00BE7DC8" w:rsidRDefault="00BE7DC8" w:rsidP="00BE7DC8">
      <w:pPr>
        <w:numPr>
          <w:ilvl w:val="0"/>
          <w:numId w:val="7"/>
        </w:numPr>
      </w:pPr>
      <w:r w:rsidRPr="00BE7DC8">
        <w:t>95 y 100.</w:t>
      </w:r>
    </w:p>
    <w:p w:rsidR="00D05FBA" w:rsidRPr="005B6548" w:rsidRDefault="00D05FBA" w:rsidP="00D05FBA">
      <w:pPr>
        <w:rPr>
          <w:b/>
          <w:bCs/>
          <w:color w:val="0070C0"/>
          <w:sz w:val="24"/>
          <w:szCs w:val="24"/>
        </w:rPr>
      </w:pPr>
      <w:r w:rsidRPr="00D05FBA">
        <w:rPr>
          <w:b/>
          <w:bCs/>
          <w:color w:val="0070C0"/>
          <w:sz w:val="24"/>
          <w:szCs w:val="24"/>
        </w:rPr>
        <w:t xml:space="preserve">B. Lo más insistido sobre las Cortes de Aragón: </w:t>
      </w:r>
      <w:r w:rsidRPr="00D05FBA">
        <w:rPr>
          <w:b/>
          <w:bCs/>
          <w:i/>
          <w:iCs/>
          <w:color w:val="0070C0"/>
          <w:sz w:val="24"/>
          <w:szCs w:val="24"/>
        </w:rPr>
        <w:t>“lo más fácil de preguntar…”</w:t>
      </w:r>
      <w:r w:rsidR="005B6548">
        <w:rPr>
          <w:b/>
          <w:bCs/>
          <w:i/>
          <w:iCs/>
          <w:color w:val="0070C0"/>
          <w:sz w:val="24"/>
          <w:szCs w:val="24"/>
        </w:rPr>
        <w:t xml:space="preserve">. </w:t>
      </w:r>
      <w:r w:rsidR="005B6548" w:rsidRPr="005B6548">
        <w:rPr>
          <w:b/>
          <w:bCs/>
          <w:color w:val="0070C0"/>
          <w:sz w:val="24"/>
          <w:szCs w:val="24"/>
        </w:rPr>
        <w:t>Estatuto de Autonomía, art. 36</w:t>
      </w:r>
    </w:p>
    <w:p w:rsidR="00BE7DC8" w:rsidRDefault="00BE7DC8" w:rsidP="00BE7DC8">
      <w:pPr>
        <w:rPr>
          <w:b/>
          <w:bCs/>
        </w:rPr>
      </w:pPr>
    </w:p>
    <w:p w:rsidR="00BE7DC8" w:rsidRPr="00BE7DC8" w:rsidRDefault="00BE7DC8" w:rsidP="00BE7DC8">
      <w:pPr>
        <w:rPr>
          <w:b/>
          <w:bCs/>
        </w:rPr>
      </w:pPr>
      <w:r w:rsidRPr="00BE7DC8">
        <w:rPr>
          <w:b/>
          <w:bCs/>
        </w:rPr>
        <w:t xml:space="preserve">7 Según la Ley 4/2007, de 22 de marzo, de Prevención y Protección Integral a las Mujeres Víctimas de Violencia en Aragón, la conducta consistente </w:t>
      </w:r>
      <w:r>
        <w:rPr>
          <w:b/>
          <w:bCs/>
        </w:rPr>
        <w:t>e</w:t>
      </w:r>
      <w:r w:rsidRPr="00BE7DC8">
        <w:rPr>
          <w:b/>
          <w:bCs/>
        </w:rPr>
        <w:t>n la discriminación en la disposición de los recursos compartidos en el ámbito familiar:</w:t>
      </w:r>
    </w:p>
    <w:p w:rsidR="00BE7DC8" w:rsidRPr="00BE7DC8" w:rsidRDefault="00BE7DC8" w:rsidP="00BE7DC8">
      <w:pPr>
        <w:numPr>
          <w:ilvl w:val="0"/>
          <w:numId w:val="8"/>
        </w:numPr>
      </w:pPr>
      <w:r w:rsidRPr="00BE7DC8">
        <w:t>Corresponde a la definición de maltrato psicológico.</w:t>
      </w:r>
    </w:p>
    <w:p w:rsidR="00BE7DC8" w:rsidRPr="00BE7DC8" w:rsidRDefault="00BE7DC8" w:rsidP="00BE7DC8">
      <w:pPr>
        <w:numPr>
          <w:ilvl w:val="0"/>
          <w:numId w:val="8"/>
        </w:numPr>
      </w:pPr>
      <w:r w:rsidRPr="00BE7DC8">
        <w:t>Corresponde a la definición de maltrato doméstico.</w:t>
      </w:r>
    </w:p>
    <w:p w:rsidR="00BE7DC8" w:rsidRDefault="00BE7DC8" w:rsidP="00BE7DC8">
      <w:pPr>
        <w:numPr>
          <w:ilvl w:val="0"/>
          <w:numId w:val="8"/>
        </w:numPr>
      </w:pPr>
      <w:r w:rsidRPr="00BE7DC8">
        <w:t>Corresponde a la definición de maltrato económico.</w:t>
      </w:r>
    </w:p>
    <w:p w:rsidR="00BE7DC8" w:rsidRPr="00BE7DC8" w:rsidRDefault="00BE7DC8" w:rsidP="00BE7DC8">
      <w:pPr>
        <w:numPr>
          <w:ilvl w:val="0"/>
          <w:numId w:val="8"/>
        </w:numPr>
      </w:pPr>
      <w:r w:rsidRPr="00BE7DC8">
        <w:t>No está regulada en-la Ley com</w:t>
      </w:r>
      <w:r>
        <w:t xml:space="preserve">o </w:t>
      </w:r>
      <w:r w:rsidRPr="00BE7DC8">
        <w:t>una</w:t>
      </w:r>
      <w:r>
        <w:t xml:space="preserve"> </w:t>
      </w:r>
      <w:r w:rsidRPr="00BE7DC8">
        <w:t>forma de violencia ejercida contra. las mujeres.</w:t>
      </w:r>
    </w:p>
    <w:p w:rsidR="00877A11" w:rsidRPr="00877A11" w:rsidRDefault="0081089A" w:rsidP="00877A11">
      <w:pPr>
        <w:rPr>
          <w:b/>
          <w:bCs/>
          <w:color w:val="0070C0"/>
          <w:sz w:val="24"/>
          <w:szCs w:val="24"/>
        </w:rPr>
      </w:pPr>
      <w:r w:rsidRPr="0081089A">
        <w:rPr>
          <w:b/>
          <w:bCs/>
          <w:color w:val="0070C0"/>
          <w:sz w:val="24"/>
          <w:szCs w:val="24"/>
        </w:rPr>
        <w:t>C</w:t>
      </w:r>
      <w:r w:rsidR="00877A11">
        <w:rPr>
          <w:b/>
          <w:bCs/>
          <w:color w:val="0070C0"/>
          <w:sz w:val="24"/>
          <w:szCs w:val="24"/>
        </w:rPr>
        <w:t xml:space="preserve">: </w:t>
      </w:r>
      <w:r w:rsidR="00877A11" w:rsidRPr="00877A11">
        <w:rPr>
          <w:b/>
          <w:bCs/>
          <w:color w:val="0070C0"/>
          <w:sz w:val="24"/>
          <w:szCs w:val="24"/>
        </w:rPr>
        <w:t>Art. 2.i)  </w:t>
      </w:r>
      <w:r w:rsidR="00877A11" w:rsidRPr="00877A11">
        <w:rPr>
          <w:b/>
          <w:bCs/>
          <w:i/>
          <w:iCs/>
          <w:color w:val="0070C0"/>
          <w:sz w:val="24"/>
          <w:szCs w:val="24"/>
        </w:rPr>
        <w:t>Maltrato económico, que consiste en la privación intencionada y no justificada legalmente de recursos para el bienestar físico o psicológico de la víctima y de sus hijas e hijos, así como la discriminación en la disposición de los recursos compartidos en el ámbito familiar o de pareja.</w:t>
      </w:r>
    </w:p>
    <w:p w:rsidR="00BE7DC8" w:rsidRPr="0081089A" w:rsidRDefault="00BE7DC8" w:rsidP="00BE7DC8">
      <w:pPr>
        <w:rPr>
          <w:b/>
          <w:bCs/>
          <w:color w:val="0070C0"/>
          <w:sz w:val="24"/>
          <w:szCs w:val="24"/>
        </w:rPr>
      </w:pPr>
    </w:p>
    <w:p w:rsidR="0081089A" w:rsidRDefault="0081089A" w:rsidP="00BE7DC8">
      <w:pPr>
        <w:rPr>
          <w:b/>
          <w:bCs/>
        </w:rPr>
      </w:pPr>
    </w:p>
    <w:p w:rsidR="0081089A" w:rsidRDefault="0081089A" w:rsidP="00BE7DC8">
      <w:pPr>
        <w:rPr>
          <w:b/>
          <w:bCs/>
        </w:rPr>
      </w:pPr>
    </w:p>
    <w:p w:rsidR="00877A11" w:rsidRDefault="00877A11" w:rsidP="00BE7DC8">
      <w:pPr>
        <w:rPr>
          <w:b/>
          <w:bCs/>
        </w:rPr>
      </w:pPr>
    </w:p>
    <w:p w:rsidR="00877A11" w:rsidRDefault="00877A11" w:rsidP="00BE7DC8">
      <w:pPr>
        <w:rPr>
          <w:b/>
          <w:bCs/>
        </w:rPr>
      </w:pPr>
    </w:p>
    <w:p w:rsidR="00BE7DC8" w:rsidRPr="00BE7DC8" w:rsidRDefault="00BE7DC8" w:rsidP="00BE7DC8">
      <w:pPr>
        <w:rPr>
          <w:b/>
          <w:bCs/>
        </w:rPr>
      </w:pPr>
      <w:r w:rsidRPr="00BE7DC8">
        <w:rPr>
          <w:b/>
          <w:bCs/>
        </w:rPr>
        <w:lastRenderedPageBreak/>
        <w:t>8 Según el Decreto 122/2020, de 9 de diciembre, del Gobierno de Aragón, por el que se aprueba la estructura orgánica del Departamento de Sanidad y del Servicio Aragonés de Salud, NO es un Órgano directivo del Departamento de Sanidad:</w:t>
      </w:r>
    </w:p>
    <w:p w:rsidR="00BE7DC8" w:rsidRPr="00BE7DC8" w:rsidRDefault="00BE7DC8" w:rsidP="00BE7DC8">
      <w:pPr>
        <w:numPr>
          <w:ilvl w:val="0"/>
          <w:numId w:val="9"/>
        </w:numPr>
      </w:pPr>
      <w:r w:rsidRPr="00BE7DC8">
        <w:t>Dirección General de Salud Pública.</w:t>
      </w:r>
    </w:p>
    <w:p w:rsidR="00BE7DC8" w:rsidRDefault="00BE7DC8" w:rsidP="00BE7DC8">
      <w:pPr>
        <w:numPr>
          <w:ilvl w:val="0"/>
          <w:numId w:val="9"/>
        </w:numPr>
      </w:pPr>
      <w:r w:rsidRPr="00BE7DC8">
        <w:t>Dirección General de Asistencia Sanitaria.</w:t>
      </w:r>
    </w:p>
    <w:p w:rsidR="00BE7DC8" w:rsidRDefault="00BE7DC8" w:rsidP="00BE7DC8">
      <w:pPr>
        <w:numPr>
          <w:ilvl w:val="0"/>
          <w:numId w:val="9"/>
        </w:numPr>
      </w:pPr>
      <w:r w:rsidRPr="00BE7DC8">
        <w:t>Dirección General de Transformación Digital, Innovación y Derechos de los Usuarios.</w:t>
      </w:r>
    </w:p>
    <w:p w:rsidR="00BE7DC8" w:rsidRDefault="00BE7DC8" w:rsidP="00BE7DC8">
      <w:pPr>
        <w:numPr>
          <w:ilvl w:val="0"/>
          <w:numId w:val="9"/>
        </w:numPr>
      </w:pPr>
      <w:r w:rsidRPr="00BE7DC8">
        <w:t>Dirección de Atención Primaria, Hospitalaria y Continuidad Asistencial.</w:t>
      </w:r>
    </w:p>
    <w:p w:rsidR="00D05FBA" w:rsidRDefault="00D05FBA" w:rsidP="00BE7DC8">
      <w:pPr>
        <w:rPr>
          <w:b/>
          <w:bCs/>
          <w:color w:val="0070C0"/>
          <w:sz w:val="24"/>
          <w:szCs w:val="24"/>
        </w:rPr>
      </w:pPr>
      <w:r w:rsidRPr="00FE35E6">
        <w:rPr>
          <w:b/>
          <w:bCs/>
          <w:color w:val="0070C0"/>
          <w:sz w:val="24"/>
          <w:szCs w:val="24"/>
        </w:rPr>
        <w:t xml:space="preserve">D.  </w:t>
      </w:r>
      <w:r w:rsidR="00FE35E6" w:rsidRPr="00FE35E6">
        <w:rPr>
          <w:b/>
          <w:bCs/>
          <w:color w:val="0070C0"/>
          <w:sz w:val="24"/>
          <w:szCs w:val="24"/>
        </w:rPr>
        <w:t xml:space="preserve">Se destacó especialmente en clase: distinguir entre Direcciones </w:t>
      </w:r>
      <w:r w:rsidR="00FE35E6">
        <w:rPr>
          <w:b/>
          <w:bCs/>
          <w:color w:val="0070C0"/>
          <w:sz w:val="24"/>
          <w:szCs w:val="24"/>
        </w:rPr>
        <w:t>G</w:t>
      </w:r>
      <w:r w:rsidR="00FE35E6" w:rsidRPr="00FE35E6">
        <w:rPr>
          <w:b/>
          <w:bCs/>
          <w:color w:val="0070C0"/>
          <w:sz w:val="24"/>
          <w:szCs w:val="24"/>
        </w:rPr>
        <w:t>enerales, Direcciones de Área</w:t>
      </w:r>
      <w:r w:rsidR="002A5FAC">
        <w:rPr>
          <w:b/>
          <w:bCs/>
          <w:color w:val="0070C0"/>
          <w:sz w:val="24"/>
          <w:szCs w:val="24"/>
        </w:rPr>
        <w:t xml:space="preserve">, </w:t>
      </w:r>
      <w:r w:rsidR="002A5FAC" w:rsidRPr="002A5FAC">
        <w:rPr>
          <w:b/>
          <w:bCs/>
          <w:i/>
          <w:iCs/>
          <w:color w:val="0070C0"/>
          <w:sz w:val="24"/>
          <w:szCs w:val="24"/>
        </w:rPr>
        <w:t>a qué estamento pertenece</w:t>
      </w:r>
      <w:r w:rsidR="002A5FAC">
        <w:rPr>
          <w:b/>
          <w:bCs/>
          <w:color w:val="0070C0"/>
          <w:sz w:val="24"/>
          <w:szCs w:val="24"/>
        </w:rPr>
        <w:t xml:space="preserve"> cada una</w:t>
      </w:r>
      <w:r w:rsidR="00FE35E6" w:rsidRPr="00FE35E6">
        <w:rPr>
          <w:b/>
          <w:bCs/>
          <w:color w:val="0070C0"/>
          <w:sz w:val="24"/>
          <w:szCs w:val="24"/>
        </w:rPr>
        <w:t>…</w:t>
      </w:r>
    </w:p>
    <w:p w:rsidR="0081089A" w:rsidRDefault="0081089A" w:rsidP="00BE7DC8">
      <w:pPr>
        <w:rPr>
          <w:b/>
          <w:bCs/>
          <w:color w:val="0070C0"/>
          <w:sz w:val="24"/>
          <w:szCs w:val="24"/>
        </w:rPr>
      </w:pPr>
    </w:p>
    <w:p w:rsidR="0081089A" w:rsidRPr="0081089A" w:rsidRDefault="0081089A" w:rsidP="0081089A">
      <w:pPr>
        <w:rPr>
          <w:b/>
          <w:bCs/>
        </w:rPr>
      </w:pPr>
      <w:r w:rsidRPr="0081089A">
        <w:rPr>
          <w:b/>
          <w:bCs/>
        </w:rPr>
        <w:t>9 ¿Cuál de las siguientes herramientas resulta MENOS UTIL en la toma de decisiones sobre estrategias terapéuticas desde el enfoque de la medicina basada en la evidencia?</w:t>
      </w:r>
    </w:p>
    <w:p w:rsidR="0081089A" w:rsidRPr="0081089A" w:rsidRDefault="0081089A" w:rsidP="0081089A">
      <w:pPr>
        <w:numPr>
          <w:ilvl w:val="0"/>
          <w:numId w:val="10"/>
        </w:numPr>
      </w:pPr>
      <w:r w:rsidRPr="0081089A">
        <w:t>La experiencia profesional individual, el arte y el saber del médico prescriptor</w:t>
      </w:r>
    </w:p>
    <w:p w:rsidR="0081089A" w:rsidRPr="0081089A" w:rsidRDefault="0081089A" w:rsidP="0081089A">
      <w:pPr>
        <w:numPr>
          <w:ilvl w:val="0"/>
          <w:numId w:val="10"/>
        </w:numPr>
      </w:pPr>
      <w:r w:rsidRPr="0081089A">
        <w:t>Las guías de práctica clínica.</w:t>
      </w:r>
    </w:p>
    <w:p w:rsidR="0081089A" w:rsidRPr="0081089A" w:rsidRDefault="0081089A" w:rsidP="0081089A">
      <w:pPr>
        <w:numPr>
          <w:ilvl w:val="0"/>
          <w:numId w:val="10"/>
        </w:numPr>
      </w:pPr>
      <w:r w:rsidRPr="0081089A">
        <w:t xml:space="preserve">Las búsquedas sistemáticas de información: </w:t>
      </w:r>
      <w:proofErr w:type="spellStart"/>
      <w:r w:rsidRPr="0081089A">
        <w:t>Pubmed</w:t>
      </w:r>
      <w:proofErr w:type="spellEnd"/>
      <w:r w:rsidRPr="0081089A">
        <w:t>, Cochrane...</w:t>
      </w:r>
    </w:p>
    <w:p w:rsidR="0081089A" w:rsidRPr="00BA520C" w:rsidRDefault="0081089A" w:rsidP="0081089A">
      <w:pPr>
        <w:numPr>
          <w:ilvl w:val="0"/>
          <w:numId w:val="10"/>
        </w:numPr>
      </w:pPr>
      <w:r w:rsidRPr="0081089A">
        <w:t>Los informes de evaluación de tecnologías sanitarias.</w:t>
      </w:r>
    </w:p>
    <w:p w:rsidR="0081089A" w:rsidRPr="003229C3" w:rsidRDefault="00BA520C" w:rsidP="0081089A">
      <w:pPr>
        <w:rPr>
          <w:b/>
          <w:bCs/>
          <w:color w:val="0070C0"/>
          <w:sz w:val="24"/>
          <w:szCs w:val="24"/>
        </w:rPr>
      </w:pPr>
      <w:r w:rsidRPr="00BA520C">
        <w:rPr>
          <w:b/>
          <w:bCs/>
          <w:color w:val="0070C0"/>
          <w:sz w:val="24"/>
          <w:szCs w:val="24"/>
        </w:rPr>
        <w:t>A</w:t>
      </w:r>
      <w:r w:rsidR="003229C3">
        <w:rPr>
          <w:b/>
          <w:bCs/>
          <w:color w:val="0070C0"/>
          <w:sz w:val="24"/>
          <w:szCs w:val="24"/>
        </w:rPr>
        <w:t>, pregunta ya realizada en estas oposiciones</w:t>
      </w:r>
    </w:p>
    <w:p w:rsidR="00C40E3C" w:rsidRDefault="00C40E3C" w:rsidP="0081089A">
      <w:pPr>
        <w:rPr>
          <w:b/>
          <w:bCs/>
        </w:rPr>
      </w:pPr>
    </w:p>
    <w:p w:rsidR="0081089A" w:rsidRPr="0081089A" w:rsidRDefault="0081089A" w:rsidP="0081089A">
      <w:pPr>
        <w:rPr>
          <w:b/>
          <w:bCs/>
        </w:rPr>
      </w:pPr>
      <w:r w:rsidRPr="0081089A">
        <w:rPr>
          <w:b/>
          <w:bCs/>
        </w:rPr>
        <w:t>10 Señale la norma ISO que contiene todos los requisitos que los laboratorios clínicos que analizan muestras biológicas de origen humano tienen que cumplir para demostrar que disponen de un sistema de gestión de la calidad:</w:t>
      </w:r>
    </w:p>
    <w:p w:rsidR="0081089A" w:rsidRPr="0081089A" w:rsidRDefault="0081089A" w:rsidP="0081089A">
      <w:pPr>
        <w:numPr>
          <w:ilvl w:val="0"/>
          <w:numId w:val="11"/>
        </w:numPr>
      </w:pPr>
      <w:r w:rsidRPr="0081089A">
        <w:t>ISO 15189.</w:t>
      </w:r>
    </w:p>
    <w:p w:rsidR="0081089A" w:rsidRPr="0081089A" w:rsidRDefault="0081089A" w:rsidP="0081089A">
      <w:pPr>
        <w:numPr>
          <w:ilvl w:val="0"/>
          <w:numId w:val="11"/>
        </w:numPr>
      </w:pPr>
      <w:r w:rsidRPr="0081089A">
        <w:t>1SO 17025.</w:t>
      </w:r>
    </w:p>
    <w:p w:rsidR="0081089A" w:rsidRPr="0081089A" w:rsidRDefault="0081089A" w:rsidP="0081089A">
      <w:pPr>
        <w:numPr>
          <w:ilvl w:val="0"/>
          <w:numId w:val="11"/>
        </w:numPr>
      </w:pPr>
      <w:r w:rsidRPr="0081089A">
        <w:t>ISO 15123.</w:t>
      </w:r>
    </w:p>
    <w:p w:rsidR="0081089A" w:rsidRPr="0081089A" w:rsidRDefault="0081089A" w:rsidP="0081089A">
      <w:pPr>
        <w:numPr>
          <w:ilvl w:val="0"/>
          <w:numId w:val="11"/>
        </w:numPr>
      </w:pPr>
      <w:r w:rsidRPr="0081089A">
        <w:t>ISO 17232.</w:t>
      </w:r>
    </w:p>
    <w:p w:rsidR="00D45928" w:rsidRPr="00D45928" w:rsidRDefault="00BA520C" w:rsidP="00D45928">
      <w:pPr>
        <w:rPr>
          <w:b/>
          <w:bCs/>
          <w:color w:val="0070C0"/>
          <w:sz w:val="24"/>
          <w:szCs w:val="24"/>
        </w:rPr>
      </w:pPr>
      <w:r>
        <w:rPr>
          <w:b/>
          <w:bCs/>
          <w:color w:val="0070C0"/>
          <w:sz w:val="24"/>
          <w:szCs w:val="24"/>
        </w:rPr>
        <w:t>A</w:t>
      </w:r>
      <w:r w:rsidR="00D45928">
        <w:rPr>
          <w:b/>
          <w:bCs/>
          <w:color w:val="0070C0"/>
          <w:sz w:val="24"/>
          <w:szCs w:val="24"/>
        </w:rPr>
        <w:t>, n</w:t>
      </w:r>
      <w:r w:rsidR="00D45928" w:rsidRPr="00D45928">
        <w:rPr>
          <w:b/>
          <w:bCs/>
          <w:color w:val="0070C0"/>
          <w:sz w:val="24"/>
          <w:szCs w:val="24"/>
        </w:rPr>
        <w:t>o da lugar a dudas tal como consta en la presentación y en apuntes</w:t>
      </w:r>
      <w:r w:rsidR="00D45928" w:rsidRPr="00D45928">
        <w:rPr>
          <w:b/>
          <w:bCs/>
          <w:i/>
          <w:iCs/>
          <w:color w:val="0070C0"/>
          <w:sz w:val="24"/>
          <w:szCs w:val="24"/>
        </w:rPr>
        <w:t>: “ISO 15189 que describe los requisitos para la calidad y la competencia de laboratorios clínicos….”</w:t>
      </w:r>
    </w:p>
    <w:p w:rsidR="00BA520C" w:rsidRPr="00FE35E6" w:rsidRDefault="00BA520C" w:rsidP="00BE7DC8">
      <w:pPr>
        <w:rPr>
          <w:b/>
          <w:bCs/>
          <w:color w:val="0070C0"/>
          <w:sz w:val="24"/>
          <w:szCs w:val="24"/>
        </w:rPr>
        <w:sectPr w:rsidR="00BA520C" w:rsidRPr="00FE35E6" w:rsidSect="007F12AE">
          <w:pgSz w:w="11923" w:h="16824"/>
          <w:pgMar w:top="1418" w:right="1077" w:bottom="318" w:left="926" w:header="720" w:footer="720" w:gutter="0"/>
          <w:cols w:space="720"/>
          <w:noEndnote/>
        </w:sectPr>
      </w:pPr>
    </w:p>
    <w:p w:rsidR="00BE7DC8" w:rsidRDefault="00BE7DC8"/>
    <w:sectPr w:rsidR="00BE7DC8" w:rsidSect="00AE33A0">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AA350"/>
    <w:multiLevelType w:val="singleLevel"/>
    <w:tmpl w:val="7333EE05"/>
    <w:lvl w:ilvl="0">
      <w:start w:val="1"/>
      <w:numFmt w:val="upperLetter"/>
      <w:lvlText w:val="%1:"/>
      <w:lvlJc w:val="left"/>
      <w:pPr>
        <w:tabs>
          <w:tab w:val="num" w:pos="936"/>
        </w:tabs>
        <w:ind w:left="864" w:hanging="360"/>
      </w:pPr>
      <w:rPr>
        <w:snapToGrid/>
        <w:sz w:val="21"/>
        <w:szCs w:val="21"/>
      </w:rPr>
    </w:lvl>
  </w:abstractNum>
  <w:abstractNum w:abstractNumId="1">
    <w:nsid w:val="009BB77F"/>
    <w:multiLevelType w:val="singleLevel"/>
    <w:tmpl w:val="2E9CB297"/>
    <w:lvl w:ilvl="0">
      <w:start w:val="1"/>
      <w:numFmt w:val="upperLetter"/>
      <w:lvlText w:val="%1:"/>
      <w:lvlJc w:val="left"/>
      <w:pPr>
        <w:tabs>
          <w:tab w:val="num" w:pos="1008"/>
        </w:tabs>
        <w:ind w:left="504"/>
      </w:pPr>
      <w:rPr>
        <w:rFonts w:ascii="Tahoma" w:hAnsi="Tahoma" w:cs="Tahoma"/>
        <w:snapToGrid/>
        <w:spacing w:val="6"/>
        <w:sz w:val="19"/>
        <w:szCs w:val="19"/>
      </w:rPr>
    </w:lvl>
  </w:abstractNum>
  <w:abstractNum w:abstractNumId="2">
    <w:nsid w:val="00A00557"/>
    <w:multiLevelType w:val="singleLevel"/>
    <w:tmpl w:val="368FE02D"/>
    <w:lvl w:ilvl="0">
      <w:start w:val="1"/>
      <w:numFmt w:val="upperLetter"/>
      <w:lvlText w:val="%1:"/>
      <w:lvlJc w:val="left"/>
      <w:pPr>
        <w:tabs>
          <w:tab w:val="num" w:pos="1008"/>
        </w:tabs>
        <w:ind w:left="504"/>
      </w:pPr>
      <w:rPr>
        <w:snapToGrid/>
        <w:sz w:val="21"/>
        <w:szCs w:val="21"/>
      </w:rPr>
    </w:lvl>
  </w:abstractNum>
  <w:abstractNum w:abstractNumId="3">
    <w:nsid w:val="00CC0011"/>
    <w:multiLevelType w:val="singleLevel"/>
    <w:tmpl w:val="19854629"/>
    <w:lvl w:ilvl="0">
      <w:start w:val="1"/>
      <w:numFmt w:val="upperLetter"/>
      <w:lvlText w:val="%1:"/>
      <w:lvlJc w:val="left"/>
      <w:pPr>
        <w:tabs>
          <w:tab w:val="num" w:pos="1080"/>
        </w:tabs>
        <w:ind w:left="576"/>
      </w:pPr>
      <w:rPr>
        <w:snapToGrid/>
        <w:spacing w:val="4"/>
        <w:sz w:val="21"/>
        <w:szCs w:val="21"/>
      </w:rPr>
    </w:lvl>
  </w:abstractNum>
  <w:abstractNum w:abstractNumId="4">
    <w:nsid w:val="00EDE4AC"/>
    <w:multiLevelType w:val="singleLevel"/>
    <w:tmpl w:val="33AA58B9"/>
    <w:lvl w:ilvl="0">
      <w:start w:val="1"/>
      <w:numFmt w:val="upperLetter"/>
      <w:lvlText w:val="%1:"/>
      <w:lvlJc w:val="left"/>
      <w:pPr>
        <w:tabs>
          <w:tab w:val="num" w:pos="1008"/>
        </w:tabs>
        <w:ind w:left="1008" w:hanging="432"/>
      </w:pPr>
      <w:rPr>
        <w:snapToGrid/>
        <w:spacing w:val="2"/>
        <w:sz w:val="21"/>
        <w:szCs w:val="21"/>
      </w:rPr>
    </w:lvl>
  </w:abstractNum>
  <w:abstractNum w:abstractNumId="5">
    <w:nsid w:val="0215575B"/>
    <w:multiLevelType w:val="singleLevel"/>
    <w:tmpl w:val="53B5BBF9"/>
    <w:lvl w:ilvl="0">
      <w:start w:val="1"/>
      <w:numFmt w:val="upperLetter"/>
      <w:lvlText w:val="%1:"/>
      <w:lvlJc w:val="left"/>
      <w:pPr>
        <w:tabs>
          <w:tab w:val="num" w:pos="1008"/>
        </w:tabs>
        <w:ind w:left="504"/>
      </w:pPr>
      <w:rPr>
        <w:snapToGrid/>
        <w:spacing w:val="3"/>
        <w:sz w:val="21"/>
        <w:szCs w:val="21"/>
      </w:rPr>
    </w:lvl>
  </w:abstractNum>
  <w:abstractNum w:abstractNumId="6">
    <w:nsid w:val="04491074"/>
    <w:multiLevelType w:val="singleLevel"/>
    <w:tmpl w:val="1B462404"/>
    <w:lvl w:ilvl="0">
      <w:start w:val="1"/>
      <w:numFmt w:val="upperLetter"/>
      <w:lvlText w:val="%1:"/>
      <w:lvlJc w:val="left"/>
      <w:pPr>
        <w:tabs>
          <w:tab w:val="num" w:pos="1080"/>
        </w:tabs>
        <w:ind w:left="576"/>
      </w:pPr>
      <w:rPr>
        <w:snapToGrid/>
        <w:spacing w:val="5"/>
        <w:sz w:val="21"/>
        <w:szCs w:val="21"/>
      </w:rPr>
    </w:lvl>
  </w:abstractNum>
  <w:abstractNum w:abstractNumId="7">
    <w:nsid w:val="05AE0D24"/>
    <w:multiLevelType w:val="singleLevel"/>
    <w:tmpl w:val="5CE3DB4A"/>
    <w:lvl w:ilvl="0">
      <w:start w:val="1"/>
      <w:numFmt w:val="upperLetter"/>
      <w:lvlText w:val="%1:"/>
      <w:lvlJc w:val="left"/>
      <w:pPr>
        <w:tabs>
          <w:tab w:val="num" w:pos="1080"/>
        </w:tabs>
        <w:ind w:left="576"/>
      </w:pPr>
      <w:rPr>
        <w:snapToGrid/>
        <w:spacing w:val="4"/>
        <w:sz w:val="21"/>
        <w:szCs w:val="21"/>
      </w:rPr>
    </w:lvl>
  </w:abstractNum>
  <w:abstractNum w:abstractNumId="8">
    <w:nsid w:val="068750AD"/>
    <w:multiLevelType w:val="singleLevel"/>
    <w:tmpl w:val="14AFB427"/>
    <w:lvl w:ilvl="0">
      <w:start w:val="1"/>
      <w:numFmt w:val="upperLetter"/>
      <w:lvlText w:val="%1:"/>
      <w:lvlJc w:val="left"/>
      <w:pPr>
        <w:tabs>
          <w:tab w:val="num" w:pos="1080"/>
        </w:tabs>
        <w:ind w:left="504"/>
      </w:pPr>
      <w:rPr>
        <w:snapToGrid/>
        <w:spacing w:val="3"/>
        <w:sz w:val="21"/>
        <w:szCs w:val="21"/>
      </w:rPr>
    </w:lvl>
  </w:abstractNum>
  <w:abstractNum w:abstractNumId="9">
    <w:nsid w:val="073F2FDE"/>
    <w:multiLevelType w:val="singleLevel"/>
    <w:tmpl w:val="4718FBAC"/>
    <w:lvl w:ilvl="0">
      <w:start w:val="1"/>
      <w:numFmt w:val="upperLetter"/>
      <w:lvlText w:val="%1:"/>
      <w:lvlJc w:val="left"/>
      <w:pPr>
        <w:tabs>
          <w:tab w:val="num" w:pos="1152"/>
        </w:tabs>
        <w:ind w:left="576"/>
      </w:pPr>
      <w:rPr>
        <w:snapToGrid/>
        <w:sz w:val="21"/>
        <w:szCs w:val="21"/>
      </w:rPr>
    </w:lvl>
  </w:abstractNum>
  <w:num w:numId="1">
    <w:abstractNumId w:val="8"/>
  </w:num>
  <w:num w:numId="2">
    <w:abstractNumId w:val="5"/>
  </w:num>
  <w:num w:numId="3">
    <w:abstractNumId w:val="1"/>
  </w:num>
  <w:num w:numId="4">
    <w:abstractNumId w:val="1"/>
    <w:lvlOverride w:ilvl="0">
      <w:lvl w:ilvl="0">
        <w:numFmt w:val="upperLetter"/>
        <w:lvlText w:val="%1:"/>
        <w:lvlJc w:val="left"/>
        <w:pPr>
          <w:tabs>
            <w:tab w:val="num" w:pos="1008"/>
          </w:tabs>
          <w:ind w:left="504"/>
        </w:pPr>
        <w:rPr>
          <w:snapToGrid/>
          <w:spacing w:val="3"/>
          <w:sz w:val="21"/>
          <w:szCs w:val="21"/>
        </w:rPr>
      </w:lvl>
    </w:lvlOverride>
  </w:num>
  <w:num w:numId="5">
    <w:abstractNumId w:val="2"/>
  </w:num>
  <w:num w:numId="6">
    <w:abstractNumId w:val="0"/>
  </w:num>
  <w:num w:numId="7">
    <w:abstractNumId w:val="9"/>
  </w:num>
  <w:num w:numId="8">
    <w:abstractNumId w:val="6"/>
  </w:num>
  <w:num w:numId="9">
    <w:abstractNumId w:val="3"/>
  </w:num>
  <w:num w:numId="10">
    <w:abstractNumId w:val="7"/>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08"/>
  <w:hyphenationZone w:val="425"/>
  <w:characterSpacingControl w:val="doNotCompress"/>
  <w:compat/>
  <w:rsids>
    <w:rsidRoot w:val="00BE7DC8"/>
    <w:rsid w:val="001D1268"/>
    <w:rsid w:val="00223397"/>
    <w:rsid w:val="00260746"/>
    <w:rsid w:val="002A5FAC"/>
    <w:rsid w:val="003229C3"/>
    <w:rsid w:val="00494717"/>
    <w:rsid w:val="005B6548"/>
    <w:rsid w:val="007F12AE"/>
    <w:rsid w:val="0081089A"/>
    <w:rsid w:val="00877A11"/>
    <w:rsid w:val="00923A72"/>
    <w:rsid w:val="00AE33A0"/>
    <w:rsid w:val="00BA520C"/>
    <w:rsid w:val="00BE7DC8"/>
    <w:rsid w:val="00C40E3C"/>
    <w:rsid w:val="00C72396"/>
    <w:rsid w:val="00D05FBA"/>
    <w:rsid w:val="00D45928"/>
    <w:rsid w:val="00FE35E6"/>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33A0"/>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81245756">
      <w:bodyDiv w:val="1"/>
      <w:marLeft w:val="0"/>
      <w:marRight w:val="0"/>
      <w:marTop w:val="0"/>
      <w:marBottom w:val="0"/>
      <w:divBdr>
        <w:top w:val="none" w:sz="0" w:space="0" w:color="auto"/>
        <w:left w:val="none" w:sz="0" w:space="0" w:color="auto"/>
        <w:bottom w:val="none" w:sz="0" w:space="0" w:color="auto"/>
        <w:right w:val="none" w:sz="0" w:space="0" w:color="auto"/>
      </w:divBdr>
      <w:divsChild>
        <w:div w:id="1212963308">
          <w:marLeft w:val="0"/>
          <w:marRight w:val="0"/>
          <w:marTop w:val="0"/>
          <w:marBottom w:val="0"/>
          <w:divBdr>
            <w:top w:val="none" w:sz="0" w:space="0" w:color="auto"/>
            <w:left w:val="none" w:sz="0" w:space="0" w:color="auto"/>
            <w:bottom w:val="none" w:sz="0" w:space="0" w:color="auto"/>
            <w:right w:val="none" w:sz="0" w:space="0" w:color="auto"/>
          </w:divBdr>
        </w:div>
      </w:divsChild>
    </w:div>
    <w:div w:id="490365659">
      <w:bodyDiv w:val="1"/>
      <w:marLeft w:val="0"/>
      <w:marRight w:val="0"/>
      <w:marTop w:val="0"/>
      <w:marBottom w:val="0"/>
      <w:divBdr>
        <w:top w:val="none" w:sz="0" w:space="0" w:color="auto"/>
        <w:left w:val="none" w:sz="0" w:space="0" w:color="auto"/>
        <w:bottom w:val="none" w:sz="0" w:space="0" w:color="auto"/>
        <w:right w:val="none" w:sz="0" w:space="0" w:color="auto"/>
      </w:divBdr>
    </w:div>
    <w:div w:id="1686131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DB369-80D9-4AFB-9E05-A1726E62A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780</Words>
  <Characters>4292</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Lorenzo Arracó</dc:creator>
  <cp:lastModifiedBy>Lorenzo Arracó</cp:lastModifiedBy>
  <cp:revision>3</cp:revision>
  <dcterms:created xsi:type="dcterms:W3CDTF">2021-11-19T14:04:00Z</dcterms:created>
  <dcterms:modified xsi:type="dcterms:W3CDTF">2021-11-19T14:06:00Z</dcterms:modified>
</cp:coreProperties>
</file>