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43C2" w:rsidRDefault="006C43C2" w:rsidP="006C43C2">
      <w:pPr>
        <w:rPr>
          <w:b/>
          <w:bCs/>
        </w:rPr>
      </w:pPr>
    </w:p>
    <w:p w:rsidR="006C43C2" w:rsidRDefault="006C43C2" w:rsidP="006C43C2">
      <w:pPr>
        <w:jc w:val="center"/>
        <w:rPr>
          <w:b/>
          <w:bCs/>
        </w:rPr>
      </w:pPr>
      <w:r>
        <w:rPr>
          <w:b/>
          <w:bCs/>
        </w:rPr>
        <w:t>EXAMEN NEFROLOGÍA</w:t>
      </w:r>
    </w:p>
    <w:p w:rsidR="006C43C2" w:rsidRPr="006C43C2" w:rsidRDefault="006C43C2" w:rsidP="006C43C2">
      <w:pPr>
        <w:rPr>
          <w:b/>
          <w:bCs/>
        </w:rPr>
      </w:pPr>
      <w:r>
        <w:rPr>
          <w:b/>
          <w:bCs/>
        </w:rPr>
        <w:br/>
      </w:r>
      <w:r w:rsidRPr="006C43C2">
        <w:rPr>
          <w:b/>
          <w:bCs/>
        </w:rPr>
        <w:t xml:space="preserve">1 </w:t>
      </w:r>
      <w:proofErr w:type="gramStart"/>
      <w:r w:rsidRPr="006C43C2">
        <w:rPr>
          <w:b/>
          <w:bCs/>
        </w:rPr>
        <w:t>¿ A</w:t>
      </w:r>
      <w:proofErr w:type="gramEnd"/>
      <w:r w:rsidRPr="006C43C2">
        <w:rPr>
          <w:b/>
          <w:bCs/>
        </w:rPr>
        <w:t xml:space="preserve"> través de qué instrumento se materializan los compromisos de las unidades clínicas con las direcciones asistenciales para la mejora de resultados en salud?</w:t>
      </w:r>
    </w:p>
    <w:p w:rsidR="006C43C2" w:rsidRPr="006C43C2" w:rsidRDefault="006C43C2" w:rsidP="006C43C2">
      <w:pPr>
        <w:numPr>
          <w:ilvl w:val="0"/>
          <w:numId w:val="1"/>
        </w:numPr>
      </w:pPr>
      <w:r w:rsidRPr="006C43C2">
        <w:t>Los contratos de gestión clínica</w:t>
      </w:r>
    </w:p>
    <w:p w:rsidR="006C43C2" w:rsidRPr="006C43C2" w:rsidRDefault="006C43C2" w:rsidP="006C43C2">
      <w:pPr>
        <w:numPr>
          <w:ilvl w:val="0"/>
          <w:numId w:val="1"/>
        </w:numPr>
      </w:pPr>
      <w:r w:rsidRPr="006C43C2">
        <w:t>Los informes de alta</w:t>
      </w:r>
    </w:p>
    <w:p w:rsidR="006C43C2" w:rsidRDefault="006C43C2" w:rsidP="006C43C2">
      <w:pPr>
        <w:numPr>
          <w:ilvl w:val="0"/>
          <w:numId w:val="1"/>
        </w:numPr>
      </w:pPr>
      <w:r w:rsidRPr="006C43C2">
        <w:t xml:space="preserve">Los consentimientos informados </w:t>
      </w:r>
    </w:p>
    <w:p w:rsidR="006C43C2" w:rsidRDefault="006C43C2" w:rsidP="006C43C2">
      <w:pPr>
        <w:numPr>
          <w:ilvl w:val="0"/>
          <w:numId w:val="1"/>
        </w:numPr>
      </w:pPr>
      <w:r w:rsidRPr="006C43C2">
        <w:t>D: Resoluciones y decretos</w:t>
      </w:r>
    </w:p>
    <w:p w:rsidR="004B73DE" w:rsidRPr="004B73DE" w:rsidRDefault="004B73DE" w:rsidP="004B73DE">
      <w:pPr>
        <w:rPr>
          <w:b/>
          <w:bCs/>
          <w:i/>
          <w:iCs/>
          <w:color w:val="0070C0"/>
          <w:sz w:val="24"/>
          <w:szCs w:val="24"/>
        </w:rPr>
      </w:pPr>
      <w:r w:rsidRPr="004B73DE">
        <w:rPr>
          <w:b/>
          <w:bCs/>
          <w:color w:val="0070C0"/>
          <w:sz w:val="24"/>
          <w:szCs w:val="24"/>
        </w:rPr>
        <w:t>A, DECRETO 174/2010, de 21 de septiembre, del Gobierno de Aragón, por el que se aprueba el reglamento de la estructura y funcionamiento de las áreas y sectores del Sistema de Salud de Aragón. Artículo 47</w:t>
      </w:r>
      <w:proofErr w:type="gramStart"/>
      <w:r w:rsidRPr="004B73DE">
        <w:rPr>
          <w:b/>
          <w:bCs/>
          <w:color w:val="0070C0"/>
          <w:sz w:val="24"/>
          <w:szCs w:val="24"/>
        </w:rPr>
        <w:t>.—</w:t>
      </w:r>
      <w:proofErr w:type="gramEnd"/>
      <w:r w:rsidRPr="004B73DE">
        <w:rPr>
          <w:b/>
          <w:bCs/>
          <w:color w:val="0070C0"/>
          <w:sz w:val="24"/>
          <w:szCs w:val="24"/>
        </w:rPr>
        <w:t xml:space="preserve">Contrato de Gestión Clínica. </w:t>
      </w:r>
      <w:r w:rsidRPr="004B73DE">
        <w:rPr>
          <w:b/>
          <w:bCs/>
          <w:i/>
          <w:iCs/>
          <w:color w:val="0070C0"/>
          <w:sz w:val="24"/>
          <w:szCs w:val="24"/>
        </w:rPr>
        <w:t xml:space="preserve">El contrato de gestión clínica recoge los </w:t>
      </w:r>
      <w:r w:rsidRPr="004B73DE">
        <w:rPr>
          <w:b/>
          <w:bCs/>
          <w:i/>
          <w:iCs/>
          <w:color w:val="0070C0"/>
          <w:sz w:val="24"/>
          <w:szCs w:val="24"/>
          <w:u w:val="single"/>
        </w:rPr>
        <w:t>compromisos de la Unidad Clínica y la Dirección</w:t>
      </w:r>
      <w:r w:rsidRPr="004B73DE">
        <w:rPr>
          <w:b/>
          <w:bCs/>
          <w:i/>
          <w:iCs/>
          <w:color w:val="0070C0"/>
          <w:sz w:val="24"/>
          <w:szCs w:val="24"/>
        </w:rPr>
        <w:t xml:space="preserve"> del Centro…</w:t>
      </w:r>
    </w:p>
    <w:p w:rsidR="006C43C2" w:rsidRPr="006C43C2" w:rsidRDefault="006C43C2" w:rsidP="00690A10"/>
    <w:p w:rsidR="00690A10" w:rsidRDefault="00690A10" w:rsidP="006C43C2">
      <w:pPr>
        <w:rPr>
          <w:b/>
          <w:bCs/>
        </w:rPr>
      </w:pPr>
    </w:p>
    <w:p w:rsidR="006C43C2" w:rsidRPr="006C43C2" w:rsidRDefault="006C43C2" w:rsidP="006C43C2">
      <w:pPr>
        <w:rPr>
          <w:b/>
          <w:bCs/>
        </w:rPr>
      </w:pPr>
      <w:r w:rsidRPr="006C43C2">
        <w:rPr>
          <w:b/>
          <w:bCs/>
        </w:rPr>
        <w:t>2 Indique cuál de las siguientes opciones es INCORRECTA respecto al proyecto de GUÍA-SALUD:</w:t>
      </w:r>
    </w:p>
    <w:p w:rsidR="006C43C2" w:rsidRPr="006C43C2" w:rsidRDefault="006C43C2" w:rsidP="006C43C2">
      <w:pPr>
        <w:numPr>
          <w:ilvl w:val="0"/>
          <w:numId w:val="2"/>
        </w:numPr>
      </w:pPr>
      <w:r w:rsidRPr="006C43C2">
        <w:t>Es un organismo del Sistema Nacional de Salud, en el que participan las 17 Comunidades Autónomas y Ministerio de Sanidad</w:t>
      </w:r>
    </w:p>
    <w:p w:rsidR="006C43C2" w:rsidRPr="006C43C2" w:rsidRDefault="006C43C2" w:rsidP="006C43C2">
      <w:pPr>
        <w:numPr>
          <w:ilvl w:val="0"/>
          <w:numId w:val="2"/>
        </w:numPr>
      </w:pPr>
      <w:r w:rsidRPr="006C43C2">
        <w:t>Fue creado en el año 2002 y adaptado en el 2003 por el Consejo Interterritorial como instrumento para mejorar la calidad de la Atención Sanitaria en el Sistema</w:t>
      </w:r>
    </w:p>
    <w:p w:rsidR="006C43C2" w:rsidRPr="006C43C2" w:rsidRDefault="006C43C2" w:rsidP="006C43C2">
      <w:pPr>
        <w:numPr>
          <w:ilvl w:val="0"/>
          <w:numId w:val="2"/>
        </w:numPr>
      </w:pPr>
      <w:r w:rsidRPr="006C43C2">
        <w:t>El Instituto de Investigación Sanitaria de Aragón ejerce la secretaria del Organismo</w:t>
      </w:r>
    </w:p>
    <w:p w:rsidR="006C43C2" w:rsidRDefault="006C43C2" w:rsidP="006C43C2">
      <w:pPr>
        <w:numPr>
          <w:ilvl w:val="0"/>
          <w:numId w:val="2"/>
        </w:numPr>
      </w:pPr>
      <w:r w:rsidRPr="006C43C2">
        <w:t>La página web de GUÍA-SALUD es el mecanismo por el que se facilita el acceso a Guías de Práctica Clínica elaboradas por el Sistema Nacional de Salud</w:t>
      </w:r>
    </w:p>
    <w:p w:rsidR="00EB001D" w:rsidRPr="00DE2E77" w:rsidRDefault="00EB001D" w:rsidP="00EB001D">
      <w:pPr>
        <w:rPr>
          <w:b/>
          <w:bCs/>
          <w:color w:val="0070C0"/>
          <w:sz w:val="24"/>
          <w:szCs w:val="24"/>
        </w:rPr>
      </w:pPr>
      <w:r w:rsidRPr="00EB001D">
        <w:rPr>
          <w:b/>
          <w:bCs/>
          <w:color w:val="0070C0"/>
          <w:sz w:val="24"/>
          <w:szCs w:val="24"/>
        </w:rPr>
        <w:t xml:space="preserve">C, </w:t>
      </w:r>
      <w:r>
        <w:rPr>
          <w:b/>
          <w:bCs/>
          <w:color w:val="0070C0"/>
          <w:sz w:val="24"/>
          <w:szCs w:val="24"/>
        </w:rPr>
        <w:t xml:space="preserve">es la premisa incorrecta, por tanto la respuesta </w:t>
      </w:r>
      <w:r w:rsidRPr="00EB001D">
        <w:rPr>
          <w:b/>
          <w:bCs/>
          <w:color w:val="0070C0"/>
          <w:sz w:val="24"/>
          <w:szCs w:val="24"/>
        </w:rPr>
        <w:t>correcta.</w:t>
      </w:r>
      <w:r w:rsidR="00DE2E77">
        <w:rPr>
          <w:b/>
          <w:bCs/>
          <w:color w:val="0070C0"/>
          <w:sz w:val="24"/>
          <w:szCs w:val="24"/>
        </w:rPr>
        <w:t xml:space="preserve"> Guía </w:t>
      </w:r>
      <w:r w:rsidR="00DE2E77" w:rsidRPr="00DE2E77">
        <w:rPr>
          <w:b/>
          <w:bCs/>
          <w:color w:val="0070C0"/>
          <w:sz w:val="24"/>
          <w:szCs w:val="24"/>
        </w:rPr>
        <w:t xml:space="preserve">Salud ha sido repasada en sus componentes y </w:t>
      </w:r>
      <w:r w:rsidR="00DE2E77">
        <w:rPr>
          <w:b/>
          <w:bCs/>
          <w:color w:val="0070C0"/>
          <w:sz w:val="24"/>
          <w:szCs w:val="24"/>
        </w:rPr>
        <w:t>composición en clase.</w:t>
      </w:r>
    </w:p>
    <w:p w:rsidR="006C43C2" w:rsidRDefault="006C43C2" w:rsidP="006C43C2">
      <w:pPr>
        <w:rPr>
          <w:b/>
          <w:bCs/>
        </w:rPr>
      </w:pPr>
    </w:p>
    <w:p w:rsidR="006C43C2" w:rsidRPr="006C43C2" w:rsidRDefault="006C43C2" w:rsidP="006C43C2">
      <w:pPr>
        <w:rPr>
          <w:b/>
          <w:bCs/>
        </w:rPr>
      </w:pPr>
      <w:r w:rsidRPr="006C43C2">
        <w:rPr>
          <w:b/>
          <w:bCs/>
        </w:rPr>
        <w:t>3 ¿En qué casos la aplicación del consentimiento informado debe realizarse de forma escrita?</w:t>
      </w:r>
    </w:p>
    <w:p w:rsidR="006C43C2" w:rsidRPr="006C43C2" w:rsidRDefault="006C43C2" w:rsidP="006C43C2">
      <w:pPr>
        <w:numPr>
          <w:ilvl w:val="0"/>
          <w:numId w:val="3"/>
        </w:numPr>
      </w:pPr>
      <w:r w:rsidRPr="006C43C2">
        <w:t>Siempre</w:t>
      </w:r>
    </w:p>
    <w:p w:rsidR="006C43C2" w:rsidRPr="006C43C2" w:rsidRDefault="006C43C2" w:rsidP="006C43C2">
      <w:pPr>
        <w:numPr>
          <w:ilvl w:val="0"/>
          <w:numId w:val="4"/>
        </w:numPr>
      </w:pPr>
      <w:r w:rsidRPr="006C43C2">
        <w:t>Nunca</w:t>
      </w:r>
    </w:p>
    <w:p w:rsidR="006C43C2" w:rsidRPr="006C43C2" w:rsidRDefault="006C43C2" w:rsidP="006C43C2">
      <w:pPr>
        <w:numPr>
          <w:ilvl w:val="0"/>
          <w:numId w:val="3"/>
        </w:numPr>
      </w:pPr>
      <w:r w:rsidRPr="006C43C2">
        <w:t>En intervenci</w:t>
      </w:r>
      <w:r>
        <w:t>o</w:t>
      </w:r>
      <w:r w:rsidRPr="006C43C2">
        <w:t>nes quirúrgicas, procedimientos diagnósticos y terapéuticos invasores y, en general, en la aplicación de procedimientos que suponen riesgos o inconvenientes de notoria y previsible repercusión negativa sobre la salud del paciente</w:t>
      </w:r>
    </w:p>
    <w:p w:rsidR="006C43C2" w:rsidRDefault="006C43C2" w:rsidP="006C43C2">
      <w:pPr>
        <w:numPr>
          <w:ilvl w:val="0"/>
          <w:numId w:val="3"/>
        </w:numPr>
      </w:pPr>
      <w:r w:rsidRPr="006C43C2">
        <w:t>Sólo en intervenciones quirúrgicas</w:t>
      </w:r>
    </w:p>
    <w:p w:rsidR="00690A10" w:rsidRPr="00690A10" w:rsidRDefault="00690A10" w:rsidP="00690A10">
      <w:pPr>
        <w:rPr>
          <w:b/>
          <w:bCs/>
          <w:i/>
          <w:iCs/>
          <w:color w:val="0070C0"/>
          <w:sz w:val="24"/>
          <w:szCs w:val="24"/>
        </w:rPr>
      </w:pPr>
      <w:r w:rsidRPr="00690A10">
        <w:rPr>
          <w:b/>
          <w:bCs/>
          <w:color w:val="0070C0"/>
          <w:sz w:val="24"/>
          <w:szCs w:val="24"/>
        </w:rPr>
        <w:t xml:space="preserve">C. Artículo 8. Consentimiento informado.  </w:t>
      </w:r>
      <w:r w:rsidRPr="00690A10">
        <w:rPr>
          <w:b/>
          <w:bCs/>
          <w:i/>
          <w:iCs/>
          <w:color w:val="0070C0"/>
          <w:sz w:val="24"/>
          <w:szCs w:val="24"/>
        </w:rPr>
        <w:t>2. El consentimiento será verbal por regla general. Sin embargo, se prestará por escrito en los casos siguientes: intervención quirúrgica, procedimientos diagnósticos y terapéuticos invasores y, en general, aplicación de procedimientos que suponen riesgos o inconvenientes de notoria y previsible repercusión negativa sobre la salud del paciente.</w:t>
      </w:r>
    </w:p>
    <w:p w:rsidR="006C43C2" w:rsidRDefault="006C43C2" w:rsidP="006C43C2">
      <w:pPr>
        <w:rPr>
          <w:b/>
          <w:bCs/>
        </w:rPr>
      </w:pPr>
    </w:p>
    <w:p w:rsidR="00690A10" w:rsidRDefault="00690A10" w:rsidP="006C43C2">
      <w:pPr>
        <w:rPr>
          <w:b/>
          <w:bCs/>
        </w:rPr>
      </w:pPr>
    </w:p>
    <w:p w:rsidR="00690A10" w:rsidRDefault="00690A10" w:rsidP="006C43C2">
      <w:pPr>
        <w:rPr>
          <w:b/>
          <w:bCs/>
        </w:rPr>
      </w:pPr>
    </w:p>
    <w:p w:rsidR="00690A10" w:rsidRDefault="00690A10" w:rsidP="006C43C2">
      <w:pPr>
        <w:rPr>
          <w:b/>
          <w:bCs/>
        </w:rPr>
      </w:pPr>
    </w:p>
    <w:p w:rsidR="00690A10" w:rsidRDefault="00690A10" w:rsidP="006C43C2">
      <w:pPr>
        <w:rPr>
          <w:b/>
          <w:bCs/>
        </w:rPr>
      </w:pPr>
    </w:p>
    <w:p w:rsidR="00690A10" w:rsidRDefault="00690A10" w:rsidP="006C43C2">
      <w:pPr>
        <w:rPr>
          <w:b/>
          <w:bCs/>
        </w:rPr>
      </w:pPr>
    </w:p>
    <w:p w:rsidR="00690A10" w:rsidRDefault="00690A10" w:rsidP="006C43C2">
      <w:pPr>
        <w:rPr>
          <w:b/>
          <w:bCs/>
        </w:rPr>
      </w:pPr>
    </w:p>
    <w:p w:rsidR="00690A10" w:rsidRDefault="00690A10" w:rsidP="006C43C2">
      <w:pPr>
        <w:rPr>
          <w:b/>
          <w:bCs/>
        </w:rPr>
      </w:pPr>
    </w:p>
    <w:p w:rsidR="006C43C2" w:rsidRPr="006C43C2" w:rsidRDefault="006C43C2" w:rsidP="006C43C2">
      <w:pPr>
        <w:rPr>
          <w:b/>
          <w:bCs/>
        </w:rPr>
      </w:pPr>
      <w:r w:rsidRPr="006C43C2">
        <w:rPr>
          <w:b/>
          <w:bCs/>
        </w:rPr>
        <w:t>4 El Consejo Nacional de Especialidades en Ciencias de la Salud, según la ley 44/2003 de 21 de noviembre, de Ordenación de las Profesiones Sanitarias, tendrá entre sus miembros a:</w:t>
      </w:r>
    </w:p>
    <w:p w:rsidR="006C43C2" w:rsidRPr="006C43C2" w:rsidRDefault="006C43C2" w:rsidP="006C43C2">
      <w:pPr>
        <w:numPr>
          <w:ilvl w:val="0"/>
          <w:numId w:val="5"/>
        </w:numPr>
      </w:pPr>
      <w:r w:rsidRPr="006C43C2">
        <w:t>Los Presidentes de las Comisiones Nacionales de cada Especialidad en Ciencias de la Salud</w:t>
      </w:r>
    </w:p>
    <w:p w:rsidR="006C43C2" w:rsidRPr="006C43C2" w:rsidRDefault="006C43C2" w:rsidP="006C43C2">
      <w:pPr>
        <w:numPr>
          <w:ilvl w:val="0"/>
          <w:numId w:val="5"/>
        </w:numPr>
      </w:pPr>
      <w:r w:rsidRPr="006C43C2">
        <w:t>3 representantes de las Comunidades Autónomas designados por la Comisión de Recursos Humanos del Sistema Nacional de Salud</w:t>
      </w:r>
    </w:p>
    <w:p w:rsidR="006C43C2" w:rsidRPr="006C43C2" w:rsidRDefault="006C43C2" w:rsidP="006C43C2">
      <w:pPr>
        <w:numPr>
          <w:ilvl w:val="0"/>
          <w:numId w:val="5"/>
        </w:numPr>
      </w:pPr>
      <w:r w:rsidRPr="006C43C2">
        <w:t>2 Especialistas por cada uno de los títulos universitarios que tengan acceso directo a alguna especialidad en Ciencias de la Salud, elegidos por mi periodo de 3 años</w:t>
      </w:r>
    </w:p>
    <w:p w:rsidR="006C43C2" w:rsidRPr="006C43C2" w:rsidRDefault="006C43C2" w:rsidP="006C43C2">
      <w:pPr>
        <w:numPr>
          <w:ilvl w:val="0"/>
          <w:numId w:val="5"/>
        </w:numPr>
      </w:pPr>
      <w:r w:rsidRPr="006C43C2">
        <w:t>Ninguna de las respuestas anteriores es correcta</w:t>
      </w:r>
    </w:p>
    <w:p w:rsidR="006C43C2" w:rsidRPr="00C46451" w:rsidRDefault="00C46451" w:rsidP="006C43C2">
      <w:pPr>
        <w:rPr>
          <w:b/>
          <w:bCs/>
          <w:color w:val="0070C0"/>
        </w:rPr>
      </w:pPr>
      <w:r w:rsidRPr="00C46451">
        <w:rPr>
          <w:b/>
          <w:bCs/>
          <w:color w:val="0070C0"/>
        </w:rPr>
        <w:t>A. Artículo 30. Consejo Nacional de Especialidades en Ciencias de la Salud. </w:t>
      </w:r>
      <w:r w:rsidRPr="00C46451">
        <w:rPr>
          <w:b/>
          <w:bCs/>
          <w:i/>
          <w:iCs/>
          <w:color w:val="0070C0"/>
        </w:rPr>
        <w:t>1. El Consejo Nacional de Especialidades en Ciencias de la Salud tendrá la siguiente composición: </w:t>
      </w:r>
      <w:r w:rsidRPr="00C46451">
        <w:rPr>
          <w:b/>
          <w:bCs/>
          <w:i/>
          <w:iCs/>
          <w:color w:val="0070C0"/>
          <w:u w:val="single"/>
        </w:rPr>
        <w:t>a) Los Presidentes de las Comisiones Nacionales de cada Especialidad en Ciencias de la Salud.</w:t>
      </w:r>
      <w:r w:rsidRPr="00C46451">
        <w:rPr>
          <w:b/>
          <w:bCs/>
          <w:i/>
          <w:iCs/>
          <w:color w:val="0070C0"/>
        </w:rPr>
        <w:t> b) Dos especialistas por cada uno de los títulos universitarios que tengan acceso directo a alguna especialidad en Ciencias de la Salud, elegidos, para un período de dos años, uno  por los miembros de las Comisiones Nacionales que ostenten el título de que se trate, y otro por la organización colegial de entre dichos miembros. c) Dos representantes del Ministerio de Educación, Cultura y Deporte. d) Dos representantes del Ministerio de Sanidad y Consumo. e) Dos representantes de las comunidades autónomas designados por la Comisión de Recursos Humanos del Sistema Nacional de Salud.</w:t>
      </w:r>
    </w:p>
    <w:p w:rsidR="006C43C2" w:rsidRDefault="006C43C2" w:rsidP="006C43C2">
      <w:pPr>
        <w:rPr>
          <w:b/>
          <w:bCs/>
        </w:rPr>
      </w:pPr>
    </w:p>
    <w:p w:rsidR="006C43C2" w:rsidRPr="006C43C2" w:rsidRDefault="006C43C2" w:rsidP="006C43C2">
      <w:pPr>
        <w:rPr>
          <w:b/>
          <w:bCs/>
        </w:rPr>
      </w:pPr>
      <w:r w:rsidRPr="006C43C2">
        <w:rPr>
          <w:b/>
          <w:bCs/>
        </w:rPr>
        <w:t>5 Corresponde al Gobierno de Aragón:</w:t>
      </w:r>
    </w:p>
    <w:p w:rsidR="006C43C2" w:rsidRPr="006C43C2" w:rsidRDefault="006C43C2" w:rsidP="006C43C2">
      <w:pPr>
        <w:numPr>
          <w:ilvl w:val="0"/>
          <w:numId w:val="6"/>
        </w:numPr>
      </w:pPr>
      <w:r w:rsidRPr="006C43C2">
        <w:t>Aprobar el proyecto de presupuesto del Servicio Aragonés de Salud</w:t>
      </w:r>
    </w:p>
    <w:p w:rsidR="006C43C2" w:rsidRPr="006C43C2" w:rsidRDefault="006C43C2" w:rsidP="006C43C2">
      <w:pPr>
        <w:numPr>
          <w:ilvl w:val="0"/>
          <w:numId w:val="6"/>
        </w:numPr>
      </w:pPr>
      <w:r w:rsidRPr="006C43C2">
        <w:t>Establecer la estructura, ordenación y planificación territorial en materia sanitaria</w:t>
      </w:r>
    </w:p>
    <w:p w:rsidR="006C43C2" w:rsidRPr="006C43C2" w:rsidRDefault="006C43C2" w:rsidP="006C43C2">
      <w:pPr>
        <w:numPr>
          <w:ilvl w:val="0"/>
          <w:numId w:val="6"/>
        </w:numPr>
      </w:pPr>
      <w:r w:rsidRPr="006C43C2">
        <w:t>La aprobación de la memoria anual de actuación del Servicio Aragonés de Salud</w:t>
      </w:r>
    </w:p>
    <w:p w:rsidR="006C43C2" w:rsidRDefault="006C43C2" w:rsidP="006C43C2">
      <w:pPr>
        <w:numPr>
          <w:ilvl w:val="0"/>
          <w:numId w:val="6"/>
        </w:numPr>
      </w:pPr>
      <w:r w:rsidRPr="006C43C2">
        <w:t>El nombramiento y cese de los vocales del Consejo de Salud del Sistema de Salud de Aragón</w:t>
      </w:r>
    </w:p>
    <w:p w:rsidR="00EB001D" w:rsidRPr="00EB001D" w:rsidRDefault="00EB001D" w:rsidP="004B73DE">
      <w:pPr>
        <w:rPr>
          <w:b/>
          <w:bCs/>
          <w:color w:val="0070C0"/>
          <w:sz w:val="24"/>
          <w:szCs w:val="24"/>
        </w:rPr>
      </w:pPr>
      <w:proofErr w:type="gramStart"/>
      <w:r w:rsidRPr="00EB001D">
        <w:rPr>
          <w:b/>
          <w:bCs/>
          <w:color w:val="0070C0"/>
          <w:sz w:val="24"/>
          <w:szCs w:val="24"/>
        </w:rPr>
        <w:t>A</w:t>
      </w:r>
      <w:proofErr w:type="gramEnd"/>
      <w:r w:rsidRPr="00EB001D">
        <w:rPr>
          <w:b/>
          <w:bCs/>
          <w:color w:val="0070C0"/>
          <w:sz w:val="24"/>
          <w:szCs w:val="24"/>
        </w:rPr>
        <w:t>, es lógica, pero no se hizo hincapié en ello en el curso</w:t>
      </w:r>
    </w:p>
    <w:p w:rsidR="006C43C2" w:rsidRDefault="006C43C2" w:rsidP="006C43C2"/>
    <w:p w:rsidR="006C43C2" w:rsidRPr="00EB001D" w:rsidRDefault="006C43C2" w:rsidP="004B73DE">
      <w:pPr>
        <w:ind w:hanging="1"/>
        <w:rPr>
          <w:b/>
          <w:bCs/>
        </w:rPr>
      </w:pPr>
      <w:bookmarkStart w:id="0" w:name="_Hlk87614974"/>
      <w:r w:rsidRPr="00EB001D">
        <w:rPr>
          <w:b/>
          <w:bCs/>
        </w:rPr>
        <w:t>6 ¿Qué tipo de evaluación económica en salud compara los costes de los resultados de diferentes intervenciones sanitarias medidos en años de vida ajustados por calidad (AVAC)?</w:t>
      </w:r>
    </w:p>
    <w:p w:rsidR="006C43C2" w:rsidRPr="006C43C2" w:rsidRDefault="006C43C2" w:rsidP="00EB001D">
      <w:pPr>
        <w:ind w:left="426" w:hanging="1"/>
      </w:pPr>
      <w:r w:rsidRPr="006C43C2">
        <w:t xml:space="preserve">A: Análisis de </w:t>
      </w:r>
      <w:proofErr w:type="spellStart"/>
      <w:r w:rsidRPr="006C43C2">
        <w:t>rninimización</w:t>
      </w:r>
      <w:proofErr w:type="spellEnd"/>
      <w:r w:rsidRPr="006C43C2">
        <w:t xml:space="preserve"> de costes </w:t>
      </w:r>
    </w:p>
    <w:p w:rsidR="006C43C2" w:rsidRPr="006C43C2" w:rsidRDefault="006C43C2" w:rsidP="00EB001D">
      <w:pPr>
        <w:ind w:left="426" w:hanging="1"/>
      </w:pPr>
      <w:r w:rsidRPr="006C43C2">
        <w:t>B: Análisis de coste-utilidad</w:t>
      </w:r>
    </w:p>
    <w:p w:rsidR="006C43C2" w:rsidRPr="006C43C2" w:rsidRDefault="006C43C2" w:rsidP="00EB001D">
      <w:pPr>
        <w:numPr>
          <w:ilvl w:val="0"/>
          <w:numId w:val="7"/>
        </w:numPr>
        <w:tabs>
          <w:tab w:val="clear" w:pos="1152"/>
        </w:tabs>
        <w:ind w:left="426" w:hanging="1"/>
      </w:pPr>
      <w:r w:rsidRPr="006C43C2">
        <w:t>Análisis de coste-beneficio</w:t>
      </w:r>
    </w:p>
    <w:p w:rsidR="006C43C2" w:rsidRDefault="006C43C2" w:rsidP="00EB001D">
      <w:pPr>
        <w:numPr>
          <w:ilvl w:val="0"/>
          <w:numId w:val="7"/>
        </w:numPr>
        <w:tabs>
          <w:tab w:val="clear" w:pos="1152"/>
        </w:tabs>
        <w:ind w:left="426" w:hanging="1"/>
      </w:pPr>
      <w:r w:rsidRPr="006C43C2">
        <w:t>Análisis de coste-efectividad</w:t>
      </w:r>
    </w:p>
    <w:bookmarkEnd w:id="0"/>
    <w:p w:rsidR="00011F8B" w:rsidRPr="00011F8B" w:rsidRDefault="004B73DE" w:rsidP="00011F8B">
      <w:pPr>
        <w:tabs>
          <w:tab w:val="left" w:pos="993"/>
        </w:tabs>
        <w:rPr>
          <w:rFonts w:ascii="Calibri" w:eastAsia="Calibri" w:hAnsi="Calibri" w:cs="Times New Roman"/>
          <w:b/>
          <w:color w:val="0070C0"/>
          <w:sz w:val="24"/>
          <w:szCs w:val="24"/>
        </w:rPr>
      </w:pPr>
      <w:r w:rsidRPr="00011F8B">
        <w:rPr>
          <w:b/>
          <w:bCs/>
          <w:color w:val="0070C0"/>
          <w:sz w:val="24"/>
          <w:szCs w:val="24"/>
        </w:rPr>
        <w:t>B,</w:t>
      </w:r>
      <w:r w:rsidR="00E25346" w:rsidRPr="00011F8B">
        <w:rPr>
          <w:b/>
          <w:bCs/>
          <w:color w:val="0070C0"/>
          <w:sz w:val="24"/>
          <w:szCs w:val="24"/>
        </w:rPr>
        <w:t xml:space="preserve"> </w:t>
      </w:r>
      <w:r w:rsidR="00011F8B" w:rsidRPr="00011F8B">
        <w:rPr>
          <w:rFonts w:ascii="Calibri" w:eastAsia="Calibri" w:hAnsi="Calibri" w:cs="Times New Roman"/>
          <w:b/>
          <w:color w:val="0070C0"/>
          <w:sz w:val="24"/>
          <w:szCs w:val="24"/>
        </w:rPr>
        <w:t>En el análisis coste utilidad, la unidad de media de las utilidades es el QALY o AVAC, años ganados ajustados por calidad de vida</w:t>
      </w:r>
    </w:p>
    <w:p w:rsidR="004B73DE" w:rsidRPr="004B73DE" w:rsidRDefault="004B73DE" w:rsidP="004B73DE">
      <w:pPr>
        <w:rPr>
          <w:b/>
          <w:bCs/>
          <w:color w:val="0070C0"/>
          <w:sz w:val="24"/>
          <w:szCs w:val="24"/>
        </w:rPr>
      </w:pPr>
    </w:p>
    <w:p w:rsidR="006C43C2" w:rsidRPr="006C43C2" w:rsidRDefault="006C43C2" w:rsidP="00EB001D">
      <w:pPr>
        <w:ind w:left="426" w:hanging="1"/>
      </w:pPr>
    </w:p>
    <w:p w:rsidR="00C46451" w:rsidRDefault="00C46451" w:rsidP="00EB001D">
      <w:pPr>
        <w:ind w:left="426" w:hanging="1"/>
        <w:rPr>
          <w:b/>
          <w:bCs/>
        </w:rPr>
      </w:pPr>
    </w:p>
    <w:p w:rsidR="00C46451" w:rsidRDefault="00C46451" w:rsidP="00EB001D">
      <w:pPr>
        <w:ind w:left="426" w:hanging="1"/>
        <w:rPr>
          <w:b/>
          <w:bCs/>
        </w:rPr>
      </w:pPr>
    </w:p>
    <w:p w:rsidR="00C46451" w:rsidRDefault="00C46451" w:rsidP="00EB001D">
      <w:pPr>
        <w:ind w:left="426" w:hanging="1"/>
        <w:rPr>
          <w:b/>
          <w:bCs/>
        </w:rPr>
      </w:pPr>
    </w:p>
    <w:p w:rsidR="00C46451" w:rsidRDefault="00C46451" w:rsidP="00EB001D">
      <w:pPr>
        <w:ind w:left="426" w:hanging="1"/>
        <w:rPr>
          <w:b/>
          <w:bCs/>
        </w:rPr>
      </w:pPr>
    </w:p>
    <w:p w:rsidR="00C46451" w:rsidRDefault="00C46451" w:rsidP="00EB001D">
      <w:pPr>
        <w:ind w:left="426" w:hanging="1"/>
        <w:rPr>
          <w:b/>
          <w:bCs/>
        </w:rPr>
      </w:pPr>
    </w:p>
    <w:p w:rsidR="006C43C2" w:rsidRPr="006C43C2" w:rsidRDefault="006C43C2" w:rsidP="00EB001D">
      <w:pPr>
        <w:ind w:left="426" w:hanging="1"/>
        <w:rPr>
          <w:b/>
          <w:bCs/>
        </w:rPr>
      </w:pPr>
      <w:r w:rsidRPr="006C43C2">
        <w:rPr>
          <w:b/>
          <w:bCs/>
        </w:rPr>
        <w:t>7 Las ofertas de empleo de las Administraciones Públicas Aragonesas:</w:t>
      </w:r>
    </w:p>
    <w:p w:rsidR="006C43C2" w:rsidRPr="006C43C2" w:rsidRDefault="006C43C2" w:rsidP="00C46451">
      <w:pPr>
        <w:numPr>
          <w:ilvl w:val="0"/>
          <w:numId w:val="8"/>
        </w:numPr>
        <w:ind w:left="709" w:hanging="1"/>
      </w:pPr>
      <w:r w:rsidRPr="006C43C2">
        <w:t>Deberán incluir una reserva del 1% de las plazas ofertadas para mujeres víctimas de violencia</w:t>
      </w:r>
    </w:p>
    <w:p w:rsidR="006C43C2" w:rsidRPr="006C43C2" w:rsidRDefault="006C43C2" w:rsidP="00C46451">
      <w:pPr>
        <w:numPr>
          <w:ilvl w:val="0"/>
          <w:numId w:val="8"/>
        </w:numPr>
        <w:ind w:left="709" w:hanging="1"/>
      </w:pPr>
      <w:r w:rsidRPr="006C43C2">
        <w:t>Deberán ir acompañadas de un informe de impacto de género</w:t>
      </w:r>
    </w:p>
    <w:p w:rsidR="006C43C2" w:rsidRPr="006C43C2" w:rsidRDefault="006C43C2" w:rsidP="00C46451">
      <w:pPr>
        <w:numPr>
          <w:ilvl w:val="0"/>
          <w:numId w:val="8"/>
        </w:numPr>
        <w:ind w:left="709" w:hanging="1"/>
      </w:pPr>
      <w:r w:rsidRPr="006C43C2">
        <w:t>Deberán incluir una reserva del 3% de las plazas ofertadas para mujeres víctimas de violencia</w:t>
      </w:r>
    </w:p>
    <w:p w:rsidR="006C43C2" w:rsidRPr="006C43C2" w:rsidRDefault="006C43C2" w:rsidP="00C46451">
      <w:pPr>
        <w:numPr>
          <w:ilvl w:val="0"/>
          <w:numId w:val="8"/>
        </w:numPr>
        <w:ind w:left="709" w:hanging="1"/>
      </w:pPr>
      <w:r w:rsidRPr="006C43C2">
        <w:t>Ninguna de las respuestas anteriores es correcta</w:t>
      </w:r>
    </w:p>
    <w:p w:rsidR="006C43C2" w:rsidRPr="00C46451" w:rsidRDefault="00C46451" w:rsidP="00EB001D">
      <w:pPr>
        <w:ind w:left="426" w:hanging="1"/>
        <w:rPr>
          <w:b/>
          <w:bCs/>
          <w:color w:val="0070C0"/>
          <w:sz w:val="24"/>
          <w:szCs w:val="24"/>
        </w:rPr>
      </w:pPr>
      <w:r w:rsidRPr="00C46451">
        <w:rPr>
          <w:b/>
          <w:bCs/>
          <w:color w:val="0070C0"/>
          <w:sz w:val="24"/>
          <w:szCs w:val="24"/>
        </w:rPr>
        <w:t>B, Esta pregunta está fuera del temario, no se encuentra en el epígrafe de la Ley 4/2007, de 22 de marzo, de Prevención y Protección Integral a las Mujeres Víctimas de Violencia en Aragón que es objeto de estudio para la oposición, </w:t>
      </w:r>
      <w:r w:rsidRPr="00C46451">
        <w:rPr>
          <w:b/>
          <w:bCs/>
          <w:i/>
          <w:iCs/>
          <w:color w:val="0070C0"/>
          <w:sz w:val="24"/>
          <w:szCs w:val="24"/>
        </w:rPr>
        <w:t>Disposiciones Generales.</w:t>
      </w:r>
    </w:p>
    <w:p w:rsidR="00C46451" w:rsidRDefault="00C46451" w:rsidP="00EB001D">
      <w:pPr>
        <w:ind w:left="426" w:hanging="1"/>
        <w:rPr>
          <w:b/>
          <w:bCs/>
        </w:rPr>
      </w:pPr>
    </w:p>
    <w:p w:rsidR="006C43C2" w:rsidRPr="006C43C2" w:rsidRDefault="006C43C2" w:rsidP="00EB001D">
      <w:pPr>
        <w:ind w:left="426" w:hanging="1"/>
        <w:rPr>
          <w:b/>
          <w:bCs/>
        </w:rPr>
      </w:pPr>
      <w:r w:rsidRPr="006C43C2">
        <w:rPr>
          <w:b/>
          <w:bCs/>
        </w:rPr>
        <w:t>8 El personal Estatutario, de acuerdo con la ley 55/2003, de 16 de diciembre, se encontrará en servicio activo:</w:t>
      </w:r>
    </w:p>
    <w:p w:rsidR="006C43C2" w:rsidRPr="006C43C2" w:rsidRDefault="006C43C2" w:rsidP="00C46451">
      <w:pPr>
        <w:numPr>
          <w:ilvl w:val="0"/>
          <w:numId w:val="9"/>
        </w:numPr>
        <w:ind w:left="709" w:hanging="1"/>
      </w:pPr>
      <w:r w:rsidRPr="006C43C2">
        <w:t>Cuando esté en situación de jubilación voluntaria</w:t>
      </w:r>
    </w:p>
    <w:p w:rsidR="006C43C2" w:rsidRPr="006C43C2" w:rsidRDefault="006C43C2" w:rsidP="00C46451">
      <w:pPr>
        <w:numPr>
          <w:ilvl w:val="0"/>
          <w:numId w:val="9"/>
        </w:numPr>
        <w:ind w:left="709" w:hanging="1"/>
      </w:pPr>
      <w:r w:rsidRPr="006C43C2">
        <w:t>Cuando desempeñe funciones de gestión clínica, cualquiera que sea el Servicio de Salud, Institución o Centro en el que se encuentre destinado</w:t>
      </w:r>
    </w:p>
    <w:p w:rsidR="006C43C2" w:rsidRPr="006C43C2" w:rsidRDefault="006C43C2" w:rsidP="00C46451">
      <w:pPr>
        <w:numPr>
          <w:ilvl w:val="0"/>
          <w:numId w:val="9"/>
        </w:numPr>
        <w:ind w:left="709" w:hanging="1"/>
      </w:pPr>
      <w:r w:rsidRPr="006C43C2">
        <w:t>Cuando desempeñe un puesto de trabajo de los incluidos en las relaciones de puesto</w:t>
      </w:r>
      <w:r w:rsidR="00C46451">
        <w:t>s</w:t>
      </w:r>
      <w:r w:rsidRPr="006C43C2">
        <w:t xml:space="preserve"> de las Administraciones Públicas cerrado al personal estatutario</w:t>
      </w:r>
    </w:p>
    <w:p w:rsidR="006C43C2" w:rsidRDefault="006C43C2" w:rsidP="00C46451">
      <w:pPr>
        <w:numPr>
          <w:ilvl w:val="0"/>
          <w:numId w:val="9"/>
        </w:numPr>
        <w:ind w:left="709" w:hanging="1"/>
      </w:pPr>
      <w:r w:rsidRPr="006C43C2">
        <w:t xml:space="preserve">Cuando se encuentre en situación de excedencia voluntaria por </w:t>
      </w:r>
      <w:r w:rsidR="00C46451" w:rsidRPr="006C43C2">
        <w:t>interés</w:t>
      </w:r>
      <w:r w:rsidRPr="006C43C2">
        <w:t xml:space="preserve"> particular</w:t>
      </w:r>
    </w:p>
    <w:p w:rsidR="00C46451" w:rsidRPr="00C46451" w:rsidRDefault="00C46451" w:rsidP="00C46451">
      <w:pPr>
        <w:ind w:left="426"/>
        <w:rPr>
          <w:b/>
          <w:bCs/>
          <w:color w:val="0070C0"/>
          <w:sz w:val="24"/>
          <w:szCs w:val="24"/>
        </w:rPr>
      </w:pPr>
      <w:r w:rsidRPr="00C46451">
        <w:rPr>
          <w:b/>
          <w:bCs/>
          <w:color w:val="0070C0"/>
          <w:sz w:val="24"/>
          <w:szCs w:val="24"/>
        </w:rPr>
        <w:t>B. Artículo 63. Servicio activo. </w:t>
      </w:r>
      <w:r w:rsidRPr="00C46451">
        <w:rPr>
          <w:b/>
          <w:bCs/>
          <w:i/>
          <w:iCs/>
          <w:color w:val="0070C0"/>
          <w:sz w:val="24"/>
          <w:szCs w:val="24"/>
        </w:rPr>
        <w:t>1. El personal estatutario se hallará en servicio activo cuando preste los servicios correspondientes a su nombramiento como tal, o </w:t>
      </w:r>
      <w:r w:rsidRPr="00C46451">
        <w:rPr>
          <w:b/>
          <w:bCs/>
          <w:i/>
          <w:iCs/>
          <w:color w:val="0070C0"/>
          <w:sz w:val="24"/>
          <w:szCs w:val="24"/>
          <w:u w:val="single"/>
        </w:rPr>
        <w:t>cuando desempeñe funciones de gestión clínica, cualquiera que sea el servicio de salud, institución o centro en el que se encuentre destinado,</w:t>
      </w:r>
      <w:r w:rsidRPr="00C46451">
        <w:rPr>
          <w:b/>
          <w:bCs/>
          <w:i/>
          <w:iCs/>
          <w:color w:val="0070C0"/>
          <w:sz w:val="24"/>
          <w:szCs w:val="24"/>
        </w:rPr>
        <w:t> así como cuando desempeñe puesto de trabajo de las relaciones de puestos de las Administraciones públicas abierto al personal estatutario.</w:t>
      </w:r>
    </w:p>
    <w:p w:rsidR="00C46451" w:rsidRDefault="00C46451" w:rsidP="006C43C2"/>
    <w:p w:rsidR="00C46451" w:rsidRPr="00C46451" w:rsidRDefault="00C46451" w:rsidP="00C46451">
      <w:pPr>
        <w:ind w:left="426"/>
        <w:rPr>
          <w:b/>
          <w:bCs/>
        </w:rPr>
      </w:pPr>
      <w:r w:rsidRPr="00C46451">
        <w:rPr>
          <w:b/>
          <w:bCs/>
        </w:rPr>
        <w:t>9 ¿Qué órganos son los responsables de la gestión clínica en el sistema de salud de Aragón?</w:t>
      </w:r>
    </w:p>
    <w:p w:rsidR="00C46451" w:rsidRPr="00C46451" w:rsidRDefault="00C46451" w:rsidP="00C46451">
      <w:pPr>
        <w:numPr>
          <w:ilvl w:val="0"/>
          <w:numId w:val="10"/>
        </w:numPr>
      </w:pPr>
      <w:r w:rsidRPr="00C46451">
        <w:t>El servicio de admisión</w:t>
      </w:r>
    </w:p>
    <w:p w:rsidR="00C46451" w:rsidRPr="00C46451" w:rsidRDefault="00C46451" w:rsidP="00C46451">
      <w:pPr>
        <w:numPr>
          <w:ilvl w:val="0"/>
          <w:numId w:val="11"/>
        </w:numPr>
      </w:pPr>
      <w:r w:rsidRPr="00C46451">
        <w:t>La comisión de historias clínicas</w:t>
      </w:r>
    </w:p>
    <w:p w:rsidR="00C46451" w:rsidRPr="00C46451" w:rsidRDefault="00C46451" w:rsidP="00C46451">
      <w:pPr>
        <w:numPr>
          <w:ilvl w:val="0"/>
          <w:numId w:val="11"/>
        </w:numPr>
      </w:pPr>
      <w:r w:rsidRPr="00C46451">
        <w:t>Las unidades clínicas</w:t>
      </w:r>
    </w:p>
    <w:p w:rsidR="00C46451" w:rsidRPr="00C46451" w:rsidRDefault="00C46451" w:rsidP="00C46451">
      <w:pPr>
        <w:numPr>
          <w:ilvl w:val="0"/>
          <w:numId w:val="11"/>
        </w:numPr>
      </w:pPr>
      <w:r w:rsidRPr="00C46451">
        <w:t>Las Direcciones de gestión</w:t>
      </w:r>
    </w:p>
    <w:p w:rsidR="004C4695" w:rsidRPr="004C4695" w:rsidRDefault="004C4695" w:rsidP="006C43C2">
      <w:pPr>
        <w:rPr>
          <w:b/>
          <w:bCs/>
          <w:color w:val="0070C0"/>
          <w:sz w:val="24"/>
          <w:szCs w:val="24"/>
        </w:rPr>
        <w:sectPr w:rsidR="004C4695" w:rsidRPr="004C4695">
          <w:pgSz w:w="11923" w:h="16824"/>
          <w:pgMar w:top="420" w:right="862" w:bottom="241" w:left="941" w:header="720" w:footer="720" w:gutter="0"/>
          <w:cols w:space="720"/>
          <w:noEndnote/>
        </w:sectPr>
      </w:pPr>
      <w:r w:rsidRPr="004C4695">
        <w:rPr>
          <w:b/>
          <w:bCs/>
          <w:color w:val="0070C0"/>
          <w:sz w:val="24"/>
          <w:szCs w:val="24"/>
        </w:rPr>
        <w:t>C, DECRETO 174/2010, de 21 de septiembre, del Gobierno de Aragón, por el que se aprueba el reglamento de la estructura y funcionamiento de las áreas y sectores del Sistema de Salud de Aragón. Artículo 45</w:t>
      </w:r>
      <w:proofErr w:type="gramStart"/>
      <w:r w:rsidRPr="004C4695">
        <w:rPr>
          <w:b/>
          <w:bCs/>
          <w:color w:val="0070C0"/>
          <w:sz w:val="24"/>
          <w:szCs w:val="24"/>
        </w:rPr>
        <w:t>.—</w:t>
      </w:r>
      <w:proofErr w:type="gramEnd"/>
      <w:r w:rsidRPr="004C4695">
        <w:rPr>
          <w:b/>
          <w:bCs/>
          <w:color w:val="0070C0"/>
          <w:sz w:val="24"/>
          <w:szCs w:val="24"/>
        </w:rPr>
        <w:t xml:space="preserve">Unidades Clínicas;  </w:t>
      </w:r>
      <w:r w:rsidRPr="004C4695">
        <w:rPr>
          <w:b/>
          <w:bCs/>
          <w:i/>
          <w:iCs/>
          <w:color w:val="0070C0"/>
          <w:sz w:val="24"/>
          <w:szCs w:val="24"/>
        </w:rPr>
        <w:t xml:space="preserve">2. </w:t>
      </w:r>
      <w:r w:rsidRPr="004C4695">
        <w:rPr>
          <w:b/>
          <w:bCs/>
          <w:i/>
          <w:iCs/>
          <w:color w:val="0070C0"/>
          <w:sz w:val="24"/>
          <w:szCs w:val="24"/>
          <w:u w:val="single"/>
        </w:rPr>
        <w:t>Las Unidades Clínicas son las responsables de realizar la gestión clínica</w:t>
      </w:r>
      <w:proofErr w:type="gramStart"/>
      <w:r w:rsidRPr="004C4695">
        <w:rPr>
          <w:b/>
          <w:bCs/>
          <w:i/>
          <w:iCs/>
          <w:color w:val="0070C0"/>
          <w:sz w:val="24"/>
          <w:szCs w:val="24"/>
          <w:u w:val="single"/>
        </w:rPr>
        <w:t xml:space="preserve">, </w:t>
      </w:r>
      <w:r w:rsidRPr="004C4695">
        <w:rPr>
          <w:b/>
          <w:bCs/>
          <w:i/>
          <w:iCs/>
          <w:color w:val="0070C0"/>
          <w:sz w:val="24"/>
          <w:szCs w:val="24"/>
        </w:rPr>
        <w:t>…</w:t>
      </w:r>
      <w:proofErr w:type="gramEnd"/>
    </w:p>
    <w:p w:rsidR="006C43C2" w:rsidRDefault="006C43C2" w:rsidP="006C43C2">
      <w:pPr>
        <w:rPr>
          <w:b/>
          <w:bCs/>
        </w:rPr>
      </w:pPr>
    </w:p>
    <w:p w:rsidR="006C43C2" w:rsidRPr="006C43C2" w:rsidRDefault="006C43C2" w:rsidP="006C43C2">
      <w:pPr>
        <w:rPr>
          <w:b/>
          <w:bCs/>
        </w:rPr>
      </w:pPr>
      <w:bookmarkStart w:id="1" w:name="_Hlk87615002"/>
      <w:r w:rsidRPr="006C43C2">
        <w:rPr>
          <w:b/>
          <w:bCs/>
        </w:rPr>
        <w:t>10 ¿Cuál de las siguientes herramientas resulta MENOS UTIL en la toma de decisiones sobre estrategias terapéuticas desde el enfoque de la medicina basada en la evidencia?</w:t>
      </w:r>
    </w:p>
    <w:p w:rsidR="006C43C2" w:rsidRPr="006C43C2" w:rsidRDefault="006C43C2" w:rsidP="006C43C2">
      <w:pPr>
        <w:numPr>
          <w:ilvl w:val="0"/>
          <w:numId w:val="12"/>
        </w:numPr>
      </w:pPr>
      <w:r w:rsidRPr="006C43C2">
        <w:t>La experiencia profesional individual, el arte y el saber del médico prescriptor</w:t>
      </w:r>
    </w:p>
    <w:p w:rsidR="006C43C2" w:rsidRPr="006C43C2" w:rsidRDefault="006C43C2" w:rsidP="006C43C2">
      <w:pPr>
        <w:numPr>
          <w:ilvl w:val="0"/>
          <w:numId w:val="12"/>
        </w:numPr>
      </w:pPr>
      <w:r w:rsidRPr="006C43C2">
        <w:t>Las guías de práctica clínica</w:t>
      </w:r>
    </w:p>
    <w:p w:rsidR="006C43C2" w:rsidRPr="006C43C2" w:rsidRDefault="006C43C2" w:rsidP="006C43C2">
      <w:pPr>
        <w:numPr>
          <w:ilvl w:val="0"/>
          <w:numId w:val="12"/>
        </w:numPr>
      </w:pPr>
      <w:r w:rsidRPr="006C43C2">
        <w:t xml:space="preserve">Las búsquedas sistemáticas de información: </w:t>
      </w:r>
      <w:proofErr w:type="spellStart"/>
      <w:r w:rsidRPr="006C43C2">
        <w:t>Pubmed</w:t>
      </w:r>
      <w:proofErr w:type="spellEnd"/>
      <w:r w:rsidRPr="006C43C2">
        <w:t>, Cochrane...</w:t>
      </w:r>
    </w:p>
    <w:p w:rsidR="006C43C2" w:rsidRDefault="006C43C2" w:rsidP="006C43C2">
      <w:pPr>
        <w:numPr>
          <w:ilvl w:val="0"/>
          <w:numId w:val="12"/>
        </w:numPr>
      </w:pPr>
      <w:r w:rsidRPr="006C43C2">
        <w:t>Los informes de evaluación de tecnologías sanitarias</w:t>
      </w:r>
    </w:p>
    <w:p w:rsidR="00FE155C" w:rsidRPr="00FE155C" w:rsidRDefault="00FE155C" w:rsidP="00FE155C">
      <w:pPr>
        <w:rPr>
          <w:b/>
          <w:color w:val="0070C0"/>
          <w:sz w:val="24"/>
          <w:szCs w:val="24"/>
        </w:rPr>
      </w:pPr>
      <w:r w:rsidRPr="00FE155C">
        <w:rPr>
          <w:b/>
          <w:color w:val="0070C0"/>
          <w:sz w:val="24"/>
          <w:szCs w:val="24"/>
        </w:rPr>
        <w:t>A, vista en clase</w:t>
      </w:r>
    </w:p>
    <w:bookmarkEnd w:id="1"/>
    <w:p w:rsidR="00223397" w:rsidRDefault="00223397"/>
    <w:sectPr w:rsidR="00223397" w:rsidSect="00010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7EBB4"/>
    <w:multiLevelType w:val="singleLevel"/>
    <w:tmpl w:val="039C5725"/>
    <w:lvl w:ilvl="0">
      <w:start w:val="1"/>
      <w:numFmt w:val="upperLetter"/>
      <w:lvlText w:val="%1:"/>
      <w:lvlJc w:val="left"/>
      <w:pPr>
        <w:tabs>
          <w:tab w:val="num" w:pos="1152"/>
        </w:tabs>
        <w:ind w:left="576"/>
      </w:pPr>
      <w:rPr>
        <w:snapToGrid/>
        <w:spacing w:val="3"/>
        <w:sz w:val="21"/>
        <w:szCs w:val="21"/>
      </w:rPr>
    </w:lvl>
  </w:abstractNum>
  <w:abstractNum w:abstractNumId="1">
    <w:nsid w:val="017F8E5C"/>
    <w:multiLevelType w:val="singleLevel"/>
    <w:tmpl w:val="0461CFED"/>
    <w:lvl w:ilvl="0">
      <w:start w:val="1"/>
      <w:numFmt w:val="upperLetter"/>
      <w:lvlText w:val="%1:"/>
      <w:lvlJc w:val="left"/>
      <w:pPr>
        <w:tabs>
          <w:tab w:val="num" w:pos="1008"/>
        </w:tabs>
        <w:ind w:left="504"/>
      </w:pPr>
      <w:rPr>
        <w:snapToGrid/>
        <w:spacing w:val="3"/>
        <w:sz w:val="21"/>
        <w:szCs w:val="21"/>
      </w:rPr>
    </w:lvl>
  </w:abstractNum>
  <w:abstractNum w:abstractNumId="2">
    <w:nsid w:val="039F5CE7"/>
    <w:multiLevelType w:val="singleLevel"/>
    <w:tmpl w:val="627D9550"/>
    <w:lvl w:ilvl="0">
      <w:start w:val="1"/>
      <w:numFmt w:val="upperLetter"/>
      <w:lvlText w:val="%1:"/>
      <w:lvlJc w:val="left"/>
      <w:pPr>
        <w:tabs>
          <w:tab w:val="num" w:pos="1080"/>
        </w:tabs>
        <w:ind w:left="576"/>
      </w:pPr>
      <w:rPr>
        <w:snapToGrid/>
        <w:spacing w:val="3"/>
        <w:sz w:val="21"/>
        <w:szCs w:val="21"/>
      </w:rPr>
    </w:lvl>
  </w:abstractNum>
  <w:abstractNum w:abstractNumId="3">
    <w:nsid w:val="040B2631"/>
    <w:multiLevelType w:val="singleLevel"/>
    <w:tmpl w:val="5C15B129"/>
    <w:lvl w:ilvl="0">
      <w:start w:val="1"/>
      <w:numFmt w:val="upperLetter"/>
      <w:lvlText w:val="%1:"/>
      <w:lvlJc w:val="left"/>
      <w:pPr>
        <w:tabs>
          <w:tab w:val="num" w:pos="1008"/>
        </w:tabs>
        <w:ind w:left="1008" w:hanging="504"/>
      </w:pPr>
      <w:rPr>
        <w:snapToGrid/>
        <w:spacing w:val="-2"/>
        <w:sz w:val="21"/>
        <w:szCs w:val="21"/>
      </w:rPr>
    </w:lvl>
  </w:abstractNum>
  <w:abstractNum w:abstractNumId="4">
    <w:nsid w:val="0447A057"/>
    <w:multiLevelType w:val="singleLevel"/>
    <w:tmpl w:val="32F87297"/>
    <w:lvl w:ilvl="0">
      <w:start w:val="1"/>
      <w:numFmt w:val="upperLetter"/>
      <w:lvlText w:val="%1:"/>
      <w:lvlJc w:val="left"/>
      <w:pPr>
        <w:tabs>
          <w:tab w:val="num" w:pos="1080"/>
        </w:tabs>
        <w:ind w:left="1008" w:hanging="504"/>
      </w:pPr>
      <w:rPr>
        <w:snapToGrid/>
        <w:spacing w:val="2"/>
        <w:sz w:val="21"/>
        <w:szCs w:val="21"/>
      </w:rPr>
    </w:lvl>
  </w:abstractNum>
  <w:abstractNum w:abstractNumId="5">
    <w:nsid w:val="05046CBE"/>
    <w:multiLevelType w:val="singleLevel"/>
    <w:tmpl w:val="1D8CF413"/>
    <w:lvl w:ilvl="0">
      <w:start w:val="1"/>
      <w:numFmt w:val="upperLetter"/>
      <w:lvlText w:val="%1:"/>
      <w:lvlJc w:val="left"/>
      <w:pPr>
        <w:tabs>
          <w:tab w:val="num" w:pos="1080"/>
        </w:tabs>
        <w:ind w:left="1080" w:hanging="504"/>
      </w:pPr>
      <w:rPr>
        <w:snapToGrid/>
        <w:spacing w:val="4"/>
        <w:sz w:val="21"/>
        <w:szCs w:val="21"/>
      </w:rPr>
    </w:lvl>
  </w:abstractNum>
  <w:abstractNum w:abstractNumId="6">
    <w:nsid w:val="055D25FB"/>
    <w:multiLevelType w:val="singleLevel"/>
    <w:tmpl w:val="3BAE5490"/>
    <w:lvl w:ilvl="0">
      <w:start w:val="1"/>
      <w:numFmt w:val="upperLetter"/>
      <w:lvlText w:val="%1:"/>
      <w:lvlJc w:val="left"/>
      <w:pPr>
        <w:tabs>
          <w:tab w:val="num" w:pos="1080"/>
        </w:tabs>
        <w:ind w:left="1008" w:hanging="504"/>
      </w:pPr>
      <w:rPr>
        <w:snapToGrid/>
        <w:sz w:val="21"/>
        <w:szCs w:val="21"/>
      </w:rPr>
    </w:lvl>
  </w:abstractNum>
  <w:abstractNum w:abstractNumId="7">
    <w:nsid w:val="05F48F90"/>
    <w:multiLevelType w:val="singleLevel"/>
    <w:tmpl w:val="0CC6FEA5"/>
    <w:lvl w:ilvl="0">
      <w:start w:val="3"/>
      <w:numFmt w:val="upperLetter"/>
      <w:lvlText w:val="%1:"/>
      <w:lvlJc w:val="left"/>
      <w:pPr>
        <w:tabs>
          <w:tab w:val="num" w:pos="1152"/>
        </w:tabs>
        <w:ind w:left="576"/>
      </w:pPr>
      <w:rPr>
        <w:snapToGrid/>
        <w:spacing w:val="2"/>
        <w:sz w:val="21"/>
        <w:szCs w:val="21"/>
      </w:rPr>
    </w:lvl>
  </w:abstractNum>
  <w:abstractNum w:abstractNumId="8">
    <w:nsid w:val="06DBBDB0"/>
    <w:multiLevelType w:val="singleLevel"/>
    <w:tmpl w:val="4CF46F5D"/>
    <w:lvl w:ilvl="0">
      <w:start w:val="1"/>
      <w:numFmt w:val="upperLetter"/>
      <w:lvlText w:val="%1:"/>
      <w:lvlJc w:val="left"/>
      <w:pPr>
        <w:tabs>
          <w:tab w:val="num" w:pos="1080"/>
        </w:tabs>
        <w:ind w:left="576"/>
      </w:pPr>
      <w:rPr>
        <w:snapToGrid/>
        <w:spacing w:val="2"/>
        <w:sz w:val="21"/>
        <w:szCs w:val="21"/>
      </w:rPr>
    </w:lvl>
  </w:abstractNum>
  <w:abstractNum w:abstractNumId="9">
    <w:nsid w:val="07B44CE7"/>
    <w:multiLevelType w:val="singleLevel"/>
    <w:tmpl w:val="15723936"/>
    <w:lvl w:ilvl="0">
      <w:start w:val="1"/>
      <w:numFmt w:val="upperLetter"/>
      <w:lvlText w:val="%1:"/>
      <w:lvlJc w:val="left"/>
      <w:pPr>
        <w:tabs>
          <w:tab w:val="num" w:pos="1008"/>
        </w:tabs>
        <w:ind w:left="936" w:hanging="432"/>
      </w:pPr>
      <w:rPr>
        <w:snapToGrid/>
        <w:spacing w:val="4"/>
        <w:sz w:val="21"/>
        <w:szCs w:val="21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3"/>
    <w:lvlOverride w:ilvl="0">
      <w:lvl w:ilvl="0">
        <w:numFmt w:val="upperLetter"/>
        <w:lvlText w:val="%1:"/>
        <w:lvlJc w:val="left"/>
        <w:pPr>
          <w:tabs>
            <w:tab w:val="num" w:pos="1008"/>
          </w:tabs>
          <w:ind w:left="504"/>
        </w:pPr>
        <w:rPr>
          <w:snapToGrid/>
          <w:spacing w:val="-4"/>
          <w:sz w:val="21"/>
          <w:szCs w:val="21"/>
        </w:rPr>
      </w:lvl>
    </w:lvlOverride>
  </w:num>
  <w:num w:numId="5">
    <w:abstractNumId w:val="9"/>
  </w:num>
  <w:num w:numId="6">
    <w:abstractNumId w:val="1"/>
  </w:num>
  <w:num w:numId="7">
    <w:abstractNumId w:val="7"/>
  </w:num>
  <w:num w:numId="8">
    <w:abstractNumId w:val="0"/>
  </w:num>
  <w:num w:numId="9">
    <w:abstractNumId w:val="5"/>
  </w:num>
  <w:num w:numId="10">
    <w:abstractNumId w:val="2"/>
  </w:num>
  <w:num w:numId="11">
    <w:abstractNumId w:val="2"/>
    <w:lvlOverride w:ilvl="0">
      <w:lvl w:ilvl="0">
        <w:numFmt w:val="upperLetter"/>
        <w:lvlText w:val="%1:"/>
        <w:lvlJc w:val="left"/>
        <w:pPr>
          <w:tabs>
            <w:tab w:val="num" w:pos="1080"/>
          </w:tabs>
          <w:ind w:left="576"/>
        </w:pPr>
        <w:rPr>
          <w:rFonts w:ascii="Verdana" w:hAnsi="Verdana" w:cs="Verdana"/>
          <w:snapToGrid/>
          <w:spacing w:val="-5"/>
          <w:sz w:val="19"/>
          <w:szCs w:val="19"/>
        </w:rPr>
      </w:lvl>
    </w:lvlOverride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C43C2"/>
    <w:rsid w:val="0001019C"/>
    <w:rsid w:val="00011F8B"/>
    <w:rsid w:val="00110444"/>
    <w:rsid w:val="00223397"/>
    <w:rsid w:val="004B73DE"/>
    <w:rsid w:val="004C4695"/>
    <w:rsid w:val="00690A10"/>
    <w:rsid w:val="006C43C2"/>
    <w:rsid w:val="00C46451"/>
    <w:rsid w:val="00D731AD"/>
    <w:rsid w:val="00DE2E77"/>
    <w:rsid w:val="00E25346"/>
    <w:rsid w:val="00EB001D"/>
    <w:rsid w:val="00FB15BC"/>
    <w:rsid w:val="00FE1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19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1078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Lorenzo Arracó</dc:creator>
  <cp:lastModifiedBy>Lorenzo Arracó</cp:lastModifiedBy>
  <cp:revision>4</cp:revision>
  <dcterms:created xsi:type="dcterms:W3CDTF">2021-11-12T13:52:00Z</dcterms:created>
  <dcterms:modified xsi:type="dcterms:W3CDTF">2021-11-12T13:57:00Z</dcterms:modified>
</cp:coreProperties>
</file>