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76" w:rsidRDefault="008A7776" w:rsidP="004051A2">
      <w:pPr>
        <w:kinsoku w:val="0"/>
        <w:overflowPunct w:val="0"/>
        <w:autoSpaceDE/>
        <w:autoSpaceDN/>
        <w:adjustRightInd/>
        <w:jc w:val="center"/>
        <w:textAlignment w:val="baseline"/>
        <w:rPr>
          <w:rFonts w:asciiTheme="minorHAnsi" w:hAnsiTheme="minorHAnsi" w:cstheme="minorHAnsi"/>
          <w:b/>
          <w:bCs/>
          <w:spacing w:val="19"/>
          <w:w w:val="85"/>
          <w:sz w:val="24"/>
          <w:szCs w:val="24"/>
        </w:rPr>
      </w:pPr>
      <w:r w:rsidRPr="00E030E7">
        <w:rPr>
          <w:rFonts w:asciiTheme="minorHAnsi" w:hAnsiTheme="minorHAnsi" w:cstheme="minorHAnsi"/>
          <w:b/>
          <w:bCs/>
          <w:spacing w:val="19"/>
          <w:w w:val="85"/>
          <w:sz w:val="24"/>
          <w:szCs w:val="24"/>
        </w:rPr>
        <w:t>FACULTATIVO ESPECIALISTA DE ÁRÉA DE NEUROLOGÍA</w:t>
      </w:r>
    </w:p>
    <w:p w:rsidR="00E030E7" w:rsidRPr="00E030E7" w:rsidRDefault="00E030E7" w:rsidP="004051A2">
      <w:pPr>
        <w:kinsoku w:val="0"/>
        <w:overflowPunct w:val="0"/>
        <w:autoSpaceDE/>
        <w:autoSpaceDN/>
        <w:adjustRightInd/>
        <w:jc w:val="center"/>
        <w:textAlignment w:val="baseline"/>
        <w:rPr>
          <w:rFonts w:asciiTheme="minorHAnsi" w:hAnsiTheme="minorHAnsi" w:cstheme="minorHAnsi"/>
          <w:b/>
          <w:bCs/>
          <w:spacing w:val="19"/>
          <w:w w:val="85"/>
          <w:sz w:val="24"/>
          <w:szCs w:val="24"/>
        </w:rPr>
      </w:pPr>
    </w:p>
    <w:p w:rsidR="008A7776" w:rsidRPr="004051A2" w:rsidRDefault="008A7776" w:rsidP="004051A2">
      <w:pPr>
        <w:kinsoku w:val="0"/>
        <w:overflowPunct w:val="0"/>
        <w:autoSpaceDE/>
        <w:autoSpaceDN/>
        <w:adjustRightInd/>
        <w:ind w:left="720" w:right="504" w:hanging="36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4051A2">
        <w:rPr>
          <w:rFonts w:asciiTheme="minorHAnsi" w:hAnsiTheme="minorHAnsi" w:cstheme="minorHAnsi"/>
          <w:b/>
          <w:bCs/>
          <w:sz w:val="22"/>
          <w:szCs w:val="22"/>
        </w:rPr>
        <w:t>1 El órgano permanente de coordinación, cooperación, comunicación e información de los servicios de salud, entre ellos y con la Administración del Estado es:</w:t>
      </w:r>
    </w:p>
    <w:p w:rsidR="008A7776" w:rsidRPr="006A282E" w:rsidRDefault="008A7776" w:rsidP="004051A2">
      <w:pPr>
        <w:numPr>
          <w:ilvl w:val="0"/>
          <w:numId w:val="1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  <w:r w:rsidRPr="006A282E">
        <w:rPr>
          <w:rFonts w:asciiTheme="minorHAnsi" w:hAnsiTheme="minorHAnsi" w:cstheme="minorHAnsi"/>
          <w:spacing w:val="-1"/>
          <w:sz w:val="22"/>
          <w:szCs w:val="22"/>
        </w:rPr>
        <w:t>La Comisión de Sanidad del Senado.</w:t>
      </w:r>
    </w:p>
    <w:p w:rsidR="008A7776" w:rsidRPr="006A282E" w:rsidRDefault="008A7776" w:rsidP="004051A2">
      <w:pPr>
        <w:numPr>
          <w:ilvl w:val="0"/>
          <w:numId w:val="1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2"/>
          <w:sz w:val="22"/>
          <w:szCs w:val="22"/>
        </w:rPr>
      </w:pPr>
      <w:r w:rsidRPr="006A282E">
        <w:rPr>
          <w:rFonts w:asciiTheme="minorHAnsi" w:hAnsiTheme="minorHAnsi" w:cstheme="minorHAnsi"/>
          <w:spacing w:val="-2"/>
          <w:sz w:val="22"/>
          <w:szCs w:val="22"/>
        </w:rPr>
        <w:t>El Comité Consultivo. .</w:t>
      </w:r>
    </w:p>
    <w:p w:rsidR="008A7776" w:rsidRPr="006A282E" w:rsidRDefault="008A7776" w:rsidP="004051A2">
      <w:pPr>
        <w:numPr>
          <w:ilvl w:val="0"/>
          <w:numId w:val="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  <w:r w:rsidRPr="006A282E">
        <w:rPr>
          <w:rFonts w:asciiTheme="minorHAnsi" w:hAnsiTheme="minorHAnsi" w:cstheme="minorHAnsi"/>
          <w:spacing w:val="-1"/>
          <w:sz w:val="22"/>
          <w:szCs w:val="22"/>
        </w:rPr>
        <w:t>El Consejo Interterritorial del Sistema Nacional de Salud.</w:t>
      </w:r>
    </w:p>
    <w:p w:rsidR="008A7776" w:rsidRDefault="008A7776" w:rsidP="004051A2">
      <w:pPr>
        <w:numPr>
          <w:ilvl w:val="0"/>
          <w:numId w:val="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6"/>
          <w:sz w:val="22"/>
          <w:szCs w:val="22"/>
        </w:rPr>
      </w:pPr>
      <w:r w:rsidRPr="006A282E">
        <w:rPr>
          <w:rFonts w:asciiTheme="minorHAnsi" w:hAnsiTheme="minorHAnsi" w:cstheme="minorHAnsi"/>
          <w:spacing w:val="-6"/>
          <w:sz w:val="22"/>
          <w:szCs w:val="22"/>
        </w:rPr>
        <w:t>El Foro Abierto de Salud.</w:t>
      </w:r>
    </w:p>
    <w:p w:rsidR="004051A2" w:rsidRPr="004051A2" w:rsidRDefault="004051A2" w:rsidP="000B29D7">
      <w:pPr>
        <w:kinsoku w:val="0"/>
        <w:overflowPunct w:val="0"/>
        <w:autoSpaceDE/>
        <w:autoSpaceDN/>
        <w:adjustRightInd/>
        <w:ind w:left="426" w:right="621"/>
        <w:textAlignment w:val="baseline"/>
        <w:rPr>
          <w:rFonts w:asciiTheme="minorHAnsi" w:hAnsiTheme="minorHAnsi" w:cstheme="minorHAnsi"/>
          <w:b/>
          <w:bCs/>
          <w:color w:val="0070C0"/>
          <w:spacing w:val="-6"/>
          <w:sz w:val="24"/>
          <w:szCs w:val="24"/>
        </w:rPr>
      </w:pPr>
      <w:r w:rsidRPr="004051A2">
        <w:rPr>
          <w:rFonts w:asciiTheme="minorHAnsi" w:hAnsiTheme="minorHAnsi" w:cstheme="minorHAnsi"/>
          <w:b/>
          <w:bCs/>
          <w:color w:val="0070C0"/>
          <w:spacing w:val="-6"/>
          <w:sz w:val="24"/>
          <w:szCs w:val="24"/>
        </w:rPr>
        <w:t xml:space="preserve">C,  Ley de Cohesión y Calidad, Artículo 69: </w:t>
      </w:r>
      <w:r w:rsidRPr="004051A2">
        <w:rPr>
          <w:rFonts w:asciiTheme="minorHAnsi" w:hAnsiTheme="minorHAnsi" w:cstheme="minorHAnsi"/>
          <w:b/>
          <w:bCs/>
          <w:i/>
          <w:iCs/>
          <w:color w:val="0070C0"/>
          <w:spacing w:val="-6"/>
          <w:sz w:val="24"/>
          <w:szCs w:val="24"/>
        </w:rPr>
        <w:t>Objeto. 1. El Consejo Interterritorial del Sistema Nacional de Salud es el órgano permanente de coordinación, cooperación, comunicación e información de los servicios de salud entre ellos y con la Administración del Estado,…</w:t>
      </w:r>
      <w:r>
        <w:rPr>
          <w:rFonts w:asciiTheme="minorHAnsi" w:hAnsiTheme="minorHAnsi" w:cstheme="minorHAnsi"/>
          <w:b/>
          <w:bCs/>
          <w:color w:val="0070C0"/>
          <w:spacing w:val="-6"/>
          <w:sz w:val="24"/>
          <w:szCs w:val="24"/>
        </w:rPr>
        <w:t xml:space="preserve"> Muy comentado en la clases lo que era (y lo que debería ser) el C.I. del S.N.S.</w:t>
      </w:r>
    </w:p>
    <w:p w:rsidR="005575F9" w:rsidRDefault="005575F9" w:rsidP="004051A2">
      <w:pPr>
        <w:kinsoku w:val="0"/>
        <w:overflowPunct w:val="0"/>
        <w:autoSpaceDE/>
        <w:autoSpaceDN/>
        <w:adjustRightInd/>
        <w:ind w:left="709" w:right="288" w:hanging="283"/>
        <w:textAlignment w:val="baseline"/>
        <w:rPr>
          <w:rFonts w:asciiTheme="minorHAnsi" w:hAnsiTheme="minorHAnsi" w:cstheme="minorHAnsi"/>
          <w:b/>
          <w:bCs/>
          <w:spacing w:val="-8"/>
          <w:sz w:val="22"/>
          <w:szCs w:val="22"/>
        </w:rPr>
      </w:pPr>
    </w:p>
    <w:p w:rsidR="008A7776" w:rsidRPr="004051A2" w:rsidRDefault="008A7776" w:rsidP="004051A2">
      <w:pPr>
        <w:kinsoku w:val="0"/>
        <w:overflowPunct w:val="0"/>
        <w:autoSpaceDE/>
        <w:autoSpaceDN/>
        <w:adjustRightInd/>
        <w:ind w:left="709" w:right="288" w:hanging="283"/>
        <w:textAlignment w:val="baseline"/>
        <w:rPr>
          <w:rFonts w:asciiTheme="minorHAnsi" w:hAnsiTheme="minorHAnsi" w:cstheme="minorHAnsi"/>
          <w:b/>
          <w:bCs/>
          <w:spacing w:val="-8"/>
          <w:sz w:val="22"/>
          <w:szCs w:val="22"/>
        </w:rPr>
      </w:pPr>
      <w:r w:rsidRPr="004051A2">
        <w:rPr>
          <w:rFonts w:asciiTheme="minorHAnsi" w:hAnsiTheme="minorHAnsi" w:cstheme="minorHAnsi"/>
          <w:b/>
          <w:bCs/>
          <w:spacing w:val="-8"/>
          <w:sz w:val="22"/>
          <w:szCs w:val="22"/>
        </w:rPr>
        <w:t>2 El Artículo 122 de la ley 39/2015 del Procedimiento Administrativo Común de las Administraciones Públicas establece que el plazo para la interposición del recurso de alzada, si el acto fuera expreso será:</w:t>
      </w:r>
    </w:p>
    <w:p w:rsidR="008A7776" w:rsidRPr="006A282E" w:rsidRDefault="008A7776" w:rsidP="004051A2">
      <w:pPr>
        <w:numPr>
          <w:ilvl w:val="0"/>
          <w:numId w:val="3"/>
        </w:numPr>
        <w:kinsoku w:val="0"/>
        <w:overflowPunct w:val="0"/>
        <w:autoSpaceDE/>
        <w:autoSpaceDN/>
        <w:adjustRightInd/>
        <w:ind w:left="1225" w:hanging="505"/>
        <w:textAlignment w:val="baseline"/>
        <w:rPr>
          <w:rFonts w:asciiTheme="minorHAnsi" w:hAnsiTheme="minorHAnsi" w:cstheme="minorHAnsi"/>
          <w:spacing w:val="-14"/>
          <w:sz w:val="22"/>
          <w:szCs w:val="22"/>
        </w:rPr>
      </w:pPr>
      <w:r w:rsidRPr="006A282E">
        <w:rPr>
          <w:rFonts w:asciiTheme="minorHAnsi" w:hAnsiTheme="minorHAnsi" w:cstheme="minorHAnsi"/>
          <w:spacing w:val="-14"/>
          <w:sz w:val="22"/>
          <w:szCs w:val="22"/>
        </w:rPr>
        <w:t>Un mes.</w:t>
      </w:r>
    </w:p>
    <w:p w:rsidR="008A7776" w:rsidRPr="006A282E" w:rsidRDefault="008A7776" w:rsidP="004051A2">
      <w:pPr>
        <w:numPr>
          <w:ilvl w:val="0"/>
          <w:numId w:val="3"/>
        </w:numPr>
        <w:kinsoku w:val="0"/>
        <w:overflowPunct w:val="0"/>
        <w:autoSpaceDE/>
        <w:autoSpaceDN/>
        <w:adjustRightInd/>
        <w:ind w:left="1225" w:hanging="505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Dos meses.</w:t>
      </w:r>
    </w:p>
    <w:p w:rsidR="008A7776" w:rsidRPr="006A282E" w:rsidRDefault="008A7776" w:rsidP="004051A2">
      <w:pPr>
        <w:numPr>
          <w:ilvl w:val="0"/>
          <w:numId w:val="3"/>
        </w:numPr>
        <w:kinsoku w:val="0"/>
        <w:overflowPunct w:val="0"/>
        <w:autoSpaceDE/>
        <w:autoSpaceDN/>
        <w:adjustRightInd/>
        <w:ind w:left="1225" w:hanging="505"/>
        <w:textAlignment w:val="baseline"/>
        <w:rPr>
          <w:rFonts w:asciiTheme="minorHAnsi" w:hAnsiTheme="minorHAnsi" w:cstheme="minorHAnsi"/>
          <w:spacing w:val="-5"/>
          <w:sz w:val="22"/>
          <w:szCs w:val="22"/>
        </w:rPr>
      </w:pPr>
      <w:r w:rsidRPr="006A282E">
        <w:rPr>
          <w:rFonts w:asciiTheme="minorHAnsi" w:hAnsiTheme="minorHAnsi" w:cstheme="minorHAnsi"/>
          <w:spacing w:val="-5"/>
          <w:sz w:val="22"/>
          <w:szCs w:val="22"/>
        </w:rPr>
        <w:t>Tres fineses.</w:t>
      </w:r>
    </w:p>
    <w:p w:rsidR="008A7776" w:rsidRDefault="008A7776" w:rsidP="004051A2">
      <w:pPr>
        <w:numPr>
          <w:ilvl w:val="0"/>
          <w:numId w:val="3"/>
        </w:numPr>
        <w:kinsoku w:val="0"/>
        <w:overflowPunct w:val="0"/>
        <w:autoSpaceDE/>
        <w:autoSpaceDN/>
        <w:adjustRightInd/>
        <w:ind w:left="1225" w:hanging="505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Cuatro meses.</w:t>
      </w:r>
    </w:p>
    <w:p w:rsidR="004051A2" w:rsidRPr="005575F9" w:rsidRDefault="005575F9" w:rsidP="004051A2">
      <w:pPr>
        <w:kinsoku w:val="0"/>
        <w:overflowPunct w:val="0"/>
        <w:autoSpaceDE/>
        <w:autoSpaceDN/>
        <w:adjustRightInd/>
        <w:ind w:left="426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5575F9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A, </w:t>
      </w:r>
      <w:r w:rsid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>un mes.</w:t>
      </w:r>
    </w:p>
    <w:p w:rsidR="004051A2" w:rsidRDefault="004051A2" w:rsidP="004051A2">
      <w:pPr>
        <w:kinsoku w:val="0"/>
        <w:overflowPunct w:val="0"/>
        <w:autoSpaceDE/>
        <w:autoSpaceDN/>
        <w:adjustRightInd/>
        <w:ind w:left="360"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</w:p>
    <w:p w:rsidR="008A7776" w:rsidRPr="005575F9" w:rsidRDefault="008A7776" w:rsidP="004051A2">
      <w:pPr>
        <w:kinsoku w:val="0"/>
        <w:overflowPunct w:val="0"/>
        <w:autoSpaceDE/>
        <w:autoSpaceDN/>
        <w:adjustRightInd/>
        <w:ind w:left="360"/>
        <w:textAlignment w:val="baseline"/>
        <w:rPr>
          <w:rFonts w:asciiTheme="minorHAnsi" w:hAnsiTheme="minorHAnsi" w:cstheme="minorHAnsi"/>
          <w:b/>
          <w:bCs/>
          <w:spacing w:val="-1"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pacing w:val="-1"/>
          <w:sz w:val="22"/>
          <w:szCs w:val="22"/>
        </w:rPr>
        <w:t>3 Es cierto respecto a los GRDs:</w:t>
      </w:r>
    </w:p>
    <w:p w:rsidR="008A7776" w:rsidRPr="006A282E" w:rsidRDefault="008A7776" w:rsidP="004051A2">
      <w:pPr>
        <w:numPr>
          <w:ilvl w:val="0"/>
          <w:numId w:val="4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3"/>
          <w:sz w:val="22"/>
          <w:szCs w:val="22"/>
        </w:rPr>
      </w:pPr>
      <w:r w:rsidRPr="006A282E">
        <w:rPr>
          <w:rFonts w:asciiTheme="minorHAnsi" w:hAnsiTheme="minorHAnsi" w:cstheme="minorHAnsi"/>
          <w:spacing w:val="-3"/>
          <w:sz w:val="22"/>
          <w:szCs w:val="22"/>
        </w:rPr>
        <w:t>Es un agrupador de morbilidad utilizados para estratificar a la población.</w:t>
      </w:r>
    </w:p>
    <w:p w:rsidR="008A7776" w:rsidRPr="006A282E" w:rsidRDefault="008A7776" w:rsidP="004051A2">
      <w:pPr>
        <w:numPr>
          <w:ilvl w:val="0"/>
          <w:numId w:val="4"/>
        </w:numPr>
        <w:kinsoku w:val="0"/>
        <w:overflowPunct w:val="0"/>
        <w:autoSpaceDE/>
        <w:autoSpaceDN/>
        <w:adjustRightInd/>
        <w:ind w:right="576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El sistema GRDs clasifica los distintos episodios de hospitalización en grupos de isoconsurno de recursos con similares episodios clínicos.</w:t>
      </w:r>
    </w:p>
    <w:p w:rsidR="008A7776" w:rsidRPr="006A282E" w:rsidRDefault="008A7776" w:rsidP="004051A2">
      <w:pPr>
        <w:numPr>
          <w:ilvl w:val="0"/>
          <w:numId w:val="4"/>
        </w:numPr>
        <w:kinsoku w:val="0"/>
        <w:overflowPunct w:val="0"/>
        <w:autoSpaceDE/>
        <w:autoSpaceDN/>
        <w:adjustRightInd/>
        <w:ind w:right="576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Es un "sistema de clasificación de pacientes" centrado en la persona, que captura la naturaleza. , multidimensional de la salud individual.</w:t>
      </w:r>
    </w:p>
    <w:p w:rsidR="008A7776" w:rsidRDefault="008A7776" w:rsidP="004051A2">
      <w:pPr>
        <w:numPr>
          <w:ilvl w:val="0"/>
          <w:numId w:val="4"/>
        </w:numPr>
        <w:kinsoku w:val="0"/>
        <w:overflowPunct w:val="0"/>
        <w:autoSpaceDE/>
        <w:autoSpaceDN/>
        <w:adjustRightInd/>
        <w:ind w:right="576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Es un sistema de clasificación hospitalaria para las consultas externas que permite relacionar los distintos tipos de pacientes tratados con su coste.</w:t>
      </w:r>
    </w:p>
    <w:p w:rsidR="005575F9" w:rsidRPr="005575F9" w:rsidRDefault="005575F9" w:rsidP="005575F9">
      <w:pPr>
        <w:kinsoku w:val="0"/>
        <w:overflowPunct w:val="0"/>
        <w:autoSpaceDE/>
        <w:autoSpaceDN/>
        <w:adjustRightInd/>
        <w:ind w:left="426" w:right="576"/>
        <w:textAlignment w:val="baseline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506CD7">
        <w:rPr>
          <w:rFonts w:asciiTheme="minorHAnsi" w:hAnsiTheme="minorHAnsi" w:cstheme="minorHAnsi"/>
          <w:b/>
          <w:bCs/>
          <w:color w:val="0070C0"/>
          <w:sz w:val="24"/>
          <w:szCs w:val="24"/>
        </w:rPr>
        <w:t>B,</w:t>
      </w:r>
      <w:r w:rsidR="00506CD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  <w:r w:rsidR="00506CD7" w:rsidRPr="00506CD7">
        <w:rPr>
          <w:rFonts w:asciiTheme="minorHAnsi" w:hAnsiTheme="minorHAnsi" w:cstheme="minorHAnsi"/>
          <w:b/>
          <w:bCs/>
          <w:color w:val="0070C0"/>
          <w:sz w:val="24"/>
          <w:szCs w:val="24"/>
        </w:rPr>
        <w:t>tal y como aparece en los apuntes del tema 20</w:t>
      </w:r>
    </w:p>
    <w:p w:rsidR="005575F9" w:rsidRDefault="005575F9" w:rsidP="004051A2">
      <w:pPr>
        <w:kinsoku w:val="0"/>
        <w:overflowPunct w:val="0"/>
        <w:autoSpaceDE/>
        <w:autoSpaceDN/>
        <w:adjustRightInd/>
        <w:ind w:left="360"/>
        <w:textAlignment w:val="baseline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</w:p>
    <w:p w:rsidR="008A7776" w:rsidRPr="005575F9" w:rsidRDefault="008A7776" w:rsidP="004051A2">
      <w:pPr>
        <w:kinsoku w:val="0"/>
        <w:overflowPunct w:val="0"/>
        <w:autoSpaceDE/>
        <w:autoSpaceDN/>
        <w:adjustRightInd/>
        <w:ind w:left="360"/>
        <w:textAlignment w:val="baseline"/>
        <w:rPr>
          <w:rFonts w:asciiTheme="minorHAnsi" w:hAnsiTheme="minorHAnsi" w:cstheme="minorHAnsi"/>
          <w:b/>
          <w:bCs/>
          <w:spacing w:val="-2"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pacing w:val="-2"/>
          <w:sz w:val="22"/>
          <w:szCs w:val="22"/>
        </w:rPr>
        <w:t>4 ¿Para qué se utiliza la herramienta AGREE?</w:t>
      </w:r>
    </w:p>
    <w:p w:rsidR="008A7776" w:rsidRPr="006A282E" w:rsidRDefault="008A7776" w:rsidP="004051A2">
      <w:pPr>
        <w:numPr>
          <w:ilvl w:val="0"/>
          <w:numId w:val="5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9"/>
          <w:sz w:val="22"/>
          <w:szCs w:val="22"/>
        </w:rPr>
      </w:pPr>
      <w:r w:rsidRPr="006A282E">
        <w:rPr>
          <w:rFonts w:asciiTheme="minorHAnsi" w:hAnsiTheme="minorHAnsi" w:cstheme="minorHAnsi"/>
          <w:spacing w:val="-9"/>
          <w:sz w:val="22"/>
          <w:szCs w:val="22"/>
        </w:rPr>
        <w:t>Para evaluar la adecuación de recursos.</w:t>
      </w:r>
    </w:p>
    <w:p w:rsidR="008A7776" w:rsidRPr="006A282E" w:rsidRDefault="008A7776" w:rsidP="004051A2">
      <w:pPr>
        <w:numPr>
          <w:ilvl w:val="0"/>
          <w:numId w:val="5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8"/>
          <w:sz w:val="22"/>
          <w:szCs w:val="22"/>
        </w:rPr>
      </w:pPr>
      <w:r w:rsidRPr="006A282E">
        <w:rPr>
          <w:rFonts w:asciiTheme="minorHAnsi" w:hAnsiTheme="minorHAnsi" w:cstheme="minorHAnsi"/>
          <w:spacing w:val="-8"/>
          <w:sz w:val="22"/>
          <w:szCs w:val="22"/>
        </w:rPr>
        <w:t>Para evaluar guías de práctica clínica.</w:t>
      </w:r>
    </w:p>
    <w:p w:rsidR="008A7776" w:rsidRPr="006A282E" w:rsidRDefault="008A7776" w:rsidP="004051A2">
      <w:pPr>
        <w:numPr>
          <w:ilvl w:val="0"/>
          <w:numId w:val="5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7"/>
          <w:sz w:val="22"/>
          <w:szCs w:val="22"/>
        </w:rPr>
      </w:pPr>
      <w:r w:rsidRPr="006A282E">
        <w:rPr>
          <w:rFonts w:asciiTheme="minorHAnsi" w:hAnsiTheme="minorHAnsi" w:cstheme="minorHAnsi"/>
          <w:spacing w:val="-7"/>
          <w:sz w:val="22"/>
          <w:szCs w:val="22"/>
        </w:rPr>
        <w:t>Para la revisión sistemática de la evidencia.</w:t>
      </w:r>
    </w:p>
    <w:p w:rsidR="008A7776" w:rsidRDefault="008A7776" w:rsidP="004051A2">
      <w:pPr>
        <w:numPr>
          <w:ilvl w:val="0"/>
          <w:numId w:val="6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  <w:r w:rsidRPr="006A282E">
        <w:rPr>
          <w:rFonts w:asciiTheme="minorHAnsi" w:hAnsiTheme="minorHAnsi" w:cstheme="minorHAnsi"/>
          <w:spacing w:val="-1"/>
          <w:sz w:val="22"/>
          <w:szCs w:val="22"/>
        </w:rPr>
        <w:t>Para determinar prioridades.</w:t>
      </w:r>
    </w:p>
    <w:p w:rsidR="005575F9" w:rsidRPr="005575F9" w:rsidRDefault="005575F9" w:rsidP="005575F9">
      <w:pPr>
        <w:kinsoku w:val="0"/>
        <w:overflowPunct w:val="0"/>
        <w:autoSpaceDE/>
        <w:autoSpaceDN/>
        <w:adjustRightInd/>
        <w:ind w:left="426"/>
        <w:textAlignment w:val="baseline"/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</w:pPr>
      <w:r w:rsidRPr="005575F9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>B</w:t>
      </w:r>
      <w:r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>,</w:t>
      </w:r>
      <w:r w:rsidR="00766785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se ha </w:t>
      </w:r>
      <w:r w:rsidR="00766785" w:rsidRPr="00766785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>explicado ampliamente la herramienta en la documentación facilitada y también en la exposición</w:t>
      </w:r>
      <w:r w:rsidR="00931A40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 xml:space="preserve"> de clase</w:t>
      </w:r>
      <w:r w:rsidR="00766785" w:rsidRPr="00766785">
        <w:rPr>
          <w:rFonts w:asciiTheme="minorHAnsi" w:hAnsiTheme="minorHAnsi" w:cstheme="minorHAnsi"/>
          <w:b/>
          <w:bCs/>
          <w:color w:val="0070C0"/>
          <w:spacing w:val="-1"/>
          <w:sz w:val="24"/>
          <w:szCs w:val="24"/>
        </w:rPr>
        <w:t>.</w:t>
      </w:r>
    </w:p>
    <w:p w:rsidR="005575F9" w:rsidRDefault="005575F9" w:rsidP="004051A2">
      <w:pPr>
        <w:kinsoku w:val="0"/>
        <w:overflowPunct w:val="0"/>
        <w:autoSpaceDE/>
        <w:autoSpaceDN/>
        <w:adjustRightInd/>
        <w:ind w:left="720" w:right="1008" w:hanging="294"/>
        <w:textAlignment w:val="baseline"/>
        <w:rPr>
          <w:rFonts w:asciiTheme="minorHAnsi" w:hAnsiTheme="minorHAnsi" w:cstheme="minorHAnsi"/>
          <w:b/>
          <w:bCs/>
          <w:spacing w:val="-8"/>
          <w:sz w:val="22"/>
          <w:szCs w:val="22"/>
        </w:rPr>
      </w:pPr>
    </w:p>
    <w:p w:rsidR="008A7776" w:rsidRPr="005575F9" w:rsidRDefault="008A7776" w:rsidP="004051A2">
      <w:pPr>
        <w:kinsoku w:val="0"/>
        <w:overflowPunct w:val="0"/>
        <w:autoSpaceDE/>
        <w:autoSpaceDN/>
        <w:adjustRightInd/>
        <w:ind w:left="720" w:right="1008" w:hanging="294"/>
        <w:textAlignment w:val="baseline"/>
        <w:rPr>
          <w:rFonts w:asciiTheme="minorHAnsi" w:hAnsiTheme="minorHAnsi" w:cstheme="minorHAnsi"/>
          <w:b/>
          <w:bCs/>
          <w:spacing w:val="-8"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pacing w:val="-8"/>
          <w:sz w:val="22"/>
          <w:szCs w:val="22"/>
        </w:rPr>
        <w:t>5 Según la Ley 41/2002, de 14 de noviembre, básica reguladora de la autonomía del paciente y de derechos y obligaciones en materia de información y documentación clínica, el consentimiento informado podrá ser revocado por el paciente:</w:t>
      </w:r>
    </w:p>
    <w:p w:rsidR="008A7776" w:rsidRPr="006A282E" w:rsidRDefault="008A7776" w:rsidP="004051A2">
      <w:pPr>
        <w:numPr>
          <w:ilvl w:val="0"/>
          <w:numId w:val="7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7"/>
          <w:sz w:val="22"/>
          <w:szCs w:val="22"/>
        </w:rPr>
      </w:pPr>
      <w:r w:rsidRPr="006A282E">
        <w:rPr>
          <w:rFonts w:asciiTheme="minorHAnsi" w:hAnsiTheme="minorHAnsi" w:cstheme="minorHAnsi"/>
          <w:spacing w:val="-7"/>
          <w:sz w:val="22"/>
          <w:szCs w:val="22"/>
        </w:rPr>
        <w:t>Libremente y por escrito en cualquier momento.</w:t>
      </w:r>
    </w:p>
    <w:p w:rsidR="008A7776" w:rsidRPr="006A282E" w:rsidRDefault="008A7776" w:rsidP="004051A2">
      <w:pPr>
        <w:numPr>
          <w:ilvl w:val="0"/>
          <w:numId w:val="7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4"/>
          <w:sz w:val="22"/>
          <w:szCs w:val="22"/>
        </w:rPr>
      </w:pPr>
      <w:r w:rsidRPr="006A282E">
        <w:rPr>
          <w:rFonts w:asciiTheme="minorHAnsi" w:hAnsiTheme="minorHAnsi" w:cstheme="minorHAnsi"/>
          <w:spacing w:val="-4"/>
          <w:sz w:val="22"/>
          <w:szCs w:val="22"/>
        </w:rPr>
        <w:t>De forma verbal o por escrito después de ser informado.</w:t>
      </w:r>
    </w:p>
    <w:p w:rsidR="008A7776" w:rsidRPr="006A282E" w:rsidRDefault="008A7776" w:rsidP="004051A2">
      <w:pPr>
        <w:numPr>
          <w:ilvl w:val="0"/>
          <w:numId w:val="8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  <w:r w:rsidRPr="006A282E">
        <w:rPr>
          <w:rFonts w:asciiTheme="minorHAnsi" w:hAnsiTheme="minorHAnsi" w:cstheme="minorHAnsi"/>
          <w:spacing w:val="-1"/>
          <w:sz w:val="22"/>
          <w:szCs w:val="22"/>
        </w:rPr>
        <w:t>Cuando no corra riesgo la salud del paciente.</w:t>
      </w:r>
    </w:p>
    <w:p w:rsidR="005575F9" w:rsidRPr="00766785" w:rsidRDefault="008A7776" w:rsidP="00766785">
      <w:pPr>
        <w:numPr>
          <w:ilvl w:val="0"/>
          <w:numId w:val="8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1"/>
          <w:sz w:val="22"/>
          <w:szCs w:val="22"/>
        </w:rPr>
      </w:pPr>
      <w:r w:rsidRPr="006A282E">
        <w:rPr>
          <w:rFonts w:asciiTheme="minorHAnsi" w:hAnsiTheme="minorHAnsi" w:cstheme="minorHAnsi"/>
          <w:spacing w:val="-1"/>
          <w:sz w:val="22"/>
          <w:szCs w:val="22"/>
        </w:rPr>
        <w:t>Cuando lo permita la Dirección del Hospital.</w:t>
      </w:r>
    </w:p>
    <w:p w:rsidR="005575F9" w:rsidRPr="005575F9" w:rsidRDefault="005575F9" w:rsidP="005575F9">
      <w:pPr>
        <w:widowControl/>
        <w:ind w:left="426"/>
        <w:rPr>
          <w:rFonts w:asciiTheme="minorHAnsi" w:hAnsiTheme="minorHAnsi" w:cstheme="minorHAnsi"/>
          <w:b/>
          <w:bCs/>
          <w:sz w:val="24"/>
          <w:szCs w:val="24"/>
        </w:rPr>
        <w:sectPr w:rsidR="005575F9" w:rsidRPr="005575F9">
          <w:pgSz w:w="11923" w:h="16824"/>
          <w:pgMar w:top="460" w:right="981" w:bottom="297" w:left="682" w:header="720" w:footer="720" w:gutter="0"/>
          <w:cols w:space="720"/>
          <w:noEndnote/>
        </w:sectPr>
      </w:pPr>
      <w:r w:rsidRPr="005575F9">
        <w:rPr>
          <w:rFonts w:asciiTheme="minorHAnsi" w:hAnsiTheme="minorHAnsi" w:cstheme="minorHAnsi"/>
          <w:b/>
          <w:bCs/>
          <w:color w:val="0070C0"/>
          <w:sz w:val="24"/>
          <w:szCs w:val="24"/>
        </w:rPr>
        <w:t>A</w:t>
      </w:r>
      <w:r w:rsidRP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, </w:t>
      </w:r>
      <w:r w:rsidR="00766785" w:rsidRP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art. 8.5 de la ley.</w:t>
      </w:r>
    </w:p>
    <w:p w:rsidR="008A7776" w:rsidRPr="005575F9" w:rsidRDefault="008A7776" w:rsidP="004051A2">
      <w:pPr>
        <w:kinsoku w:val="0"/>
        <w:overflowPunct w:val="0"/>
        <w:autoSpaceDE/>
        <w:autoSpaceDN/>
        <w:adjustRightInd/>
        <w:ind w:left="142" w:hanging="572"/>
        <w:textAlignment w:val="baseline"/>
        <w:rPr>
          <w:rFonts w:asciiTheme="minorHAnsi" w:hAnsiTheme="minorHAnsi" w:cstheme="minorHAnsi"/>
          <w:b/>
          <w:bCs/>
          <w:spacing w:val="7"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pacing w:val="7"/>
          <w:sz w:val="22"/>
          <w:szCs w:val="22"/>
        </w:rPr>
        <w:lastRenderedPageBreak/>
        <w:t>6 Según su artículo 1, el Estatuto Básico del Empleado Público tiene por objeto:</w:t>
      </w:r>
    </w:p>
    <w:p w:rsidR="008A7776" w:rsidRPr="006A282E" w:rsidRDefault="008A7776" w:rsidP="005575F9">
      <w:pPr>
        <w:numPr>
          <w:ilvl w:val="0"/>
          <w:numId w:val="9"/>
        </w:numPr>
        <w:tabs>
          <w:tab w:val="clear" w:pos="1224"/>
          <w:tab w:val="num" w:pos="646"/>
        </w:tabs>
        <w:kinsoku w:val="0"/>
        <w:overflowPunct w:val="0"/>
        <w:autoSpaceDE/>
        <w:autoSpaceDN/>
        <w:adjustRightInd/>
        <w:ind w:left="646" w:right="432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Establecer las bases reguladoras de la relación funcionaria! especial del personal estatutario de los servicios de salud que conforman el Sistema Nacional de Salud.</w:t>
      </w:r>
    </w:p>
    <w:p w:rsidR="008A7776" w:rsidRPr="006A282E" w:rsidRDefault="008A7776" w:rsidP="005575F9">
      <w:pPr>
        <w:numPr>
          <w:ilvl w:val="0"/>
          <w:numId w:val="9"/>
        </w:numPr>
        <w:tabs>
          <w:tab w:val="clear" w:pos="1224"/>
          <w:tab w:val="num" w:pos="646"/>
        </w:tabs>
        <w:kinsoku w:val="0"/>
        <w:overflowPunct w:val="0"/>
        <w:autoSpaceDE/>
        <w:autoSpaceDN/>
        <w:adjustRightInd/>
        <w:ind w:left="646" w:right="432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Establecer las bases del régimen estatutario de los funcionarios públicos incluidos en su ámbito de aplicación.</w:t>
      </w:r>
    </w:p>
    <w:p w:rsidR="008A7776" w:rsidRPr="006A282E" w:rsidRDefault="008A7776" w:rsidP="005575F9">
      <w:pPr>
        <w:numPr>
          <w:ilvl w:val="0"/>
          <w:numId w:val="9"/>
        </w:numPr>
        <w:tabs>
          <w:tab w:val="clear" w:pos="1224"/>
          <w:tab w:val="num" w:pos="646"/>
        </w:tabs>
        <w:kinsoku w:val="0"/>
        <w:overflowPunct w:val="0"/>
        <w:autoSpaceDE/>
        <w:autoSpaceDN/>
        <w:adjustRightInd/>
        <w:ind w:left="646" w:right="14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La regulación general de todas las acciones que permitan hacer efectivo el derecho a, la protección de la salud reconocido en el artículo 43 y concordantes de la C</w:t>
      </w:r>
      <w:r w:rsidR="005575F9">
        <w:rPr>
          <w:rFonts w:asciiTheme="minorHAnsi" w:hAnsiTheme="minorHAnsi" w:cstheme="minorHAnsi"/>
          <w:sz w:val="22"/>
          <w:szCs w:val="22"/>
        </w:rPr>
        <w:t>o</w:t>
      </w:r>
      <w:r w:rsidRPr="006A282E">
        <w:rPr>
          <w:rFonts w:asciiTheme="minorHAnsi" w:hAnsiTheme="minorHAnsi" w:cstheme="minorHAnsi"/>
          <w:sz w:val="22"/>
          <w:szCs w:val="22"/>
        </w:rPr>
        <w:t>nstitución.</w:t>
      </w:r>
    </w:p>
    <w:p w:rsidR="008A7776" w:rsidRDefault="008A7776" w:rsidP="005575F9">
      <w:pPr>
        <w:numPr>
          <w:ilvl w:val="0"/>
          <w:numId w:val="9"/>
        </w:numPr>
        <w:tabs>
          <w:tab w:val="clear" w:pos="1224"/>
          <w:tab w:val="num" w:pos="646"/>
        </w:tabs>
        <w:kinsoku w:val="0"/>
        <w:overflowPunct w:val="0"/>
        <w:autoSpaceDE/>
        <w:autoSpaceDN/>
        <w:adjustRightInd/>
        <w:ind w:left="646" w:right="288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La regulación de los aspectos básicos de las profesiones sanitarias tituladas en lo que se refiere a su ejercicio por, cuenta propia o ajena.</w:t>
      </w:r>
    </w:p>
    <w:p w:rsidR="005575F9" w:rsidRPr="005575F9" w:rsidRDefault="005575F9" w:rsidP="005575F9">
      <w:pPr>
        <w:kinsoku w:val="0"/>
        <w:overflowPunct w:val="0"/>
        <w:autoSpaceDE/>
        <w:autoSpaceDN/>
        <w:adjustRightInd/>
        <w:ind w:left="-284" w:right="288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5575F9">
        <w:rPr>
          <w:rFonts w:asciiTheme="minorHAnsi" w:hAnsiTheme="minorHAnsi" w:cstheme="minorHAnsi"/>
          <w:b/>
          <w:bCs/>
          <w:color w:val="0070C0"/>
          <w:sz w:val="24"/>
          <w:szCs w:val="24"/>
        </w:rPr>
        <w:t>B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766785" w:rsidRP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>el EBEP establece las bases del régimen estatutario de los funcionarios públicos dentro de su ámbito de aplicación. La A se corresponde con el Estatuto Marco y la D al de la Ley de Ordenación de las profesiones sanitarias.</w:t>
      </w:r>
    </w:p>
    <w:p w:rsidR="005575F9" w:rsidRDefault="005575F9" w:rsidP="004051A2">
      <w:pPr>
        <w:kinsoku w:val="0"/>
        <w:overflowPunct w:val="0"/>
        <w:autoSpaceDE/>
        <w:autoSpaceDN/>
        <w:adjustRightInd/>
        <w:ind w:right="1224" w:hanging="426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="008A7776" w:rsidRPr="005575F9" w:rsidRDefault="008A7776" w:rsidP="005575F9">
      <w:pPr>
        <w:kinsoku w:val="0"/>
        <w:overflowPunct w:val="0"/>
        <w:autoSpaceDE/>
        <w:autoSpaceDN/>
        <w:adjustRightInd/>
        <w:ind w:right="140" w:hanging="426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z w:val="22"/>
          <w:szCs w:val="22"/>
        </w:rPr>
        <w:t>7 En relación con las actividades de mejora continua de la calidad indique cuál de las siguientes herramientas NO es una técnica útil para la priorización de</w:t>
      </w:r>
      <w:r w:rsidR="005575F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575F9">
        <w:rPr>
          <w:rFonts w:asciiTheme="minorHAnsi" w:hAnsiTheme="minorHAnsi" w:cstheme="minorHAnsi"/>
          <w:b/>
          <w:bCs/>
          <w:sz w:val="22"/>
          <w:szCs w:val="22"/>
        </w:rPr>
        <w:t>problemas:</w:t>
      </w:r>
    </w:p>
    <w:p w:rsidR="006A282E" w:rsidRPr="006A282E" w:rsidRDefault="006A282E" w:rsidP="004051A2">
      <w:pPr>
        <w:tabs>
          <w:tab w:val="left" w:pos="2977"/>
        </w:tabs>
        <w:kinsoku w:val="0"/>
        <w:overflowPunct w:val="0"/>
        <w:autoSpaceDE/>
        <w:autoSpaceDN/>
        <w:adjustRightInd/>
        <w:ind w:left="1134" w:hanging="567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A: La técnica Delphi.</w:t>
      </w:r>
    </w:p>
    <w:p w:rsidR="006A282E" w:rsidRPr="006A282E" w:rsidRDefault="006A282E" w:rsidP="004051A2">
      <w:pPr>
        <w:tabs>
          <w:tab w:val="left" w:pos="2977"/>
        </w:tabs>
        <w:kinsoku w:val="0"/>
        <w:overflowPunct w:val="0"/>
        <w:autoSpaceDE/>
        <w:autoSpaceDN/>
        <w:adjustRightInd/>
        <w:ind w:left="1134" w:hanging="567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 xml:space="preserve">B: El diagrama de causa-efecto. </w:t>
      </w:r>
    </w:p>
    <w:p w:rsidR="006A282E" w:rsidRPr="006A282E" w:rsidRDefault="006A282E" w:rsidP="004051A2">
      <w:pPr>
        <w:tabs>
          <w:tab w:val="left" w:pos="2977"/>
        </w:tabs>
        <w:kinsoku w:val="0"/>
        <w:overflowPunct w:val="0"/>
        <w:autoSpaceDE/>
        <w:autoSpaceDN/>
        <w:adjustRightInd/>
        <w:ind w:left="1134" w:hanging="567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 xml:space="preserve">C: La técnica del Grupo Nominal. </w:t>
      </w:r>
    </w:p>
    <w:p w:rsidR="006A282E" w:rsidRDefault="006A282E" w:rsidP="004051A2">
      <w:pPr>
        <w:tabs>
          <w:tab w:val="num" w:pos="1134"/>
          <w:tab w:val="left" w:pos="7371"/>
        </w:tabs>
        <w:kinsoku w:val="0"/>
        <w:overflowPunct w:val="0"/>
        <w:autoSpaceDE/>
        <w:autoSpaceDN/>
        <w:adjustRightInd/>
        <w:ind w:left="1134" w:right="424" w:hanging="567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D: El diagrama de Pareto.</w:t>
      </w:r>
    </w:p>
    <w:p w:rsidR="005575F9" w:rsidRPr="005575F9" w:rsidRDefault="005575F9" w:rsidP="005575F9">
      <w:pPr>
        <w:tabs>
          <w:tab w:val="num" w:pos="-426"/>
          <w:tab w:val="left" w:pos="7371"/>
        </w:tabs>
        <w:kinsoku w:val="0"/>
        <w:overflowPunct w:val="0"/>
        <w:autoSpaceDE/>
        <w:autoSpaceDN/>
        <w:adjustRightInd/>
        <w:ind w:left="-142" w:right="424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5575F9">
        <w:rPr>
          <w:rFonts w:asciiTheme="minorHAnsi" w:hAnsiTheme="minorHAnsi" w:cstheme="minorHAnsi"/>
          <w:b/>
          <w:bCs/>
          <w:color w:val="0070C0"/>
          <w:sz w:val="24"/>
          <w:szCs w:val="24"/>
        </w:rPr>
        <w:t>B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8D1441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8D1441" w:rsidRPr="008D14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Tal como se indicó en clase y consta en la tabla de los apuntes el diagrama causa</w:t>
      </w:r>
      <w:r w:rsidR="008D14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-</w:t>
      </w:r>
      <w:r w:rsidR="008D1441" w:rsidRPr="008D1441">
        <w:rPr>
          <w:rFonts w:asciiTheme="minorHAnsi" w:hAnsiTheme="minorHAnsi" w:cstheme="minorHAnsi"/>
          <w:b/>
          <w:bCs/>
          <w:color w:val="0070C0"/>
          <w:sz w:val="24"/>
          <w:szCs w:val="24"/>
        </w:rPr>
        <w:t>efecto no sirve para priorizar. El diagrama de Pareto tiene como principal virtud la priorización y la técnica Delphi o el grupo nominal se podrían emplear para ello.</w:t>
      </w:r>
    </w:p>
    <w:p w:rsidR="006A282E" w:rsidRPr="006A282E" w:rsidRDefault="006A282E" w:rsidP="004051A2">
      <w:pPr>
        <w:kinsoku w:val="0"/>
        <w:overflowPunct w:val="0"/>
        <w:autoSpaceDE/>
        <w:autoSpaceDN/>
        <w:adjustRightInd/>
        <w:ind w:right="1224" w:hanging="426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8A7776" w:rsidRPr="005575F9" w:rsidRDefault="008A7776" w:rsidP="005575F9">
      <w:pPr>
        <w:kinsoku w:val="0"/>
        <w:overflowPunct w:val="0"/>
        <w:autoSpaceDE/>
        <w:autoSpaceDN/>
        <w:adjustRightInd/>
        <w:ind w:right="140" w:hanging="426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z w:val="22"/>
          <w:szCs w:val="22"/>
        </w:rPr>
        <w:t>8 Señale la respuesta correcta. El artículo 1 de la Ley 7/2018, de 28 de junio, de igualdad de</w:t>
      </w:r>
      <w:r w:rsidR="005575F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575F9">
        <w:rPr>
          <w:rFonts w:asciiTheme="minorHAnsi" w:hAnsiTheme="minorHAnsi" w:cstheme="minorHAnsi"/>
          <w:b/>
          <w:bCs/>
          <w:sz w:val="22"/>
          <w:szCs w:val="22"/>
        </w:rPr>
        <w:t>oportunidades entre mujeres y hombres en Aragón:</w:t>
      </w:r>
    </w:p>
    <w:p w:rsidR="008A7776" w:rsidRPr="006A282E" w:rsidRDefault="008A7776" w:rsidP="005575F9">
      <w:pPr>
        <w:numPr>
          <w:ilvl w:val="0"/>
          <w:numId w:val="11"/>
        </w:numPr>
        <w:tabs>
          <w:tab w:val="clear" w:pos="1224"/>
          <w:tab w:val="num" w:pos="864"/>
        </w:tabs>
        <w:kinsoku w:val="0"/>
        <w:overflowPunct w:val="0"/>
        <w:autoSpaceDE/>
        <w:autoSpaceDN/>
        <w:adjustRightInd/>
        <w:ind w:left="720" w:right="14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Establece los principios generales de actuación de los poderes públicos de Aragón para la efectividad del reconocimiento del derecho de todas las personas a su identidad de género.</w:t>
      </w:r>
    </w:p>
    <w:p w:rsidR="008A7776" w:rsidRPr="006A282E" w:rsidRDefault="008A7776" w:rsidP="005575F9">
      <w:pPr>
        <w:numPr>
          <w:ilvl w:val="0"/>
          <w:numId w:val="11"/>
        </w:numPr>
        <w:tabs>
          <w:tab w:val="clear" w:pos="1224"/>
          <w:tab w:val="num" w:pos="864"/>
        </w:tabs>
        <w:kinsoku w:val="0"/>
        <w:overflowPunct w:val="0"/>
        <w:autoSpaceDE/>
        <w:autoSpaceDN/>
        <w:adjustRightInd/>
        <w:ind w:left="720" w:right="576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Prevé medidas dirigidas a prevenir y combatir exclusivamente en el sector público aragonés toda forma de discriminación por razón de género.</w:t>
      </w:r>
    </w:p>
    <w:p w:rsidR="008A7776" w:rsidRPr="006A282E" w:rsidRDefault="008A7776" w:rsidP="005575F9">
      <w:pPr>
        <w:numPr>
          <w:ilvl w:val="0"/>
          <w:numId w:val="11"/>
        </w:numPr>
        <w:tabs>
          <w:tab w:val="clear" w:pos="1224"/>
          <w:tab w:val="num" w:pos="864"/>
        </w:tabs>
        <w:kinsoku w:val="0"/>
        <w:overflowPunct w:val="0"/>
        <w:autoSpaceDE/>
        <w:autoSpaceDN/>
        <w:adjustRightInd/>
        <w:ind w:left="720" w:right="1152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Incorpora medidas y recursos dirigidos a promover y garantizar la efectiva desigualdad de oportunidades y de trato en todos los ámbitos de la vida en Aragón.</w:t>
      </w:r>
    </w:p>
    <w:p w:rsidR="008A7776" w:rsidRDefault="008A7776" w:rsidP="005575F9">
      <w:pPr>
        <w:numPr>
          <w:ilvl w:val="0"/>
          <w:numId w:val="11"/>
        </w:numPr>
        <w:tabs>
          <w:tab w:val="clear" w:pos="1224"/>
          <w:tab w:val="num" w:pos="864"/>
        </w:tabs>
        <w:kinsoku w:val="0"/>
        <w:overflowPunct w:val="0"/>
        <w:autoSpaceDE/>
        <w:autoSpaceDN/>
        <w:adjustRightInd/>
        <w:ind w:left="720" w:right="792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Desarrolla medidas para transversalizar el enfoque de género y modificar los roles masculinos estereotipados que sustentan la desigualdad de género.</w:t>
      </w:r>
    </w:p>
    <w:p w:rsidR="00766785" w:rsidRDefault="000B29D7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bookmarkStart w:id="0" w:name="_Hlk95464611"/>
      <w:r w:rsidRPr="000B29D7">
        <w:rPr>
          <w:rFonts w:asciiTheme="minorHAnsi" w:hAnsiTheme="minorHAnsi" w:cstheme="minorHAnsi"/>
          <w:b/>
          <w:bCs/>
          <w:color w:val="0070C0"/>
          <w:sz w:val="24"/>
          <w:szCs w:val="24"/>
        </w:rPr>
        <w:t>D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766785" w:rsidRP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Es la única respuesta que se ajusta al tenor literal de la Ley. </w:t>
      </w:r>
    </w:p>
    <w:p w:rsidR="00766785" w:rsidRDefault="00766785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766785">
        <w:rPr>
          <w:rFonts w:asciiTheme="minorHAnsi" w:hAnsiTheme="minorHAnsi" w:cstheme="minorHAnsi"/>
          <w:b/>
          <w:bCs/>
          <w:color w:val="0070C0"/>
          <w:sz w:val="24"/>
          <w:szCs w:val="24"/>
        </w:rPr>
        <w:t>El objeto de la ley es:</w:t>
      </w:r>
    </w:p>
    <w:p w:rsidR="00766785" w:rsidRDefault="00766785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</w:rPr>
      </w:pPr>
      <w:r w:rsidRPr="00766785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</w:rPr>
        <w:t>1. Establece los principios generales de actuación de los poderes públicos de Aragón en materia de igualdad entre mujeres y hombres.</w:t>
      </w:r>
    </w:p>
    <w:p w:rsidR="00766785" w:rsidRDefault="00766785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</w:rPr>
      </w:pPr>
      <w:r w:rsidRPr="00766785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</w:rPr>
        <w:t xml:space="preserve">2. Prevé medidas dirigidas a prevenir y combatir en los sectores público y privado aragoneses toda forma de discriminación por razón de género. </w:t>
      </w:r>
    </w:p>
    <w:p w:rsidR="00766785" w:rsidRDefault="00766785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</w:pPr>
      <w:r w:rsidRPr="00766785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</w:rPr>
        <w:t>3. Incorpora medidas y recursos dirigidos a promover y garantizar la efectiva igualdad de oportunidades y de trato en todos los ámbitos de la vida en Aragón.</w:t>
      </w:r>
      <w:r w:rsidRPr="00766785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 </w:t>
      </w:r>
    </w:p>
    <w:p w:rsidR="005575F9" w:rsidRPr="000B29D7" w:rsidRDefault="00766785" w:rsidP="005575F9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766785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4. Desarrolla medidas para transversalizar el enfoque de género y modificar los roles masculinos estereotipados que sustentan la desigualdad de género.</w:t>
      </w:r>
    </w:p>
    <w:bookmarkEnd w:id="0"/>
    <w:p w:rsidR="005575F9" w:rsidRDefault="005575F9" w:rsidP="004051A2">
      <w:pPr>
        <w:kinsoku w:val="0"/>
        <w:overflowPunct w:val="0"/>
        <w:autoSpaceDE/>
        <w:autoSpaceDN/>
        <w:adjustRightInd/>
        <w:ind w:left="-142" w:right="432" w:hanging="284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="005575F9" w:rsidRDefault="005575F9" w:rsidP="004051A2">
      <w:pPr>
        <w:kinsoku w:val="0"/>
        <w:overflowPunct w:val="0"/>
        <w:autoSpaceDE/>
        <w:autoSpaceDN/>
        <w:adjustRightInd/>
        <w:ind w:left="-142" w:right="432" w:hanging="284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="005575F9" w:rsidRDefault="005575F9" w:rsidP="004051A2">
      <w:pPr>
        <w:kinsoku w:val="0"/>
        <w:overflowPunct w:val="0"/>
        <w:autoSpaceDE/>
        <w:autoSpaceDN/>
        <w:adjustRightInd/>
        <w:ind w:left="-142" w:right="432" w:hanging="284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="00766785" w:rsidRDefault="00766785" w:rsidP="004051A2">
      <w:pPr>
        <w:kinsoku w:val="0"/>
        <w:overflowPunct w:val="0"/>
        <w:autoSpaceDE/>
        <w:autoSpaceDN/>
        <w:adjustRightInd/>
        <w:ind w:left="-142" w:right="432" w:hanging="284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:rsidR="008A7776" w:rsidRPr="005575F9" w:rsidRDefault="006A282E" w:rsidP="004051A2">
      <w:pPr>
        <w:kinsoku w:val="0"/>
        <w:overflowPunct w:val="0"/>
        <w:autoSpaceDE/>
        <w:autoSpaceDN/>
        <w:adjustRightInd/>
        <w:ind w:left="-142" w:right="432" w:hanging="284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5575F9">
        <w:rPr>
          <w:rFonts w:asciiTheme="minorHAnsi" w:hAnsiTheme="minorHAnsi" w:cstheme="minorHAnsi"/>
          <w:b/>
          <w:bCs/>
          <w:sz w:val="22"/>
          <w:szCs w:val="22"/>
        </w:rPr>
        <w:t xml:space="preserve">9 </w:t>
      </w:r>
      <w:r w:rsidR="008A7776" w:rsidRPr="005575F9">
        <w:rPr>
          <w:rFonts w:asciiTheme="minorHAnsi" w:hAnsiTheme="minorHAnsi" w:cstheme="minorHAnsi"/>
          <w:b/>
          <w:bCs/>
          <w:sz w:val="22"/>
          <w:szCs w:val="22"/>
        </w:rPr>
        <w:t>Dentro de las técnic</w:t>
      </w:r>
      <w:r w:rsidR="005575F9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8A7776" w:rsidRPr="005575F9">
        <w:rPr>
          <w:rFonts w:asciiTheme="minorHAnsi" w:hAnsiTheme="minorHAnsi" w:cstheme="minorHAnsi"/>
          <w:b/>
          <w:bCs/>
          <w:sz w:val="22"/>
          <w:szCs w:val="22"/>
        </w:rPr>
        <w:t>s de recogida de datos para una investigación cualitativa, NO se encuentra alguna de las siguientes:</w:t>
      </w:r>
    </w:p>
    <w:p w:rsidR="008A7776" w:rsidRPr="006A282E" w:rsidRDefault="008A7776" w:rsidP="004051A2">
      <w:pPr>
        <w:numPr>
          <w:ilvl w:val="0"/>
          <w:numId w:val="1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Entrevi</w:t>
      </w:r>
      <w:r w:rsidR="005575F9">
        <w:rPr>
          <w:rFonts w:asciiTheme="minorHAnsi" w:hAnsiTheme="minorHAnsi" w:cstheme="minorHAnsi"/>
          <w:sz w:val="22"/>
          <w:szCs w:val="22"/>
        </w:rPr>
        <w:t>s</w:t>
      </w:r>
      <w:r w:rsidRPr="006A282E">
        <w:rPr>
          <w:rFonts w:asciiTheme="minorHAnsi" w:hAnsiTheme="minorHAnsi" w:cstheme="minorHAnsi"/>
          <w:sz w:val="22"/>
          <w:szCs w:val="22"/>
        </w:rPr>
        <w:t>ta semiestructurada.</w:t>
      </w:r>
    </w:p>
    <w:p w:rsidR="008A7776" w:rsidRPr="006A282E" w:rsidRDefault="008A7776" w:rsidP="004051A2">
      <w:pPr>
        <w:numPr>
          <w:ilvl w:val="0"/>
          <w:numId w:val="1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3"/>
          <w:sz w:val="22"/>
          <w:szCs w:val="22"/>
        </w:rPr>
      </w:pPr>
      <w:r w:rsidRPr="006A282E">
        <w:rPr>
          <w:rFonts w:asciiTheme="minorHAnsi" w:hAnsiTheme="minorHAnsi" w:cstheme="minorHAnsi"/>
          <w:spacing w:val="-3"/>
          <w:sz w:val="22"/>
          <w:szCs w:val="22"/>
        </w:rPr>
        <w:t>Grupos focales.</w:t>
      </w:r>
    </w:p>
    <w:p w:rsidR="008A7776" w:rsidRPr="006A282E" w:rsidRDefault="008A7776" w:rsidP="004051A2">
      <w:pPr>
        <w:numPr>
          <w:ilvl w:val="0"/>
          <w:numId w:val="1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4"/>
          <w:sz w:val="22"/>
          <w:szCs w:val="22"/>
        </w:rPr>
      </w:pPr>
      <w:r w:rsidRPr="006A282E">
        <w:rPr>
          <w:rFonts w:asciiTheme="minorHAnsi" w:hAnsiTheme="minorHAnsi" w:cstheme="minorHAnsi"/>
          <w:spacing w:val="-4"/>
          <w:sz w:val="22"/>
          <w:szCs w:val="22"/>
        </w:rPr>
        <w:t>Historias de. vida.</w:t>
      </w:r>
    </w:p>
    <w:p w:rsidR="008A7776" w:rsidRPr="006A282E" w:rsidRDefault="008A7776" w:rsidP="004051A2">
      <w:pPr>
        <w:numPr>
          <w:ilvl w:val="0"/>
          <w:numId w:val="12"/>
        </w:numPr>
        <w:kinsoku w:val="0"/>
        <w:overflowPunct w:val="0"/>
        <w:autoSpaceDE/>
        <w:autoSpaceDN/>
        <w:adjustRightInd/>
        <w:textAlignment w:val="baseline"/>
        <w:rPr>
          <w:rFonts w:asciiTheme="minorHAnsi" w:hAnsiTheme="minorHAnsi" w:cstheme="minorHAnsi"/>
          <w:spacing w:val="-4"/>
          <w:sz w:val="22"/>
          <w:szCs w:val="22"/>
        </w:rPr>
      </w:pPr>
      <w:r w:rsidRPr="006A282E">
        <w:rPr>
          <w:rFonts w:asciiTheme="minorHAnsi" w:hAnsiTheme="minorHAnsi" w:cstheme="minorHAnsi"/>
          <w:spacing w:val="-4"/>
          <w:sz w:val="22"/>
          <w:szCs w:val="22"/>
        </w:rPr>
        <w:t>T de Student.</w:t>
      </w:r>
    </w:p>
    <w:p w:rsidR="002F4D4D" w:rsidRPr="002F4D4D" w:rsidRDefault="000B29D7" w:rsidP="002F4D4D">
      <w:pPr>
        <w:kinsoku w:val="0"/>
        <w:overflowPunct w:val="0"/>
        <w:autoSpaceDE/>
        <w:autoSpaceDN/>
        <w:adjustRightInd/>
        <w:ind w:right="792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0B29D7">
        <w:rPr>
          <w:rFonts w:asciiTheme="minorHAnsi" w:hAnsiTheme="minorHAnsi" w:cstheme="minorHAnsi"/>
          <w:b/>
          <w:bCs/>
          <w:color w:val="0070C0"/>
          <w:sz w:val="24"/>
          <w:szCs w:val="24"/>
        </w:rPr>
        <w:t>D</w:t>
      </w: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,</w:t>
      </w:r>
      <w:r w:rsid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</w:t>
      </w:r>
      <w:r w:rsidR="002F4D4D" w:rsidRP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La </w:t>
      </w:r>
      <w:r w:rsid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>T</w:t>
      </w:r>
      <w:r w:rsidR="002F4D4D" w:rsidRP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de </w:t>
      </w:r>
      <w:r w:rsid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>S</w:t>
      </w:r>
      <w:r w:rsidR="002F4D4D" w:rsidRP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>tudent es una prueba estadística de tipo cuantitativo, utilizada pa</w:t>
      </w:r>
      <w:r w:rsid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>ra</w:t>
      </w:r>
      <w:r w:rsidR="002F4D4D" w:rsidRPr="002F4D4D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valorar la asociación entre una variable cualitativa con dos categorías y una cuantitativa</w:t>
      </w:r>
    </w:p>
    <w:p w:rsidR="006A282E" w:rsidRPr="006A282E" w:rsidRDefault="006A282E" w:rsidP="004051A2">
      <w:pPr>
        <w:kinsoku w:val="0"/>
        <w:overflowPunct w:val="0"/>
        <w:autoSpaceDE/>
        <w:autoSpaceDN/>
        <w:adjustRightInd/>
        <w:ind w:left="144" w:hanging="428"/>
        <w:textAlignment w:val="baseline"/>
        <w:rPr>
          <w:rFonts w:asciiTheme="minorHAnsi" w:hAnsiTheme="minorHAnsi" w:cstheme="minorHAnsi"/>
          <w:b/>
          <w:bCs/>
          <w:spacing w:val="12"/>
          <w:sz w:val="22"/>
          <w:szCs w:val="22"/>
        </w:rPr>
      </w:pPr>
    </w:p>
    <w:p w:rsidR="008A7776" w:rsidRPr="000B29D7" w:rsidRDefault="008A7776" w:rsidP="004051A2">
      <w:pPr>
        <w:kinsoku w:val="0"/>
        <w:overflowPunct w:val="0"/>
        <w:autoSpaceDE/>
        <w:autoSpaceDN/>
        <w:adjustRightInd/>
        <w:ind w:left="144" w:hanging="428"/>
        <w:textAlignment w:val="baseline"/>
        <w:rPr>
          <w:rFonts w:asciiTheme="minorHAnsi" w:hAnsiTheme="minorHAnsi" w:cstheme="minorHAnsi"/>
          <w:b/>
          <w:bCs/>
          <w:spacing w:val="12"/>
          <w:sz w:val="22"/>
          <w:szCs w:val="22"/>
        </w:rPr>
      </w:pPr>
      <w:r w:rsidRPr="000B29D7">
        <w:rPr>
          <w:rFonts w:asciiTheme="minorHAnsi" w:hAnsiTheme="minorHAnsi" w:cstheme="minorHAnsi"/>
          <w:b/>
          <w:bCs/>
          <w:spacing w:val="12"/>
          <w:sz w:val="22"/>
          <w:szCs w:val="22"/>
        </w:rPr>
        <w:t>10 ¿Qué son medicamentos originales?</w:t>
      </w:r>
    </w:p>
    <w:p w:rsidR="008A7776" w:rsidRPr="006A282E" w:rsidRDefault="008A7776" w:rsidP="000B29D7">
      <w:pPr>
        <w:numPr>
          <w:ilvl w:val="0"/>
          <w:numId w:val="13"/>
        </w:numPr>
        <w:tabs>
          <w:tab w:val="clear" w:pos="1080"/>
          <w:tab w:val="num" w:pos="576"/>
        </w:tabs>
        <w:kinsoku w:val="0"/>
        <w:overflowPunct w:val="0"/>
        <w:autoSpaceDE/>
        <w:autoSpaceDN/>
        <w:adjustRightInd/>
        <w:ind w:left="576" w:right="864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Medicamentos innovadores, cuyos fabricantes han desarrollado un proceso de investigación y desarrollo para garantizar su eficacia, calidad y seguridad en su utilización clínica, bajo unas condiciones de dosificación y forma farmacéutica concreta.</w:t>
      </w:r>
    </w:p>
    <w:p w:rsidR="008A7776" w:rsidRPr="006A282E" w:rsidRDefault="008A7776" w:rsidP="000B29D7">
      <w:pPr>
        <w:numPr>
          <w:ilvl w:val="0"/>
          <w:numId w:val="13"/>
        </w:numPr>
        <w:tabs>
          <w:tab w:val="clear" w:pos="1080"/>
          <w:tab w:val="num" w:pos="576"/>
        </w:tabs>
        <w:kinsoku w:val="0"/>
        <w:overflowPunct w:val="0"/>
        <w:autoSpaceDE/>
        <w:autoSpaceDN/>
        <w:adjustRightInd/>
        <w:ind w:left="576" w:right="288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>'Todo medicamento que tenga la misma composición cualitativa y cuantitativa en principios activos y la misma forma farmacéutica, y. cuya bioequivalencia con el medicamento de referencia haya sido demostrada por estudios adecuados de biodisponibilidad.</w:t>
      </w:r>
    </w:p>
    <w:p w:rsidR="008A7776" w:rsidRPr="006A282E" w:rsidRDefault="008A7776" w:rsidP="000B29D7">
      <w:pPr>
        <w:numPr>
          <w:ilvl w:val="0"/>
          <w:numId w:val="13"/>
        </w:numPr>
        <w:tabs>
          <w:tab w:val="clear" w:pos="1080"/>
          <w:tab w:val="num" w:pos="576"/>
        </w:tabs>
        <w:kinsoku w:val="0"/>
        <w:overflowPunct w:val="0"/>
        <w:autoSpaceDE/>
        <w:autoSpaceDN/>
        <w:adjustRightInd/>
        <w:ind w:left="576" w:right="360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 xml:space="preserve">Son medicamentos genéricos que representan un ahorro, puesto que en su precio de venta al público no repercuten las inversiones realizadas por cada </w:t>
      </w:r>
      <w:r w:rsidR="000B29D7" w:rsidRPr="006A282E">
        <w:rPr>
          <w:rFonts w:asciiTheme="minorHAnsi" w:hAnsiTheme="minorHAnsi" w:cstheme="minorHAnsi"/>
          <w:sz w:val="22"/>
          <w:szCs w:val="22"/>
        </w:rPr>
        <w:t>compañía</w:t>
      </w:r>
      <w:r w:rsidRPr="006A282E">
        <w:rPr>
          <w:rFonts w:asciiTheme="minorHAnsi" w:hAnsiTheme="minorHAnsi" w:cstheme="minorHAnsi"/>
          <w:sz w:val="22"/>
          <w:szCs w:val="22"/>
        </w:rPr>
        <w:t xml:space="preserve"> farmacéutica para la investigación y desarrollo del medicamento.</w:t>
      </w:r>
    </w:p>
    <w:p w:rsidR="008A7776" w:rsidRDefault="008A7776" w:rsidP="000B29D7">
      <w:pPr>
        <w:numPr>
          <w:ilvl w:val="0"/>
          <w:numId w:val="13"/>
        </w:numPr>
        <w:tabs>
          <w:tab w:val="clear" w:pos="1080"/>
          <w:tab w:val="num" w:pos="576"/>
        </w:tabs>
        <w:kinsoku w:val="0"/>
        <w:overflowPunct w:val="0"/>
        <w:autoSpaceDE/>
        <w:autoSpaceDN/>
        <w:adjustRightInd/>
        <w:ind w:left="576" w:right="14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A282E">
        <w:rPr>
          <w:rFonts w:asciiTheme="minorHAnsi" w:hAnsiTheme="minorHAnsi" w:cstheme="minorHAnsi"/>
          <w:sz w:val="22"/>
          <w:szCs w:val="22"/>
        </w:rPr>
        <w:t xml:space="preserve">Son aquellos que se identifican claramente por las siglas EFG que significan equivalente farmacéutico genérico. Se designan con la denominación del principio activo (DOE o DCI) acompañada' del nombre o marca del fabricante. </w:t>
      </w:r>
    </w:p>
    <w:p w:rsidR="006D380B" w:rsidRPr="000B29D7" w:rsidRDefault="000B29D7" w:rsidP="006D380B">
      <w:pPr>
        <w:kinsoku w:val="0"/>
        <w:overflowPunct w:val="0"/>
        <w:autoSpaceDE/>
        <w:autoSpaceDN/>
        <w:adjustRightInd/>
        <w:ind w:right="144"/>
        <w:jc w:val="both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0B29D7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A, </w:t>
      </w:r>
      <w:r w:rsidR="006D380B">
        <w:rPr>
          <w:rFonts w:asciiTheme="minorHAnsi" w:hAnsiTheme="minorHAnsi" w:cstheme="minorHAnsi"/>
          <w:b/>
          <w:bCs/>
          <w:color w:val="0070C0"/>
          <w:sz w:val="24"/>
          <w:szCs w:val="24"/>
        </w:rPr>
        <w:t>correcta, se ajusta a su definición</w:t>
      </w:r>
    </w:p>
    <w:p w:rsidR="000B29D7" w:rsidRPr="000B29D7" w:rsidRDefault="000B29D7" w:rsidP="000B29D7">
      <w:pPr>
        <w:kinsoku w:val="0"/>
        <w:overflowPunct w:val="0"/>
        <w:autoSpaceDE/>
        <w:autoSpaceDN/>
        <w:adjustRightInd/>
        <w:ind w:right="144"/>
        <w:jc w:val="both"/>
        <w:textAlignment w:val="baseline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</w:p>
    <w:p w:rsidR="00223397" w:rsidRPr="006A282E" w:rsidRDefault="00223397" w:rsidP="004051A2">
      <w:pPr>
        <w:rPr>
          <w:rFonts w:asciiTheme="minorHAnsi" w:hAnsiTheme="minorHAnsi" w:cstheme="minorHAnsi"/>
          <w:sz w:val="22"/>
          <w:szCs w:val="22"/>
        </w:rPr>
      </w:pPr>
    </w:p>
    <w:sectPr w:rsidR="00223397" w:rsidRPr="006A282E" w:rsidSect="00313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9EC2"/>
    <w:multiLevelType w:val="singleLevel"/>
    <w:tmpl w:val="4DC57CDC"/>
    <w:lvl w:ilvl="0">
      <w:start w:val="1"/>
      <w:numFmt w:val="upperLetter"/>
      <w:lvlText w:val="%1:"/>
      <w:lvlJc w:val="left"/>
      <w:pPr>
        <w:tabs>
          <w:tab w:val="num" w:pos="1224"/>
        </w:tabs>
        <w:ind w:left="720"/>
      </w:pPr>
      <w:rPr>
        <w:snapToGrid/>
        <w:sz w:val="21"/>
        <w:szCs w:val="21"/>
      </w:rPr>
    </w:lvl>
  </w:abstractNum>
  <w:abstractNum w:abstractNumId="1">
    <w:nsid w:val="00CCA87B"/>
    <w:multiLevelType w:val="singleLevel"/>
    <w:tmpl w:val="60B240D3"/>
    <w:lvl w:ilvl="0">
      <w:start w:val="1"/>
      <w:numFmt w:val="upperLetter"/>
      <w:lvlText w:val="%1:"/>
      <w:lvlJc w:val="left"/>
      <w:pPr>
        <w:tabs>
          <w:tab w:val="num" w:pos="1224"/>
        </w:tabs>
        <w:ind w:left="1224" w:hanging="504"/>
      </w:pPr>
      <w:rPr>
        <w:snapToGrid/>
        <w:spacing w:val="-14"/>
        <w:sz w:val="22"/>
        <w:szCs w:val="22"/>
      </w:rPr>
    </w:lvl>
  </w:abstractNum>
  <w:abstractNum w:abstractNumId="2">
    <w:nsid w:val="01952F51"/>
    <w:multiLevelType w:val="singleLevel"/>
    <w:tmpl w:val="1E7609B0"/>
    <w:lvl w:ilvl="0">
      <w:start w:val="1"/>
      <w:numFmt w:val="upperLetter"/>
      <w:lvlText w:val="%1:"/>
      <w:lvlJc w:val="left"/>
      <w:pPr>
        <w:tabs>
          <w:tab w:val="num" w:pos="1224"/>
        </w:tabs>
        <w:ind w:left="1224" w:hanging="504"/>
      </w:pPr>
      <w:rPr>
        <w:rFonts w:ascii="Verdana" w:hAnsi="Verdana" w:cs="Verdana"/>
        <w:snapToGrid/>
        <w:spacing w:val="-7"/>
        <w:sz w:val="19"/>
        <w:szCs w:val="19"/>
      </w:rPr>
    </w:lvl>
  </w:abstractNum>
  <w:abstractNum w:abstractNumId="3">
    <w:nsid w:val="021D1A37"/>
    <w:multiLevelType w:val="singleLevel"/>
    <w:tmpl w:val="5172DD74"/>
    <w:lvl w:ilvl="0">
      <w:start w:val="1"/>
      <w:numFmt w:val="upperLetter"/>
      <w:lvlText w:val="%1:"/>
      <w:lvlJc w:val="left"/>
      <w:pPr>
        <w:tabs>
          <w:tab w:val="num" w:pos="1080"/>
        </w:tabs>
        <w:ind w:left="1080" w:hanging="432"/>
      </w:pPr>
      <w:rPr>
        <w:snapToGrid/>
        <w:sz w:val="21"/>
        <w:szCs w:val="21"/>
      </w:rPr>
    </w:lvl>
  </w:abstractNum>
  <w:abstractNum w:abstractNumId="4">
    <w:nsid w:val="02D098CC"/>
    <w:multiLevelType w:val="singleLevel"/>
    <w:tmpl w:val="3B1CBD85"/>
    <w:lvl w:ilvl="0">
      <w:start w:val="1"/>
      <w:numFmt w:val="upperLetter"/>
      <w:lvlText w:val="%1:"/>
      <w:lvlJc w:val="left"/>
      <w:pPr>
        <w:tabs>
          <w:tab w:val="num" w:pos="1224"/>
        </w:tabs>
        <w:ind w:left="720"/>
      </w:pPr>
      <w:rPr>
        <w:snapToGrid/>
        <w:sz w:val="21"/>
        <w:szCs w:val="21"/>
      </w:rPr>
    </w:lvl>
  </w:abstractNum>
  <w:abstractNum w:abstractNumId="5">
    <w:nsid w:val="03504DE1"/>
    <w:multiLevelType w:val="singleLevel"/>
    <w:tmpl w:val="35150FB8"/>
    <w:lvl w:ilvl="0">
      <w:start w:val="1"/>
      <w:numFmt w:val="upperLetter"/>
      <w:lvlText w:val="%1:"/>
      <w:lvlJc w:val="left"/>
      <w:pPr>
        <w:tabs>
          <w:tab w:val="num" w:pos="1224"/>
        </w:tabs>
        <w:ind w:left="1224" w:hanging="504"/>
      </w:pPr>
      <w:rPr>
        <w:snapToGrid/>
        <w:spacing w:val="-3"/>
        <w:sz w:val="22"/>
        <w:szCs w:val="22"/>
      </w:rPr>
    </w:lvl>
  </w:abstractNum>
  <w:abstractNum w:abstractNumId="6">
    <w:nsid w:val="04565589"/>
    <w:multiLevelType w:val="singleLevel"/>
    <w:tmpl w:val="4EF89A6A"/>
    <w:lvl w:ilvl="0">
      <w:start w:val="1"/>
      <w:numFmt w:val="upperLetter"/>
      <w:lvlText w:val="%1:"/>
      <w:lvlJc w:val="left"/>
      <w:pPr>
        <w:tabs>
          <w:tab w:val="num" w:pos="1296"/>
        </w:tabs>
        <w:ind w:left="720"/>
      </w:pPr>
      <w:rPr>
        <w:snapToGrid/>
        <w:spacing w:val="-1"/>
        <w:sz w:val="22"/>
        <w:szCs w:val="22"/>
      </w:rPr>
    </w:lvl>
  </w:abstractNum>
  <w:abstractNum w:abstractNumId="7">
    <w:nsid w:val="0702BBA4"/>
    <w:multiLevelType w:val="singleLevel"/>
    <w:tmpl w:val="1429B194"/>
    <w:lvl w:ilvl="0">
      <w:start w:val="1"/>
      <w:numFmt w:val="upperLetter"/>
      <w:lvlText w:val="%1:"/>
      <w:lvlJc w:val="left"/>
      <w:pPr>
        <w:tabs>
          <w:tab w:val="num" w:pos="1224"/>
        </w:tabs>
        <w:ind w:left="1224" w:hanging="504"/>
      </w:pPr>
      <w:rPr>
        <w:snapToGrid/>
        <w:sz w:val="21"/>
        <w:szCs w:val="21"/>
      </w:rPr>
    </w:lvl>
  </w:abstractNum>
  <w:abstractNum w:abstractNumId="8">
    <w:nsid w:val="073DF602"/>
    <w:multiLevelType w:val="singleLevel"/>
    <w:tmpl w:val="476BA22F"/>
    <w:lvl w:ilvl="0">
      <w:start w:val="1"/>
      <w:numFmt w:val="upperLetter"/>
      <w:lvlText w:val="%1:"/>
      <w:lvlJc w:val="left"/>
      <w:pPr>
        <w:tabs>
          <w:tab w:val="num" w:pos="1224"/>
        </w:tabs>
        <w:ind w:left="1080" w:hanging="360"/>
      </w:pPr>
      <w:rPr>
        <w:snapToGrid/>
        <w:sz w:val="21"/>
        <w:szCs w:val="21"/>
      </w:rPr>
    </w:lvl>
  </w:abstractNum>
  <w:abstractNum w:abstractNumId="9">
    <w:nsid w:val="0793BDB2"/>
    <w:multiLevelType w:val="singleLevel"/>
    <w:tmpl w:val="3D989ECA"/>
    <w:lvl w:ilvl="0">
      <w:start w:val="1"/>
      <w:numFmt w:val="upperLetter"/>
      <w:lvlText w:val="%1:"/>
      <w:lvlJc w:val="left"/>
      <w:pPr>
        <w:tabs>
          <w:tab w:val="num" w:pos="1224"/>
        </w:tabs>
        <w:ind w:left="1224" w:hanging="504"/>
      </w:pPr>
      <w:rPr>
        <w:rFonts w:ascii="Verdana" w:hAnsi="Verdana" w:cs="Verdana"/>
        <w:snapToGrid/>
        <w:spacing w:val="-9"/>
        <w:sz w:val="19"/>
        <w:szCs w:val="19"/>
      </w:rPr>
    </w:lvl>
  </w:abstractNum>
  <w:num w:numId="1">
    <w:abstractNumId w:val="6"/>
  </w:num>
  <w:num w:numId="2">
    <w:abstractNumId w:val="6"/>
    <w:lvlOverride w:ilvl="0">
      <w:lvl w:ilvl="0">
        <w:numFmt w:val="upperLetter"/>
        <w:lvlText w:val="%1:"/>
        <w:lvlJc w:val="left"/>
        <w:pPr>
          <w:tabs>
            <w:tab w:val="num" w:pos="1296"/>
          </w:tabs>
          <w:ind w:left="720"/>
        </w:pPr>
        <w:rPr>
          <w:rFonts w:ascii="Verdana" w:hAnsi="Verdana" w:cs="Verdana"/>
          <w:snapToGrid/>
          <w:spacing w:val="-1"/>
          <w:sz w:val="19"/>
          <w:szCs w:val="19"/>
        </w:rPr>
      </w:lvl>
    </w:lvlOverride>
  </w:num>
  <w:num w:numId="3">
    <w:abstractNumId w:val="1"/>
  </w:num>
  <w:num w:numId="4">
    <w:abstractNumId w:val="5"/>
  </w:num>
  <w:num w:numId="5">
    <w:abstractNumId w:val="9"/>
  </w:num>
  <w:num w:numId="6">
    <w:abstractNumId w:val="9"/>
    <w:lvlOverride w:ilvl="0">
      <w:lvl w:ilvl="0">
        <w:numFmt w:val="upperLetter"/>
        <w:lvlText w:val="%1:"/>
        <w:lvlJc w:val="left"/>
        <w:pPr>
          <w:tabs>
            <w:tab w:val="num" w:pos="1224"/>
          </w:tabs>
          <w:ind w:left="1224" w:hanging="504"/>
        </w:pPr>
        <w:rPr>
          <w:snapToGrid/>
          <w:spacing w:val="-1"/>
          <w:sz w:val="22"/>
          <w:szCs w:val="22"/>
        </w:rPr>
      </w:lvl>
    </w:lvlOverride>
  </w:num>
  <w:num w:numId="7">
    <w:abstractNumId w:val="2"/>
  </w:num>
  <w:num w:numId="8">
    <w:abstractNumId w:val="2"/>
    <w:lvlOverride w:ilvl="0">
      <w:lvl w:ilvl="0">
        <w:numFmt w:val="upperLetter"/>
        <w:lvlText w:val="%1:"/>
        <w:lvlJc w:val="left"/>
        <w:pPr>
          <w:tabs>
            <w:tab w:val="num" w:pos="1224"/>
          </w:tabs>
          <w:ind w:left="1224" w:hanging="504"/>
        </w:pPr>
        <w:rPr>
          <w:snapToGrid/>
          <w:spacing w:val="-1"/>
          <w:sz w:val="22"/>
          <w:szCs w:val="22"/>
        </w:rPr>
      </w:lvl>
    </w:lvlOverride>
  </w:num>
  <w:num w:numId="9">
    <w:abstractNumId w:val="7"/>
  </w:num>
  <w:num w:numId="10">
    <w:abstractNumId w:val="0"/>
  </w:num>
  <w:num w:numId="11">
    <w:abstractNumId w:val="8"/>
  </w:num>
  <w:num w:numId="12">
    <w:abstractNumId w:val="4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compat/>
  <w:rsids>
    <w:rsidRoot w:val="008A7776"/>
    <w:rsid w:val="000B29D7"/>
    <w:rsid w:val="00223397"/>
    <w:rsid w:val="002F4D4D"/>
    <w:rsid w:val="00313578"/>
    <w:rsid w:val="0034186D"/>
    <w:rsid w:val="004051A2"/>
    <w:rsid w:val="004C5601"/>
    <w:rsid w:val="00506CD7"/>
    <w:rsid w:val="005575F9"/>
    <w:rsid w:val="006A282E"/>
    <w:rsid w:val="006D380B"/>
    <w:rsid w:val="00766785"/>
    <w:rsid w:val="008A7776"/>
    <w:rsid w:val="008D1441"/>
    <w:rsid w:val="00931A40"/>
    <w:rsid w:val="00C00C5F"/>
    <w:rsid w:val="00E03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8A77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1018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Arracó</dc:creator>
  <cp:lastModifiedBy>Lorenzo Arracó</cp:lastModifiedBy>
  <cp:revision>2</cp:revision>
  <dcterms:created xsi:type="dcterms:W3CDTF">2022-02-11T14:56:00Z</dcterms:created>
  <dcterms:modified xsi:type="dcterms:W3CDTF">2022-02-11T14:56:00Z</dcterms:modified>
</cp:coreProperties>
</file>