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1EBB" w:rsidRPr="00C11EBB" w:rsidRDefault="00E87FEF" w:rsidP="00E87FEF">
      <w:pPr>
        <w:spacing w:after="0" w:line="240" w:lineRule="auto"/>
        <w:jc w:val="center"/>
        <w:rPr>
          <w:rFonts w:cstheme="minorHAnsi"/>
          <w:b/>
          <w:bCs/>
        </w:rPr>
      </w:pPr>
      <w:r>
        <w:rPr>
          <w:rFonts w:cstheme="minorHAnsi"/>
          <w:b/>
          <w:bCs/>
        </w:rPr>
        <w:t xml:space="preserve">EXAMEN </w:t>
      </w:r>
      <w:r w:rsidR="00C11EBB" w:rsidRPr="00C11EBB">
        <w:rPr>
          <w:rFonts w:cstheme="minorHAnsi"/>
          <w:b/>
          <w:bCs/>
        </w:rPr>
        <w:t>FACULTATIVO ESPECIALISTA DE ÁREA EN NEUMOLOGÍA</w:t>
      </w:r>
    </w:p>
    <w:p w:rsidR="00C11EBB" w:rsidRPr="00C11EBB" w:rsidRDefault="00C11EBB" w:rsidP="00C11EBB">
      <w:pPr>
        <w:spacing w:after="0" w:line="240" w:lineRule="auto"/>
        <w:rPr>
          <w:rFonts w:cstheme="minorHAnsi"/>
          <w:b/>
          <w:bCs/>
        </w:rPr>
      </w:pPr>
    </w:p>
    <w:p w:rsidR="00C11EBB" w:rsidRPr="00C11EBB" w:rsidRDefault="00C11EBB" w:rsidP="00C11EBB">
      <w:pPr>
        <w:spacing w:after="0" w:line="240" w:lineRule="auto"/>
        <w:rPr>
          <w:rFonts w:cstheme="minorHAnsi"/>
          <w:b/>
          <w:bCs/>
        </w:rPr>
      </w:pPr>
      <w:r w:rsidRPr="00C11EBB">
        <w:rPr>
          <w:rFonts w:cstheme="minorHAnsi"/>
          <w:b/>
          <w:bCs/>
        </w:rPr>
        <w:t>1 Según regula el artículo 63 del Estatuto Marco del personal estatutario de los Servicios de Salud, se</w:t>
      </w:r>
    </w:p>
    <w:p w:rsidR="00C11EBB" w:rsidRPr="00C11EBB" w:rsidRDefault="00C11EBB" w:rsidP="00C11EBB">
      <w:pPr>
        <w:spacing w:after="0" w:line="240" w:lineRule="auto"/>
        <w:rPr>
          <w:rFonts w:cstheme="minorHAnsi"/>
          <w:b/>
          <w:bCs/>
        </w:rPr>
      </w:pPr>
      <w:r w:rsidRPr="00C11EBB">
        <w:rPr>
          <w:rFonts w:cstheme="minorHAnsi"/>
          <w:b/>
          <w:bCs/>
        </w:rPr>
        <w:t>mantendrán en la situación de servicio activo, con los derechos que en cada caso correspondan, todos los siguientes, EXCEPTO:</w:t>
      </w:r>
    </w:p>
    <w:p w:rsidR="00C11EBB" w:rsidRPr="00C11EBB" w:rsidRDefault="00C11EBB" w:rsidP="00C11EBB">
      <w:pPr>
        <w:numPr>
          <w:ilvl w:val="0"/>
          <w:numId w:val="18"/>
        </w:numPr>
        <w:spacing w:after="0" w:line="240" w:lineRule="auto"/>
        <w:rPr>
          <w:rFonts w:cstheme="minorHAnsi"/>
        </w:rPr>
      </w:pPr>
      <w:r w:rsidRPr="00C11EBB">
        <w:rPr>
          <w:rFonts w:cstheme="minorHAnsi"/>
        </w:rPr>
        <w:t>En comisión de servicios.</w:t>
      </w:r>
    </w:p>
    <w:p w:rsidR="00C11EBB" w:rsidRPr="00C11EBB" w:rsidRDefault="00C11EBB" w:rsidP="00C11EBB">
      <w:pPr>
        <w:numPr>
          <w:ilvl w:val="0"/>
          <w:numId w:val="18"/>
        </w:numPr>
        <w:spacing w:after="0" w:line="240" w:lineRule="auto"/>
        <w:rPr>
          <w:rFonts w:cstheme="minorHAnsi"/>
        </w:rPr>
      </w:pPr>
      <w:r w:rsidRPr="00C11EBB">
        <w:rPr>
          <w:rFonts w:cstheme="minorHAnsi"/>
        </w:rPr>
        <w:t>Disfruten de vacaciones o permisos, o se encuentren en situación de incapacidad temporal</w:t>
      </w:r>
      <w:proofErr w:type="gramStart"/>
      <w:r w:rsidRPr="00C11EBB">
        <w:rPr>
          <w:rFonts w:cstheme="minorHAnsi"/>
        </w:rPr>
        <w:t>..</w:t>
      </w:r>
      <w:proofErr w:type="gramEnd"/>
    </w:p>
    <w:p w:rsidR="00C11EBB" w:rsidRDefault="00C11EBB" w:rsidP="00C11EBB">
      <w:pPr>
        <w:numPr>
          <w:ilvl w:val="0"/>
          <w:numId w:val="18"/>
        </w:numPr>
        <w:spacing w:after="0" w:line="240" w:lineRule="auto"/>
        <w:rPr>
          <w:rFonts w:cstheme="minorHAnsi"/>
        </w:rPr>
      </w:pPr>
      <w:r w:rsidRPr="00C11EBB">
        <w:rPr>
          <w:rFonts w:cstheme="minorHAnsi"/>
        </w:rPr>
        <w:t>Quienes reciban el encargo temporal de desempeñar funciones de otra categoría en Promoción Interna</w:t>
      </w:r>
      <w:r>
        <w:rPr>
          <w:rFonts w:cstheme="minorHAnsi"/>
        </w:rPr>
        <w:t xml:space="preserve"> </w:t>
      </w:r>
      <w:r w:rsidRPr="00C11EBB">
        <w:rPr>
          <w:rFonts w:cstheme="minorHAnsi"/>
        </w:rPr>
        <w:t>temporal;</w:t>
      </w:r>
      <w:r w:rsidRPr="00C11EBB">
        <w:rPr>
          <w:rFonts w:cstheme="minorHAnsi"/>
        </w:rPr>
        <w:tab/>
      </w:r>
    </w:p>
    <w:p w:rsidR="006C258F" w:rsidRDefault="00C11EBB" w:rsidP="00C11EBB">
      <w:pPr>
        <w:numPr>
          <w:ilvl w:val="0"/>
          <w:numId w:val="18"/>
        </w:numPr>
        <w:spacing w:after="0" w:line="240" w:lineRule="auto"/>
        <w:rPr>
          <w:rFonts w:cstheme="minorHAnsi"/>
        </w:rPr>
      </w:pPr>
      <w:r w:rsidRPr="00C11EBB">
        <w:rPr>
          <w:rFonts w:cstheme="minorHAnsi"/>
        </w:rPr>
        <w:t xml:space="preserve"> El personal estatutario que accedan a plaza de formación sanitaria especializada mediante residencia. </w:t>
      </w:r>
    </w:p>
    <w:p w:rsidR="00C11EBB" w:rsidRPr="006C258F" w:rsidRDefault="006C258F" w:rsidP="006C258F">
      <w:pPr>
        <w:spacing w:after="0" w:line="240" w:lineRule="auto"/>
        <w:rPr>
          <w:rFonts w:cstheme="minorHAnsi"/>
          <w:b/>
          <w:bCs/>
          <w:color w:val="0070C0"/>
          <w:sz w:val="24"/>
          <w:szCs w:val="24"/>
        </w:rPr>
      </w:pPr>
      <w:r w:rsidRPr="006C258F">
        <w:rPr>
          <w:rFonts w:cstheme="minorHAnsi"/>
          <w:b/>
          <w:bCs/>
          <w:color w:val="0070C0"/>
          <w:sz w:val="24"/>
          <w:szCs w:val="24"/>
        </w:rPr>
        <w:t xml:space="preserve">D, </w:t>
      </w:r>
      <w:r w:rsidR="00C11EBB" w:rsidRPr="006C258F">
        <w:rPr>
          <w:rFonts w:cstheme="minorHAnsi"/>
          <w:b/>
          <w:bCs/>
          <w:color w:val="0070C0"/>
          <w:sz w:val="24"/>
          <w:szCs w:val="24"/>
        </w:rPr>
        <w:t xml:space="preserve"> </w:t>
      </w:r>
      <w:r w:rsidR="00A378F7">
        <w:rPr>
          <w:rFonts w:ascii="Calibri" w:hAnsi="Calibri" w:cs="Calibri"/>
          <w:b/>
          <w:bCs/>
          <w:color w:val="0070C0"/>
          <w:sz w:val="24"/>
          <w:szCs w:val="24"/>
          <w:shd w:val="clear" w:color="auto" w:fill="FFFFFF"/>
        </w:rPr>
        <w:t>r</w:t>
      </w:r>
      <w:r w:rsidRPr="006C258F">
        <w:rPr>
          <w:rFonts w:ascii="Calibri" w:hAnsi="Calibri" w:cs="Calibri"/>
          <w:b/>
          <w:bCs/>
          <w:color w:val="0070C0"/>
          <w:sz w:val="24"/>
          <w:szCs w:val="24"/>
          <w:shd w:val="clear" w:color="auto" w:fill="FFFFFF"/>
        </w:rPr>
        <w:t>ecordad que en estos casos decíamos que pasaban a la situación de "servicios especiales" mientras estuviesen realizando el periodo MIR.</w:t>
      </w:r>
    </w:p>
    <w:p w:rsidR="00C11EBB" w:rsidRDefault="00C11EBB" w:rsidP="00C11EBB">
      <w:pPr>
        <w:spacing w:after="0" w:line="240" w:lineRule="auto"/>
        <w:rPr>
          <w:rFonts w:cstheme="minorHAnsi"/>
        </w:rPr>
      </w:pPr>
    </w:p>
    <w:p w:rsidR="00C11EBB" w:rsidRPr="00C11EBB" w:rsidRDefault="00C11EBB" w:rsidP="00C11EBB">
      <w:pPr>
        <w:spacing w:after="0" w:line="240" w:lineRule="auto"/>
        <w:rPr>
          <w:rFonts w:cstheme="minorHAnsi"/>
          <w:b/>
          <w:bCs/>
        </w:rPr>
      </w:pPr>
      <w:r w:rsidRPr="00C11EBB">
        <w:rPr>
          <w:rFonts w:cstheme="minorHAnsi"/>
          <w:b/>
          <w:bCs/>
        </w:rPr>
        <w:t>2 Señale lo correcto sobre una curva ROC:</w:t>
      </w:r>
    </w:p>
    <w:p w:rsidR="00C11EBB" w:rsidRPr="00C11EBB" w:rsidRDefault="00C11EBB" w:rsidP="00C11EBB">
      <w:pPr>
        <w:numPr>
          <w:ilvl w:val="0"/>
          <w:numId w:val="3"/>
        </w:numPr>
        <w:tabs>
          <w:tab w:val="clear" w:pos="1008"/>
          <w:tab w:val="num" w:pos="1284"/>
        </w:tabs>
        <w:spacing w:after="0" w:line="240" w:lineRule="auto"/>
        <w:ind w:left="708"/>
        <w:rPr>
          <w:rFonts w:cstheme="minorHAnsi"/>
        </w:rPr>
      </w:pPr>
      <w:r w:rsidRPr="00C11EBB">
        <w:rPr>
          <w:rFonts w:cstheme="minorHAnsi"/>
        </w:rPr>
        <w:t>La sensibilidad se representa en el eje de las abscisas.</w:t>
      </w:r>
    </w:p>
    <w:p w:rsidR="00C11EBB" w:rsidRPr="00C11EBB" w:rsidRDefault="00C11EBB" w:rsidP="00C11EBB">
      <w:pPr>
        <w:numPr>
          <w:ilvl w:val="0"/>
          <w:numId w:val="3"/>
        </w:numPr>
        <w:tabs>
          <w:tab w:val="clear" w:pos="1008"/>
          <w:tab w:val="num" w:pos="1284"/>
        </w:tabs>
        <w:spacing w:after="0" w:line="240" w:lineRule="auto"/>
        <w:ind w:left="708"/>
        <w:rPr>
          <w:rFonts w:cstheme="minorHAnsi"/>
        </w:rPr>
      </w:pPr>
      <w:r w:rsidRPr="00C11EBB">
        <w:rPr>
          <w:rFonts w:cstheme="minorHAnsi"/>
        </w:rPr>
        <w:t>El complementario de la especificidad se representa en el eje de ordenadas.</w:t>
      </w:r>
    </w:p>
    <w:p w:rsidR="00C11EBB" w:rsidRPr="00C11EBB" w:rsidRDefault="00C11EBB" w:rsidP="00C11EBB">
      <w:pPr>
        <w:numPr>
          <w:ilvl w:val="0"/>
          <w:numId w:val="3"/>
        </w:numPr>
        <w:tabs>
          <w:tab w:val="clear" w:pos="1008"/>
          <w:tab w:val="num" w:pos="1284"/>
        </w:tabs>
        <w:spacing w:after="0" w:line="240" w:lineRule="auto"/>
        <w:ind w:left="708"/>
        <w:rPr>
          <w:rFonts w:cstheme="minorHAnsi"/>
        </w:rPr>
      </w:pPr>
      <w:r w:rsidRPr="00C11EBB">
        <w:rPr>
          <w:rFonts w:cstheme="minorHAnsi"/>
        </w:rPr>
        <w:t>El área que queda por debajo de la curva representa los diagnósticos correctos.</w:t>
      </w:r>
    </w:p>
    <w:p w:rsidR="00C11EBB" w:rsidRDefault="00C11EBB" w:rsidP="00C11EBB">
      <w:pPr>
        <w:numPr>
          <w:ilvl w:val="0"/>
          <w:numId w:val="3"/>
        </w:numPr>
        <w:tabs>
          <w:tab w:val="clear" w:pos="1008"/>
          <w:tab w:val="num" w:pos="1284"/>
        </w:tabs>
        <w:spacing w:after="0" w:line="240" w:lineRule="auto"/>
        <w:ind w:left="708"/>
        <w:rPr>
          <w:rFonts w:cstheme="minorHAnsi"/>
        </w:rPr>
      </w:pPr>
      <w:r w:rsidRPr="00C11EBB">
        <w:rPr>
          <w:rFonts w:cstheme="minorHAnsi"/>
        </w:rPr>
        <w:t>Al comparar pruebas, la mejor será la que tenga una curva próxima a 45°.</w:t>
      </w:r>
    </w:p>
    <w:p w:rsidR="006C258F" w:rsidRPr="006C258F" w:rsidRDefault="006C258F" w:rsidP="006C258F">
      <w:pPr>
        <w:spacing w:after="0" w:line="240" w:lineRule="auto"/>
        <w:rPr>
          <w:rFonts w:cstheme="minorHAnsi"/>
          <w:b/>
          <w:bCs/>
          <w:color w:val="0070C0"/>
          <w:sz w:val="24"/>
          <w:szCs w:val="24"/>
        </w:rPr>
      </w:pPr>
      <w:r w:rsidRPr="006C258F">
        <w:rPr>
          <w:rFonts w:cstheme="minorHAnsi"/>
          <w:b/>
          <w:bCs/>
          <w:color w:val="0070C0"/>
          <w:sz w:val="24"/>
          <w:szCs w:val="24"/>
        </w:rPr>
        <w:t xml:space="preserve">C, explicado en las </w:t>
      </w:r>
      <w:proofErr w:type="spellStart"/>
      <w:r w:rsidRPr="006C258F">
        <w:rPr>
          <w:rFonts w:cstheme="minorHAnsi"/>
          <w:b/>
          <w:bCs/>
          <w:color w:val="0070C0"/>
          <w:sz w:val="24"/>
          <w:szCs w:val="24"/>
        </w:rPr>
        <w:t>pgs</w:t>
      </w:r>
      <w:proofErr w:type="spellEnd"/>
      <w:r w:rsidRPr="006C258F">
        <w:rPr>
          <w:rFonts w:cstheme="minorHAnsi"/>
          <w:b/>
          <w:bCs/>
          <w:color w:val="0070C0"/>
          <w:sz w:val="24"/>
          <w:szCs w:val="24"/>
        </w:rPr>
        <w:t>. 18 y 19 del tema 13</w:t>
      </w:r>
    </w:p>
    <w:p w:rsidR="00C11EBB" w:rsidRDefault="00C11EBB" w:rsidP="00C11EBB">
      <w:pPr>
        <w:spacing w:after="0" w:line="240" w:lineRule="auto"/>
        <w:rPr>
          <w:rFonts w:cstheme="minorHAnsi"/>
        </w:rPr>
      </w:pPr>
    </w:p>
    <w:p w:rsidR="00C11EBB" w:rsidRPr="00C11EBB" w:rsidRDefault="00C11EBB" w:rsidP="00C11EBB">
      <w:pPr>
        <w:spacing w:after="0" w:line="240" w:lineRule="auto"/>
        <w:rPr>
          <w:rFonts w:cstheme="minorHAnsi"/>
          <w:b/>
          <w:bCs/>
        </w:rPr>
      </w:pPr>
      <w:r w:rsidRPr="00C11EBB">
        <w:rPr>
          <w:rFonts w:cstheme="minorHAnsi"/>
          <w:b/>
          <w:bCs/>
        </w:rPr>
        <w:t>3 El personal estatutario se clasifica, según el artículo 5 del Estatuto Marco del personal estatutario de los Servicios de Salud; atendiendo a los siguientes criterios:</w:t>
      </w:r>
    </w:p>
    <w:p w:rsidR="00C11EBB" w:rsidRPr="00C11EBB" w:rsidRDefault="00C11EBB" w:rsidP="00C11EBB">
      <w:pPr>
        <w:numPr>
          <w:ilvl w:val="0"/>
          <w:numId w:val="19"/>
        </w:numPr>
        <w:spacing w:after="0" w:line="240" w:lineRule="auto"/>
        <w:rPr>
          <w:rFonts w:cstheme="minorHAnsi"/>
        </w:rPr>
      </w:pPr>
      <w:r w:rsidRPr="00C11EBB">
        <w:rPr>
          <w:rFonts w:cstheme="minorHAnsi"/>
        </w:rPr>
        <w:t xml:space="preserve">Función </w:t>
      </w:r>
      <w:proofErr w:type="spellStart"/>
      <w:r w:rsidRPr="00C11EBB">
        <w:rPr>
          <w:rFonts w:cstheme="minorHAnsi"/>
        </w:rPr>
        <w:t>dearrollada</w:t>
      </w:r>
      <w:proofErr w:type="spellEnd"/>
      <w:r w:rsidRPr="00C11EBB">
        <w:rPr>
          <w:rFonts w:cstheme="minorHAnsi"/>
        </w:rPr>
        <w:t>, nivel de título exigido para su ingreso</w:t>
      </w:r>
      <w:r w:rsidRPr="00C11EBB">
        <w:rPr>
          <w:rFonts w:cstheme="minorHAnsi"/>
          <w:vertAlign w:val="superscript"/>
        </w:rPr>
        <w:t>-</w:t>
      </w:r>
      <w:r w:rsidRPr="00C11EBB">
        <w:rPr>
          <w:rFonts w:cstheme="minorHAnsi"/>
        </w:rPr>
        <w:t>y tipo de nombramiento.</w:t>
      </w:r>
    </w:p>
    <w:p w:rsidR="00C11EBB" w:rsidRPr="00C11EBB" w:rsidRDefault="00C11EBB" w:rsidP="00C11EBB">
      <w:pPr>
        <w:numPr>
          <w:ilvl w:val="0"/>
          <w:numId w:val="19"/>
        </w:numPr>
        <w:spacing w:after="0" w:line="240" w:lineRule="auto"/>
        <w:rPr>
          <w:rFonts w:cstheme="minorHAnsi"/>
        </w:rPr>
      </w:pPr>
      <w:r w:rsidRPr="00C11EBB">
        <w:rPr>
          <w:rFonts w:cstheme="minorHAnsi"/>
        </w:rPr>
        <w:t xml:space="preserve">Personal estatutario fijo y personal </w:t>
      </w:r>
      <w:r w:rsidRPr="00C11EBB">
        <w:rPr>
          <w:rFonts w:cstheme="minorHAnsi"/>
          <w:vertAlign w:val="superscript"/>
        </w:rPr>
        <w:t>.</w:t>
      </w:r>
      <w:r w:rsidRPr="00C11EBB">
        <w:rPr>
          <w:rFonts w:cstheme="minorHAnsi"/>
        </w:rPr>
        <w:t>estatutario temporal.</w:t>
      </w:r>
    </w:p>
    <w:p w:rsidR="00C11EBB" w:rsidRPr="00C11EBB" w:rsidRDefault="00C11EBB" w:rsidP="00C11EBB">
      <w:pPr>
        <w:numPr>
          <w:ilvl w:val="0"/>
          <w:numId w:val="19"/>
        </w:numPr>
        <w:spacing w:after="0" w:line="240" w:lineRule="auto"/>
        <w:rPr>
          <w:rFonts w:cstheme="minorHAnsi"/>
        </w:rPr>
      </w:pPr>
      <w:r w:rsidRPr="00C11EBB">
        <w:rPr>
          <w:rFonts w:cstheme="minorHAnsi"/>
        </w:rPr>
        <w:t>Interino, eventual y de sustitución.</w:t>
      </w:r>
    </w:p>
    <w:p w:rsidR="00C11EBB" w:rsidRDefault="00C11EBB" w:rsidP="00C11EBB">
      <w:pPr>
        <w:numPr>
          <w:ilvl w:val="0"/>
          <w:numId w:val="19"/>
        </w:numPr>
        <w:spacing w:after="0" w:line="240" w:lineRule="auto"/>
        <w:rPr>
          <w:rFonts w:cstheme="minorHAnsi"/>
        </w:rPr>
      </w:pPr>
      <w:r w:rsidRPr="00C11EBB">
        <w:rPr>
          <w:rFonts w:cstheme="minorHAnsi"/>
        </w:rPr>
        <w:t>Función desarrollada, nivel de título exigido para su ingreso y tipo de contrato.</w:t>
      </w:r>
    </w:p>
    <w:p w:rsidR="006C258F" w:rsidRPr="006C258F" w:rsidRDefault="006C258F" w:rsidP="006C258F">
      <w:pPr>
        <w:tabs>
          <w:tab w:val="left" w:pos="142"/>
        </w:tabs>
        <w:spacing w:after="0" w:line="240" w:lineRule="auto"/>
        <w:rPr>
          <w:rFonts w:cstheme="minorHAnsi"/>
          <w:b/>
          <w:bCs/>
          <w:color w:val="0070C0"/>
          <w:sz w:val="24"/>
          <w:szCs w:val="24"/>
        </w:rPr>
      </w:pPr>
      <w:r w:rsidRPr="006C258F">
        <w:rPr>
          <w:rFonts w:cstheme="minorHAnsi"/>
          <w:b/>
          <w:bCs/>
          <w:color w:val="0070C0"/>
          <w:sz w:val="24"/>
          <w:szCs w:val="24"/>
        </w:rPr>
        <w:t xml:space="preserve">A, </w:t>
      </w:r>
      <w:r w:rsidRPr="006C258F">
        <w:rPr>
          <w:rFonts w:ascii="Calibri" w:hAnsi="Calibri" w:cs="Calibri"/>
          <w:b/>
          <w:bCs/>
          <w:color w:val="0070C0"/>
          <w:sz w:val="24"/>
          <w:szCs w:val="24"/>
          <w:shd w:val="clear" w:color="auto" w:fill="FFFFFF"/>
        </w:rPr>
        <w:t>Es el art.5, en el ámbito estatutario no hay "contratos" como en el ámbito laboral, son nombramientos.</w:t>
      </w:r>
    </w:p>
    <w:p w:rsidR="00C11EBB" w:rsidRPr="006C258F" w:rsidRDefault="00C11EBB" w:rsidP="00C11EBB">
      <w:pPr>
        <w:spacing w:after="0" w:line="240" w:lineRule="auto"/>
        <w:rPr>
          <w:rFonts w:cstheme="minorHAnsi"/>
          <w:b/>
          <w:bCs/>
          <w:color w:val="0070C0"/>
          <w:sz w:val="24"/>
          <w:szCs w:val="24"/>
        </w:rPr>
      </w:pPr>
    </w:p>
    <w:p w:rsidR="00C11EBB" w:rsidRPr="00B543CC" w:rsidRDefault="00C11EBB" w:rsidP="00C11EBB">
      <w:pPr>
        <w:spacing w:after="0" w:line="240" w:lineRule="auto"/>
        <w:rPr>
          <w:rFonts w:cstheme="minorHAnsi"/>
          <w:b/>
          <w:bCs/>
        </w:rPr>
      </w:pPr>
      <w:r w:rsidRPr="00B543CC">
        <w:rPr>
          <w:rFonts w:cstheme="minorHAnsi"/>
          <w:b/>
          <w:bCs/>
        </w:rPr>
        <w:t>4 Existen cuatro principios básicos para la ética biomédica, que incluyen las siguientes obligaciones enumeradas a continuación, EXCEPTO:</w:t>
      </w:r>
    </w:p>
    <w:p w:rsidR="00C11EBB" w:rsidRPr="00C11EBB" w:rsidRDefault="00C11EBB" w:rsidP="006C258F">
      <w:pPr>
        <w:numPr>
          <w:ilvl w:val="0"/>
          <w:numId w:val="21"/>
        </w:numPr>
        <w:spacing w:after="0" w:line="240" w:lineRule="auto"/>
        <w:rPr>
          <w:rFonts w:cstheme="minorHAnsi"/>
        </w:rPr>
      </w:pPr>
      <w:r w:rsidRPr="00C11EBB">
        <w:rPr>
          <w:rFonts w:cstheme="minorHAnsi"/>
        </w:rPr>
        <w:t>Necesidad de garantizar la ley de cuidados inversos.</w:t>
      </w:r>
    </w:p>
    <w:p w:rsidR="00C11EBB" w:rsidRPr="00C11EBB" w:rsidRDefault="00C11EBB" w:rsidP="006C258F">
      <w:pPr>
        <w:numPr>
          <w:ilvl w:val="0"/>
          <w:numId w:val="21"/>
        </w:numPr>
        <w:spacing w:after="0" w:line="240" w:lineRule="auto"/>
        <w:rPr>
          <w:rFonts w:cstheme="minorHAnsi"/>
        </w:rPr>
      </w:pPr>
      <w:r w:rsidRPr="00C11EBB">
        <w:rPr>
          <w:rFonts w:cstheme="minorHAnsi"/>
        </w:rPr>
        <w:t>Ser imparcial eh la distribución de beneficios y costes.</w:t>
      </w:r>
    </w:p>
    <w:p w:rsidR="00C11EBB" w:rsidRPr="00C11EBB" w:rsidRDefault="00C11EBB" w:rsidP="006C258F">
      <w:pPr>
        <w:numPr>
          <w:ilvl w:val="0"/>
          <w:numId w:val="21"/>
        </w:numPr>
        <w:spacing w:after="0" w:line="240" w:lineRule="auto"/>
        <w:rPr>
          <w:rFonts w:cstheme="minorHAnsi"/>
        </w:rPr>
      </w:pPr>
      <w:r w:rsidRPr="00C11EBB">
        <w:rPr>
          <w:rFonts w:cstheme="minorHAnsi"/>
        </w:rPr>
        <w:t>Evitar acciones que produzcan daños.</w:t>
      </w:r>
      <w:r w:rsidRPr="00C11EBB">
        <w:rPr>
          <w:rFonts w:cstheme="minorHAnsi"/>
        </w:rPr>
        <w:tab/>
      </w:r>
    </w:p>
    <w:p w:rsidR="00C11EBB" w:rsidRDefault="00C11EBB" w:rsidP="006C258F">
      <w:pPr>
        <w:numPr>
          <w:ilvl w:val="0"/>
          <w:numId w:val="21"/>
        </w:numPr>
        <w:spacing w:after="0" w:line="240" w:lineRule="auto"/>
        <w:rPr>
          <w:rFonts w:cstheme="minorHAnsi"/>
        </w:rPr>
      </w:pPr>
      <w:r w:rsidRPr="00C11EBB">
        <w:rPr>
          <w:rFonts w:cstheme="minorHAnsi"/>
        </w:rPr>
        <w:t>Contrapesar los beneficios frente a los riesgos.</w:t>
      </w:r>
    </w:p>
    <w:p w:rsidR="00B543CC" w:rsidRPr="00C11EBB" w:rsidRDefault="00B543CC" w:rsidP="00B543CC">
      <w:pPr>
        <w:spacing w:after="0" w:line="240" w:lineRule="auto"/>
        <w:ind w:left="142"/>
        <w:rPr>
          <w:rFonts w:cstheme="minorHAnsi"/>
        </w:rPr>
      </w:pPr>
      <w:r w:rsidRPr="00B543CC">
        <w:rPr>
          <w:rFonts w:cstheme="minorHAnsi"/>
          <w:b/>
          <w:bCs/>
          <w:color w:val="0070C0"/>
          <w:sz w:val="24"/>
          <w:szCs w:val="24"/>
        </w:rPr>
        <w:t>A</w:t>
      </w:r>
      <w:r>
        <w:rPr>
          <w:rFonts w:cstheme="minorHAnsi"/>
        </w:rPr>
        <w:t xml:space="preserve">, </w:t>
      </w:r>
      <w:r w:rsidR="00F613F9" w:rsidRPr="00F613F9">
        <w:rPr>
          <w:rFonts w:cstheme="minorHAnsi"/>
          <w:b/>
          <w:color w:val="0070C0"/>
          <w:sz w:val="24"/>
          <w:szCs w:val="24"/>
        </w:rPr>
        <w:t>ya que</w:t>
      </w:r>
      <w:r w:rsidR="00F613F9">
        <w:rPr>
          <w:rFonts w:cstheme="minorHAnsi"/>
        </w:rPr>
        <w:t xml:space="preserve"> </w:t>
      </w:r>
      <w:r w:rsidR="00F613F9" w:rsidRPr="00F613F9">
        <w:rPr>
          <w:rFonts w:cstheme="minorHAnsi"/>
          <w:b/>
          <w:color w:val="0070C0"/>
          <w:sz w:val="24"/>
          <w:szCs w:val="24"/>
        </w:rPr>
        <w:t>no se puede</w:t>
      </w:r>
      <w:r w:rsidR="00F613F9">
        <w:rPr>
          <w:rFonts w:cstheme="minorHAnsi"/>
          <w:b/>
          <w:color w:val="0070C0"/>
          <w:sz w:val="24"/>
          <w:szCs w:val="24"/>
        </w:rPr>
        <w:t xml:space="preserve"> garantizar la ley de cuidados inversos, sino procurar que no se cumpla; B, C y D son ciertas</w:t>
      </w:r>
    </w:p>
    <w:p w:rsidR="00C11EBB" w:rsidRDefault="00C11EBB" w:rsidP="00C11EBB">
      <w:pPr>
        <w:spacing w:after="0" w:line="240" w:lineRule="auto"/>
        <w:rPr>
          <w:rFonts w:cstheme="minorHAnsi"/>
        </w:rPr>
      </w:pPr>
    </w:p>
    <w:p w:rsidR="00C11EBB" w:rsidRDefault="00C11EBB" w:rsidP="00C11EBB">
      <w:pPr>
        <w:spacing w:after="0" w:line="240" w:lineRule="auto"/>
        <w:rPr>
          <w:rFonts w:cstheme="minorHAnsi"/>
        </w:rPr>
      </w:pPr>
    </w:p>
    <w:p w:rsidR="00C11EBB" w:rsidRPr="00C11EBB" w:rsidRDefault="00C11EBB" w:rsidP="00C11EBB">
      <w:pPr>
        <w:spacing w:after="0" w:line="240" w:lineRule="auto"/>
        <w:rPr>
          <w:rFonts w:cstheme="minorHAnsi"/>
          <w:b/>
          <w:bCs/>
        </w:rPr>
      </w:pPr>
      <w:r>
        <w:rPr>
          <w:rFonts w:cstheme="minorHAnsi"/>
        </w:rPr>
        <w:t xml:space="preserve">5 </w:t>
      </w:r>
      <w:r w:rsidRPr="00C11EBB">
        <w:rPr>
          <w:rFonts w:cstheme="minorHAnsi"/>
          <w:b/>
          <w:bCs/>
        </w:rPr>
        <w:t>Señale la materia que está EXCLUIDA de la obligatoriedad de negociación en las Mesas Generales de</w:t>
      </w:r>
    </w:p>
    <w:p w:rsidR="00C11EBB" w:rsidRPr="00C11EBB" w:rsidRDefault="00C11EBB" w:rsidP="00C11EBB">
      <w:pPr>
        <w:spacing w:after="0" w:line="240" w:lineRule="auto"/>
        <w:rPr>
          <w:rFonts w:cstheme="minorHAnsi"/>
          <w:b/>
          <w:bCs/>
        </w:rPr>
      </w:pPr>
      <w:r w:rsidRPr="00C11EBB">
        <w:rPr>
          <w:rFonts w:cstheme="minorHAnsi"/>
          <w:b/>
          <w:bCs/>
        </w:rPr>
        <w:t>Negociación, según regula el artículo 37 del texto refundido de la Ley del Estatuto Básico del Empleado Público:</w:t>
      </w:r>
    </w:p>
    <w:p w:rsidR="00C11EBB" w:rsidRPr="00C11EBB" w:rsidRDefault="00C11EBB" w:rsidP="006C258F">
      <w:pPr>
        <w:numPr>
          <w:ilvl w:val="0"/>
          <w:numId w:val="22"/>
        </w:numPr>
        <w:spacing w:after="0" w:line="240" w:lineRule="auto"/>
        <w:rPr>
          <w:rFonts w:cstheme="minorHAnsi"/>
        </w:rPr>
      </w:pPr>
      <w:r w:rsidRPr="00C11EBB">
        <w:rPr>
          <w:rFonts w:cstheme="minorHAnsi"/>
        </w:rPr>
        <w:t>Los criterios generales de acción social.</w:t>
      </w:r>
    </w:p>
    <w:p w:rsidR="00C11EBB" w:rsidRPr="00C11EBB" w:rsidRDefault="00C11EBB" w:rsidP="006C258F">
      <w:pPr>
        <w:numPr>
          <w:ilvl w:val="0"/>
          <w:numId w:val="22"/>
        </w:numPr>
        <w:spacing w:after="0" w:line="240" w:lineRule="auto"/>
        <w:rPr>
          <w:rFonts w:cstheme="minorHAnsi"/>
        </w:rPr>
      </w:pPr>
      <w:r w:rsidRPr="00C11EBB">
        <w:rPr>
          <w:rFonts w:cstheme="minorHAnsi"/>
        </w:rPr>
        <w:t xml:space="preserve">La regulación del ejercicio de </w:t>
      </w:r>
      <w:proofErr w:type="spellStart"/>
      <w:r w:rsidRPr="00C11EBB">
        <w:rPr>
          <w:rFonts w:cstheme="minorHAnsi"/>
        </w:rPr>
        <w:t>loA</w:t>
      </w:r>
      <w:proofErr w:type="spellEnd"/>
      <w:r w:rsidRPr="00C11EBB">
        <w:rPr>
          <w:rFonts w:cstheme="minorHAnsi"/>
        </w:rPr>
        <w:t xml:space="preserve"> derechos de los ciudadanos y de los Usuarios de los servicios públicos.</w:t>
      </w:r>
    </w:p>
    <w:p w:rsidR="00C11EBB" w:rsidRPr="00C11EBB" w:rsidRDefault="00C11EBB" w:rsidP="006C258F">
      <w:pPr>
        <w:numPr>
          <w:ilvl w:val="0"/>
          <w:numId w:val="22"/>
        </w:numPr>
        <w:spacing w:after="0" w:line="240" w:lineRule="auto"/>
        <w:rPr>
          <w:rFonts w:cstheme="minorHAnsi"/>
        </w:rPr>
      </w:pPr>
      <w:r w:rsidRPr="00C11EBB">
        <w:rPr>
          <w:rFonts w:cstheme="minorHAnsi"/>
        </w:rPr>
        <w:t>Los criterios generales sobre ofertas de empleo público.</w:t>
      </w:r>
    </w:p>
    <w:p w:rsidR="00C11EBB" w:rsidRPr="006C258F" w:rsidRDefault="00C11EBB" w:rsidP="00C11EBB">
      <w:pPr>
        <w:numPr>
          <w:ilvl w:val="0"/>
          <w:numId w:val="22"/>
        </w:numPr>
        <w:spacing w:after="0" w:line="240" w:lineRule="auto"/>
        <w:rPr>
          <w:rFonts w:cstheme="minorHAnsi"/>
        </w:rPr>
      </w:pPr>
      <w:r w:rsidRPr="00C11EBB">
        <w:rPr>
          <w:rFonts w:cstheme="minorHAnsi"/>
        </w:rPr>
        <w:t>Las referidas a calendario laboral, horarios, jornadas y vacaciones.</w:t>
      </w:r>
    </w:p>
    <w:p w:rsidR="006C258F" w:rsidRPr="006C258F" w:rsidRDefault="006C258F" w:rsidP="00C11EBB">
      <w:pPr>
        <w:spacing w:after="0" w:line="240" w:lineRule="auto"/>
        <w:rPr>
          <w:rFonts w:cstheme="minorHAnsi"/>
          <w:b/>
          <w:bCs/>
          <w:color w:val="0070C0"/>
          <w:sz w:val="24"/>
          <w:szCs w:val="24"/>
        </w:rPr>
        <w:sectPr w:rsidR="006C258F" w:rsidRPr="006C258F" w:rsidSect="00E87FEF">
          <w:pgSz w:w="11923" w:h="16824"/>
          <w:pgMar w:top="1418" w:right="917" w:bottom="377" w:left="1032" w:header="720" w:footer="720" w:gutter="0"/>
          <w:cols w:space="720"/>
        </w:sectPr>
      </w:pPr>
      <w:r w:rsidRPr="006C258F">
        <w:rPr>
          <w:rFonts w:cstheme="minorHAnsi"/>
          <w:b/>
          <w:bCs/>
          <w:color w:val="0070C0"/>
          <w:sz w:val="24"/>
          <w:szCs w:val="24"/>
        </w:rPr>
        <w:t xml:space="preserve">B, </w:t>
      </w:r>
      <w:r w:rsidRPr="006C258F">
        <w:rPr>
          <w:rFonts w:ascii="Calibri" w:hAnsi="Calibri" w:cs="Calibri"/>
          <w:b/>
          <w:bCs/>
          <w:color w:val="0070C0"/>
          <w:sz w:val="24"/>
          <w:szCs w:val="24"/>
          <w:shd w:val="clear" w:color="auto" w:fill="FFFFFF"/>
        </w:rPr>
        <w:t>queda expresamente excluida por el art.</w:t>
      </w:r>
      <w:r>
        <w:rPr>
          <w:rFonts w:ascii="Calibri" w:hAnsi="Calibri" w:cs="Calibri"/>
          <w:b/>
          <w:bCs/>
          <w:color w:val="0070C0"/>
          <w:sz w:val="24"/>
          <w:szCs w:val="24"/>
          <w:shd w:val="clear" w:color="auto" w:fill="FFFFFF"/>
        </w:rPr>
        <w:t xml:space="preserve"> </w:t>
      </w:r>
      <w:r w:rsidRPr="006C258F">
        <w:rPr>
          <w:rFonts w:ascii="Calibri" w:hAnsi="Calibri" w:cs="Calibri"/>
          <w:b/>
          <w:bCs/>
          <w:color w:val="0070C0"/>
          <w:sz w:val="24"/>
          <w:szCs w:val="24"/>
          <w:shd w:val="clear" w:color="auto" w:fill="FFFFFF"/>
        </w:rPr>
        <w:t>37.</w:t>
      </w:r>
      <w:r>
        <w:rPr>
          <w:rFonts w:ascii="Calibri" w:hAnsi="Calibri" w:cs="Calibri"/>
          <w:b/>
          <w:bCs/>
          <w:color w:val="0070C0"/>
          <w:sz w:val="24"/>
          <w:szCs w:val="24"/>
          <w:shd w:val="clear" w:color="auto" w:fill="FFFFFF"/>
        </w:rPr>
        <w:t xml:space="preserve"> </w:t>
      </w:r>
      <w:r w:rsidRPr="006C258F">
        <w:rPr>
          <w:rFonts w:ascii="Calibri" w:hAnsi="Calibri" w:cs="Calibri"/>
          <w:b/>
          <w:bCs/>
          <w:color w:val="0070C0"/>
          <w:sz w:val="24"/>
          <w:szCs w:val="24"/>
          <w:shd w:val="clear" w:color="auto" w:fill="FFFFFF"/>
        </w:rPr>
        <w:t>2.</w:t>
      </w:r>
      <w:r>
        <w:rPr>
          <w:rFonts w:ascii="Calibri" w:hAnsi="Calibri" w:cs="Calibri"/>
          <w:b/>
          <w:bCs/>
          <w:color w:val="0070C0"/>
          <w:sz w:val="24"/>
          <w:szCs w:val="24"/>
          <w:shd w:val="clear" w:color="auto" w:fill="FFFFFF"/>
        </w:rPr>
        <w:t xml:space="preserve"> </w:t>
      </w:r>
      <w:r w:rsidRPr="006C258F">
        <w:rPr>
          <w:rFonts w:ascii="Calibri" w:hAnsi="Calibri" w:cs="Calibri"/>
          <w:b/>
          <w:bCs/>
          <w:color w:val="0070C0"/>
          <w:sz w:val="24"/>
          <w:szCs w:val="24"/>
          <w:shd w:val="clear" w:color="auto" w:fill="FFFFFF"/>
        </w:rPr>
        <w:t>b).</w:t>
      </w:r>
    </w:p>
    <w:p w:rsidR="00C11EBB" w:rsidRPr="00C11EBB" w:rsidRDefault="00FA4AD2" w:rsidP="00C11EBB">
      <w:pPr>
        <w:spacing w:after="0" w:line="240" w:lineRule="auto"/>
        <w:rPr>
          <w:rFonts w:cstheme="minorHAnsi"/>
          <w:b/>
          <w:bCs/>
        </w:rPr>
      </w:pPr>
      <w:r>
        <w:rPr>
          <w:rFonts w:cstheme="minorHAnsi"/>
          <w:b/>
          <w:bCs/>
          <w:noProof/>
        </w:rPr>
        <w:lastRenderedPageBreak/>
        <w:pict>
          <v:line id="Conector recto 2" o:spid="_x0000_s1026" style="position:absolute;z-index:251664384;visibility:visible;mso-wrap-distance-left:0;mso-wrap-distance-right:0;mso-position-horizontal-relative:page;mso-position-vertical-relative:page" from="582.95pt,21.1pt" to="582.95pt,5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" o:allowincell="f" strokeweight=".7pt">
            <w10:wrap type="square" anchorx="page" anchory="page"/>
          </v:line>
        </w:pict>
      </w:r>
      <w:r w:rsidR="00C11EBB" w:rsidRPr="00C11EBB">
        <w:rPr>
          <w:rFonts w:cstheme="minorHAnsi"/>
          <w:b/>
          <w:bCs/>
        </w:rPr>
        <w:t xml:space="preserve">6 El programa </w:t>
      </w:r>
      <w:proofErr w:type="spellStart"/>
      <w:r w:rsidR="00C11EBB" w:rsidRPr="00C11EBB">
        <w:rPr>
          <w:rFonts w:cstheme="minorHAnsi"/>
          <w:b/>
          <w:bCs/>
        </w:rPr>
        <w:t>SINTESiS</w:t>
      </w:r>
      <w:proofErr w:type="spellEnd"/>
      <w:r w:rsidR="00C11EBB" w:rsidRPr="00C11EBB">
        <w:rPr>
          <w:rFonts w:cstheme="minorHAnsi"/>
          <w:b/>
          <w:bCs/>
        </w:rPr>
        <w:t xml:space="preserve"> de la Agencia Española de Evaluación de Tecnologías Sanitarias permite:</w:t>
      </w:r>
    </w:p>
    <w:p w:rsidR="00C11EBB" w:rsidRPr="00C11EBB" w:rsidRDefault="00C11EBB" w:rsidP="00C11EBB">
      <w:pPr>
        <w:numPr>
          <w:ilvl w:val="0"/>
          <w:numId w:val="20"/>
        </w:numPr>
        <w:spacing w:after="0" w:line="240" w:lineRule="auto"/>
        <w:rPr>
          <w:rFonts w:cstheme="minorHAnsi"/>
        </w:rPr>
      </w:pPr>
      <w:r w:rsidRPr="00C11EBB">
        <w:rPr>
          <w:rFonts w:cstheme="minorHAnsi"/>
        </w:rPr>
        <w:t>Detectar tecnologías sanitarias huevas y emergentes.</w:t>
      </w:r>
    </w:p>
    <w:p w:rsidR="00C11EBB" w:rsidRPr="00C11EBB" w:rsidRDefault="00FA4AD2" w:rsidP="00C11EBB">
      <w:pPr>
        <w:numPr>
          <w:ilvl w:val="0"/>
          <w:numId w:val="20"/>
        </w:numPr>
        <w:spacing w:after="0" w:line="240" w:lineRule="auto"/>
        <w:rPr>
          <w:rFonts w:cstheme="minorHAnsi"/>
        </w:rPr>
      </w:pPr>
      <w:r>
        <w:rPr>
          <w:rFonts w:cstheme="minorHAnsi"/>
          <w:noProof/>
        </w:rPr>
        <w:pict>
          <v:line id="Conector recto 1" o:spid="_x0000_s1027" style="position:absolute;left:0;text-align:left;z-index:251665408;visibility:visible;mso-wrap-distance-left:0;mso-wrap-distance-right:0;mso-position-horizontal-relative:page;mso-position-vertical-relative:page" from="582.5pt,63.85pt" to="582.5pt,9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" o:allowincell="f" strokeweight=".5pt">
            <w10:wrap type="square" anchorx="page" anchory="page"/>
          </v:line>
        </w:pict>
      </w:r>
      <w:r w:rsidR="00C11EBB" w:rsidRPr="00C11EBB">
        <w:rPr>
          <w:rFonts w:cstheme="minorHAnsi"/>
        </w:rPr>
        <w:t>Organizar la red de Centros, Servicios y Unidades de referencia del Sistema Nacional de Salud.</w:t>
      </w:r>
    </w:p>
    <w:p w:rsidR="00C11EBB" w:rsidRDefault="00C11EBB" w:rsidP="00C11EBB">
      <w:pPr>
        <w:numPr>
          <w:ilvl w:val="0"/>
          <w:numId w:val="20"/>
        </w:numPr>
        <w:spacing w:after="0" w:line="240" w:lineRule="auto"/>
        <w:rPr>
          <w:rFonts w:cstheme="minorHAnsi"/>
        </w:rPr>
      </w:pPr>
      <w:r w:rsidRPr="00C11EBB">
        <w:rPr>
          <w:rFonts w:cstheme="minorHAnsi"/>
        </w:rPr>
        <w:t xml:space="preserve">Listar los Productos Sanitarios de la Agencia Española del Medicamento. </w:t>
      </w:r>
    </w:p>
    <w:p w:rsidR="00C11EBB" w:rsidRDefault="00C11EBB" w:rsidP="00C11EBB">
      <w:pPr>
        <w:numPr>
          <w:ilvl w:val="0"/>
          <w:numId w:val="20"/>
        </w:numPr>
        <w:spacing w:after="0" w:line="240" w:lineRule="auto"/>
        <w:rPr>
          <w:rFonts w:cstheme="minorHAnsi"/>
        </w:rPr>
      </w:pPr>
      <w:r w:rsidRPr="00C11EBB">
        <w:rPr>
          <w:rFonts w:cstheme="minorHAnsi"/>
        </w:rPr>
        <w:t>Realizar informes legales de</w:t>
      </w:r>
      <w:r w:rsidR="00A458AF">
        <w:rPr>
          <w:rFonts w:cstheme="minorHAnsi"/>
        </w:rPr>
        <w:t xml:space="preserve"> </w:t>
      </w:r>
      <w:r w:rsidRPr="00C11EBB">
        <w:rPr>
          <w:rFonts w:cstheme="minorHAnsi"/>
        </w:rPr>
        <w:t>las Tecnologías Sanitarias.</w:t>
      </w:r>
    </w:p>
    <w:p w:rsidR="00147679" w:rsidRPr="00147679" w:rsidRDefault="00A458AF" w:rsidP="00147679">
      <w:pPr>
        <w:spacing w:after="0" w:line="240" w:lineRule="auto"/>
        <w:rPr>
          <w:rFonts w:cstheme="minorHAnsi"/>
          <w:b/>
          <w:bCs/>
          <w:color w:val="0070C0"/>
          <w:sz w:val="24"/>
          <w:szCs w:val="24"/>
        </w:rPr>
      </w:pPr>
      <w:r w:rsidRPr="00147679">
        <w:rPr>
          <w:rFonts w:cstheme="minorHAnsi"/>
          <w:b/>
          <w:bCs/>
          <w:color w:val="0070C0"/>
          <w:sz w:val="24"/>
          <w:szCs w:val="24"/>
        </w:rPr>
        <w:t xml:space="preserve">A, </w:t>
      </w:r>
      <w:r w:rsidR="00147679" w:rsidRPr="00147679">
        <w:rPr>
          <w:rFonts w:cstheme="minorHAnsi"/>
          <w:b/>
          <w:bCs/>
          <w:color w:val="0070C0"/>
          <w:sz w:val="24"/>
          <w:szCs w:val="24"/>
        </w:rPr>
        <w:t>El objetivo fundamental del informe que detalla el programa SINTESIS fue describir el sistema de detección de tecnologías sanitarias nuevas y emergentes de la Agencia de Evaluación de Tecnologías Sanitarias (AETS) del Instituto de Salud Carlos III: «SINTESIS - nuevas tecnologías», y conocer el desarrollo y funcionamiento de sistemas similares de otras instituciones de ámbito nacional e internacional. La publicación de este documento es del año 2003.</w:t>
      </w:r>
    </w:p>
    <w:p w:rsidR="00147679" w:rsidRPr="00147679" w:rsidRDefault="00147679" w:rsidP="00147679">
      <w:pPr>
        <w:spacing w:after="0" w:line="240" w:lineRule="auto"/>
        <w:rPr>
          <w:rFonts w:cstheme="minorHAnsi"/>
          <w:b/>
          <w:bCs/>
          <w:color w:val="0070C0"/>
        </w:rPr>
      </w:pPr>
      <w:r w:rsidRPr="00147679">
        <w:rPr>
          <w:rFonts w:cstheme="minorHAnsi"/>
          <w:b/>
          <w:bCs/>
          <w:color w:val="0070C0"/>
        </w:rPr>
        <w:t>Hacer referencia a este proyecto es dejar al margen de la realidad, lo que ha sucedido en España en los últimos 20 años en materia de evaluación de tecnologías sanitarias, entre ellas, la creación de la Red Española de Agencias de Evaluación de Tecnologías Sanitarias y Prestaciones del Sistema Nacional de Salud (</w:t>
      </w:r>
      <w:proofErr w:type="spellStart"/>
      <w:r w:rsidRPr="00147679">
        <w:rPr>
          <w:rFonts w:cstheme="minorHAnsi"/>
          <w:b/>
          <w:bCs/>
          <w:color w:val="0070C0"/>
        </w:rPr>
        <w:t>RedETS</w:t>
      </w:r>
      <w:proofErr w:type="spellEnd"/>
      <w:r w:rsidRPr="00147679">
        <w:rPr>
          <w:rFonts w:cstheme="minorHAnsi"/>
          <w:b/>
          <w:bCs/>
          <w:color w:val="0070C0"/>
        </w:rPr>
        <w:t>).</w:t>
      </w:r>
    </w:p>
    <w:p w:rsidR="00147679" w:rsidRPr="00147679" w:rsidRDefault="00147679" w:rsidP="00147679">
      <w:pPr>
        <w:spacing w:after="0" w:line="240" w:lineRule="auto"/>
        <w:rPr>
          <w:rFonts w:cstheme="minorHAnsi"/>
          <w:b/>
          <w:bCs/>
          <w:color w:val="0070C0"/>
        </w:rPr>
      </w:pPr>
      <w:r w:rsidRPr="00147679">
        <w:rPr>
          <w:rFonts w:cstheme="minorHAnsi"/>
          <w:b/>
          <w:bCs/>
          <w:color w:val="0070C0"/>
        </w:rPr>
        <w:t xml:space="preserve">En el año 2017 se publicó el Plan de Actuaciones en la Detección Temprana de Tecnologías Nuevas y Emergentes en la </w:t>
      </w:r>
      <w:proofErr w:type="spellStart"/>
      <w:r w:rsidRPr="00147679">
        <w:rPr>
          <w:rFonts w:cstheme="minorHAnsi"/>
          <w:b/>
          <w:bCs/>
          <w:color w:val="0070C0"/>
        </w:rPr>
        <w:t>RedETS</w:t>
      </w:r>
      <w:proofErr w:type="spellEnd"/>
      <w:r w:rsidRPr="00147679">
        <w:rPr>
          <w:rFonts w:cstheme="minorHAnsi"/>
          <w:b/>
          <w:bCs/>
          <w:color w:val="0070C0"/>
        </w:rPr>
        <w:t>. Guía de procedimiento. [https://redets.sanidad.gob.es/productos/buscarProductos.do]</w:t>
      </w:r>
    </w:p>
    <w:p w:rsidR="00147679" w:rsidRPr="00147679" w:rsidRDefault="00147679" w:rsidP="00147679">
      <w:pPr>
        <w:spacing w:after="0" w:line="240" w:lineRule="auto"/>
        <w:rPr>
          <w:rFonts w:cstheme="minorHAnsi"/>
          <w:b/>
          <w:bCs/>
          <w:color w:val="0070C0"/>
        </w:rPr>
      </w:pPr>
      <w:r w:rsidRPr="00147679">
        <w:rPr>
          <w:rFonts w:cstheme="minorHAnsi"/>
          <w:b/>
          <w:bCs/>
          <w:color w:val="0070C0"/>
        </w:rPr>
        <w:t>Este documento nos informa que, en España, en 2006 y en el marco del Plan de Calidad del Sistema Nacional de Salud entonces vigente, se creó el Grupo de Evaluación de Nuevas Tecnologías Sanitarias “</w:t>
      </w:r>
      <w:proofErr w:type="spellStart"/>
      <w:r w:rsidRPr="00147679">
        <w:rPr>
          <w:rFonts w:cstheme="minorHAnsi"/>
          <w:b/>
          <w:bCs/>
          <w:color w:val="0070C0"/>
        </w:rPr>
        <w:t>GENTecS</w:t>
      </w:r>
      <w:proofErr w:type="spellEnd"/>
      <w:r w:rsidRPr="00147679">
        <w:rPr>
          <w:rFonts w:cstheme="minorHAnsi"/>
          <w:b/>
          <w:bCs/>
          <w:color w:val="0070C0"/>
        </w:rPr>
        <w:t>”, que se configuró como la red española para la identificación de tecnologías sanitarias emergentes y evaluación temprana.</w:t>
      </w:r>
    </w:p>
    <w:p w:rsidR="00147679" w:rsidRPr="00147679" w:rsidRDefault="00147679" w:rsidP="00147679">
      <w:pPr>
        <w:spacing w:after="0" w:line="240" w:lineRule="auto"/>
        <w:rPr>
          <w:rFonts w:cstheme="minorHAnsi"/>
          <w:b/>
          <w:bCs/>
          <w:color w:val="0070C0"/>
        </w:rPr>
      </w:pPr>
      <w:r w:rsidRPr="00147679">
        <w:rPr>
          <w:rFonts w:cstheme="minorHAnsi"/>
          <w:b/>
          <w:bCs/>
          <w:color w:val="0070C0"/>
        </w:rPr>
        <w:t xml:space="preserve">La finalidad de </w:t>
      </w:r>
      <w:proofErr w:type="spellStart"/>
      <w:r w:rsidRPr="00147679">
        <w:rPr>
          <w:rFonts w:cstheme="minorHAnsi"/>
          <w:b/>
          <w:bCs/>
          <w:color w:val="0070C0"/>
        </w:rPr>
        <w:t>GENTecS</w:t>
      </w:r>
      <w:proofErr w:type="spellEnd"/>
      <w:r w:rsidRPr="00147679">
        <w:rPr>
          <w:rFonts w:cstheme="minorHAnsi"/>
          <w:b/>
          <w:bCs/>
          <w:color w:val="0070C0"/>
        </w:rPr>
        <w:t xml:space="preserve"> ha sido identificar tecnologías sanitarias nuevas y emergentes susceptibles de evaluación y evaluar las tecnologías seleccionadas, compartiendo información estratégica sobre estas tecnologías y sus posibles impactos. La red </w:t>
      </w:r>
      <w:proofErr w:type="spellStart"/>
      <w:r w:rsidRPr="00147679">
        <w:rPr>
          <w:rFonts w:cstheme="minorHAnsi"/>
          <w:b/>
          <w:bCs/>
          <w:color w:val="0070C0"/>
        </w:rPr>
        <w:t>GENTecS</w:t>
      </w:r>
      <w:proofErr w:type="spellEnd"/>
      <w:r w:rsidRPr="00147679">
        <w:rPr>
          <w:rFonts w:cstheme="minorHAnsi"/>
          <w:b/>
          <w:bCs/>
          <w:color w:val="0070C0"/>
        </w:rPr>
        <w:t xml:space="preserve"> pretendía dotar al Sistema Nacional de Salud de información útil y a tiempo sobre las tecnologías nuevas y emergentes que podrían impactar de manera clave sobre los sistemas sanitarios incluyendo nuevas aplicaciones de tecnologías ya existentes. Igualmente, permitía, a través de una base de datos común de tecnologías sanitarias nuevas y emergentes, la coordinación entre los distintos sistemas de detección de tecnologías emergentes de las agencias participantes, evitando redundancias y mejorando la eficiencia del proceso.</w:t>
      </w:r>
    </w:p>
    <w:p w:rsidR="00147679" w:rsidRPr="00147679" w:rsidRDefault="00147679" w:rsidP="00147679">
      <w:pPr>
        <w:spacing w:after="0" w:line="240" w:lineRule="auto"/>
        <w:rPr>
          <w:rFonts w:cstheme="minorHAnsi"/>
          <w:b/>
          <w:bCs/>
          <w:color w:val="0070C0"/>
        </w:rPr>
      </w:pPr>
      <w:r w:rsidRPr="00147679">
        <w:rPr>
          <w:rFonts w:cstheme="minorHAnsi"/>
          <w:b/>
          <w:bCs/>
          <w:color w:val="0070C0"/>
        </w:rPr>
        <w:t xml:space="preserve">En este mismo documento de 2017, se informa que a través de la Orden SCO/3422/2007, de 21 de noviembre, por la que se desarrolla el procedimiento de actualización de la cartera de servicios comunes del Sistema Nacional de Salud, recogió formalmente, en su Artículo 4, la referencia a este sistema colaborativo para la detección de técnicas, tecnologías y procedimientos emergentes (es decir, en la actualidad, en el marco de </w:t>
      </w:r>
      <w:proofErr w:type="spellStart"/>
      <w:r w:rsidRPr="00147679">
        <w:rPr>
          <w:rFonts w:cstheme="minorHAnsi"/>
          <w:b/>
          <w:bCs/>
          <w:color w:val="0070C0"/>
        </w:rPr>
        <w:t>RedETS</w:t>
      </w:r>
      <w:proofErr w:type="spellEnd"/>
      <w:r w:rsidRPr="00147679">
        <w:rPr>
          <w:rFonts w:cstheme="minorHAnsi"/>
          <w:b/>
          <w:bCs/>
          <w:color w:val="0070C0"/>
        </w:rPr>
        <w:t>) y es el documento que aplica para la identificación y evaluación de tecnologías nuevas y emergentes en España actualmente.</w:t>
      </w:r>
    </w:p>
    <w:p w:rsidR="00C11EBB" w:rsidRPr="00147679" w:rsidRDefault="00147679" w:rsidP="00C11EBB">
      <w:pPr>
        <w:spacing w:after="0" w:line="240" w:lineRule="auto"/>
        <w:rPr>
          <w:rFonts w:cstheme="minorHAnsi"/>
          <w:b/>
          <w:bCs/>
          <w:color w:val="0070C0"/>
        </w:rPr>
      </w:pPr>
      <w:r w:rsidRPr="00147679">
        <w:rPr>
          <w:rFonts w:cstheme="minorHAnsi"/>
          <w:b/>
          <w:bCs/>
          <w:color w:val="0070C0"/>
        </w:rPr>
        <w:t>Por tanto, pregunta muy interesante de historia que poco tiene que ver con la realidad actual en España en materia de evaluación de tecnologías sanitarias nuevas y emergentes, dado que todo lo referente a la detección de tecnologías sanitarias nuevas y emergentes en España, a día de hoy se recoge en el documento referido anteriormente y publicado en el año 2017.</w:t>
      </w:r>
    </w:p>
    <w:p w:rsidR="00147679" w:rsidRDefault="00147679" w:rsidP="00C11EBB">
      <w:pPr>
        <w:spacing w:after="0" w:line="240" w:lineRule="auto"/>
        <w:rPr>
          <w:rFonts w:cstheme="minorHAnsi"/>
          <w:b/>
          <w:bCs/>
        </w:rPr>
      </w:pPr>
    </w:p>
    <w:p w:rsidR="00147679" w:rsidRDefault="00147679" w:rsidP="00C11EBB">
      <w:pPr>
        <w:spacing w:after="0" w:line="240" w:lineRule="auto"/>
        <w:rPr>
          <w:rFonts w:cstheme="minorHAnsi"/>
          <w:b/>
          <w:bCs/>
        </w:rPr>
      </w:pPr>
    </w:p>
    <w:p w:rsidR="00147679" w:rsidRDefault="00147679" w:rsidP="00C11EBB">
      <w:pPr>
        <w:spacing w:after="0" w:line="240" w:lineRule="auto"/>
        <w:rPr>
          <w:rFonts w:cstheme="minorHAnsi"/>
          <w:b/>
          <w:bCs/>
        </w:rPr>
      </w:pPr>
    </w:p>
    <w:p w:rsidR="00147679" w:rsidRDefault="00147679" w:rsidP="00C11EBB">
      <w:pPr>
        <w:spacing w:after="0" w:line="240" w:lineRule="auto"/>
        <w:rPr>
          <w:rFonts w:cstheme="minorHAnsi"/>
          <w:b/>
          <w:bCs/>
        </w:rPr>
      </w:pPr>
    </w:p>
    <w:p w:rsidR="00C11EBB" w:rsidRPr="00C11EBB" w:rsidRDefault="00C11EBB" w:rsidP="00C11EBB">
      <w:pPr>
        <w:spacing w:after="0" w:line="240" w:lineRule="auto"/>
        <w:rPr>
          <w:rFonts w:cstheme="minorHAnsi"/>
          <w:b/>
          <w:bCs/>
        </w:rPr>
      </w:pPr>
      <w:r w:rsidRPr="00C11EBB">
        <w:rPr>
          <w:rFonts w:cstheme="minorHAnsi"/>
          <w:b/>
          <w:bCs/>
        </w:rPr>
        <w:lastRenderedPageBreak/>
        <w:t xml:space="preserve">7 ¿De </w:t>
      </w:r>
      <w:r w:rsidR="00A458AF" w:rsidRPr="00C11EBB">
        <w:rPr>
          <w:rFonts w:cstheme="minorHAnsi"/>
          <w:b/>
          <w:bCs/>
        </w:rPr>
        <w:t>quién</w:t>
      </w:r>
      <w:r w:rsidRPr="00C11EBB">
        <w:rPr>
          <w:rFonts w:cstheme="minorHAnsi"/>
          <w:b/>
          <w:bCs/>
        </w:rPr>
        <w:t xml:space="preserve"> es competencia la definición y la iniciativa en la actualización de la Cartera de Servicios del Sistema de Salud de Aragón?:</w:t>
      </w:r>
    </w:p>
    <w:p w:rsidR="00C11EBB" w:rsidRPr="00C11EBB" w:rsidRDefault="00C11EBB" w:rsidP="00C11EBB">
      <w:pPr>
        <w:numPr>
          <w:ilvl w:val="0"/>
          <w:numId w:val="12"/>
        </w:numPr>
        <w:spacing w:after="0" w:line="240" w:lineRule="auto"/>
        <w:rPr>
          <w:rFonts w:cstheme="minorHAnsi"/>
        </w:rPr>
      </w:pPr>
      <w:r w:rsidRPr="00C11EBB">
        <w:rPr>
          <w:rFonts w:cstheme="minorHAnsi"/>
        </w:rPr>
        <w:t>Dirección General de Transformación Digital, Innovación y Derechos de los Usuarios.</w:t>
      </w:r>
    </w:p>
    <w:p w:rsidR="00C11EBB" w:rsidRPr="00C11EBB" w:rsidRDefault="00C11EBB" w:rsidP="00C11EBB">
      <w:pPr>
        <w:numPr>
          <w:ilvl w:val="0"/>
          <w:numId w:val="12"/>
        </w:numPr>
        <w:spacing w:after="0" w:line="240" w:lineRule="auto"/>
        <w:rPr>
          <w:rFonts w:cstheme="minorHAnsi"/>
        </w:rPr>
      </w:pPr>
      <w:r w:rsidRPr="00C11EBB">
        <w:rPr>
          <w:rFonts w:cstheme="minorHAnsi"/>
        </w:rPr>
        <w:t>Dirección General de Asistencia Sanitaria.</w:t>
      </w:r>
    </w:p>
    <w:p w:rsidR="00C11EBB" w:rsidRPr="00C11EBB" w:rsidRDefault="00C11EBB" w:rsidP="00C11EBB">
      <w:pPr>
        <w:numPr>
          <w:ilvl w:val="0"/>
          <w:numId w:val="12"/>
        </w:numPr>
        <w:spacing w:after="0" w:line="240" w:lineRule="auto"/>
        <w:rPr>
          <w:rFonts w:cstheme="minorHAnsi"/>
        </w:rPr>
      </w:pPr>
      <w:r w:rsidRPr="00C11EBB">
        <w:rPr>
          <w:rFonts w:cstheme="minorHAnsi"/>
        </w:rPr>
        <w:t>Dirección de Coordinación Asistencial.</w:t>
      </w:r>
    </w:p>
    <w:p w:rsidR="00C11EBB" w:rsidRDefault="00C11EBB" w:rsidP="00C11EBB">
      <w:pPr>
        <w:numPr>
          <w:ilvl w:val="0"/>
          <w:numId w:val="12"/>
        </w:numPr>
        <w:spacing w:after="0" w:line="240" w:lineRule="auto"/>
        <w:rPr>
          <w:rFonts w:cstheme="minorHAnsi"/>
        </w:rPr>
      </w:pPr>
      <w:r w:rsidRPr="00C11EBB">
        <w:rPr>
          <w:rFonts w:cstheme="minorHAnsi"/>
        </w:rPr>
        <w:t>Secretaria General Técnica del Departamento de Sanidad.</w:t>
      </w:r>
    </w:p>
    <w:p w:rsidR="00A458AF" w:rsidRPr="00A458AF" w:rsidRDefault="00A458AF" w:rsidP="00A458AF">
      <w:pPr>
        <w:spacing w:after="0" w:line="240" w:lineRule="auto"/>
        <w:rPr>
          <w:rFonts w:cstheme="minorHAnsi"/>
          <w:b/>
          <w:bCs/>
          <w:color w:val="0070C0"/>
          <w:sz w:val="24"/>
          <w:szCs w:val="24"/>
        </w:rPr>
      </w:pPr>
      <w:r w:rsidRPr="00A458AF">
        <w:rPr>
          <w:rFonts w:cstheme="minorHAnsi"/>
          <w:b/>
          <w:bCs/>
          <w:color w:val="0070C0"/>
          <w:sz w:val="24"/>
          <w:szCs w:val="24"/>
        </w:rPr>
        <w:t xml:space="preserve">B, competencia recogida </w:t>
      </w:r>
      <w:r w:rsidR="00147679">
        <w:rPr>
          <w:rFonts w:cstheme="minorHAnsi"/>
          <w:b/>
          <w:bCs/>
          <w:color w:val="0070C0"/>
          <w:sz w:val="24"/>
          <w:szCs w:val="24"/>
        </w:rPr>
        <w:t xml:space="preserve">(actualizada) </w:t>
      </w:r>
      <w:r w:rsidRPr="00A458AF">
        <w:rPr>
          <w:rFonts w:cstheme="minorHAnsi"/>
          <w:b/>
          <w:bCs/>
          <w:color w:val="0070C0"/>
          <w:sz w:val="24"/>
          <w:szCs w:val="24"/>
        </w:rPr>
        <w:t>en el art 14. 3 del DECRETO 122/2020, de 9 de diciembre, del Gobierno de Aragón, por el que se aprueba la estructura orgánica del Departamento de Sanidad y del Servicio Aragonés de Salud.</w:t>
      </w:r>
    </w:p>
    <w:p w:rsidR="00C11EBB" w:rsidRPr="00A458AF" w:rsidRDefault="00C11EBB" w:rsidP="00C11EBB">
      <w:pPr>
        <w:spacing w:after="0" w:line="240" w:lineRule="auto"/>
        <w:rPr>
          <w:rFonts w:cstheme="minorHAnsi"/>
          <w:b/>
          <w:bCs/>
          <w:color w:val="0070C0"/>
          <w:sz w:val="24"/>
          <w:szCs w:val="24"/>
        </w:rPr>
      </w:pPr>
    </w:p>
    <w:p w:rsidR="00C11EBB" w:rsidRPr="00C11EBB" w:rsidRDefault="00C11EBB" w:rsidP="00C11EBB">
      <w:pPr>
        <w:spacing w:after="0" w:line="240" w:lineRule="auto"/>
        <w:rPr>
          <w:rFonts w:cstheme="minorHAnsi"/>
          <w:b/>
          <w:bCs/>
        </w:rPr>
      </w:pPr>
      <w:r w:rsidRPr="00C11EBB">
        <w:rPr>
          <w:rFonts w:cstheme="minorHAnsi"/>
          <w:b/>
          <w:bCs/>
        </w:rPr>
        <w:t>8 ¿Qué es un "</w:t>
      </w:r>
      <w:proofErr w:type="spellStart"/>
      <w:r w:rsidRPr="00C11EBB">
        <w:rPr>
          <w:rFonts w:cstheme="minorHAnsi"/>
          <w:b/>
          <w:bCs/>
        </w:rPr>
        <w:t>clinical</w:t>
      </w:r>
      <w:proofErr w:type="spellEnd"/>
      <w:r w:rsidRPr="00C11EBB">
        <w:rPr>
          <w:rFonts w:cstheme="minorHAnsi"/>
          <w:b/>
          <w:bCs/>
        </w:rPr>
        <w:t xml:space="preserve"> </w:t>
      </w:r>
      <w:proofErr w:type="spellStart"/>
      <w:r w:rsidRPr="00C11EBB">
        <w:rPr>
          <w:rFonts w:cstheme="minorHAnsi"/>
          <w:b/>
          <w:bCs/>
        </w:rPr>
        <w:t>audit</w:t>
      </w:r>
      <w:proofErr w:type="spellEnd"/>
      <w:r w:rsidRPr="00C11EBB">
        <w:rPr>
          <w:rFonts w:cstheme="minorHAnsi"/>
          <w:b/>
          <w:bCs/>
        </w:rPr>
        <w:t>" (Auditoria clínica)?</w:t>
      </w:r>
    </w:p>
    <w:p w:rsidR="00C11EBB" w:rsidRPr="00C11EBB" w:rsidRDefault="00C11EBB" w:rsidP="00C11EBB">
      <w:pPr>
        <w:numPr>
          <w:ilvl w:val="0"/>
          <w:numId w:val="13"/>
        </w:numPr>
        <w:spacing w:after="0" w:line="240" w:lineRule="auto"/>
        <w:rPr>
          <w:rFonts w:cstheme="minorHAnsi"/>
        </w:rPr>
      </w:pPr>
      <w:r w:rsidRPr="00C11EBB">
        <w:rPr>
          <w:rFonts w:cstheme="minorHAnsi"/>
        </w:rPr>
        <w:t>Una acreditación asistencial.</w:t>
      </w:r>
    </w:p>
    <w:p w:rsidR="00C11EBB" w:rsidRPr="00C11EBB" w:rsidRDefault="00C11EBB" w:rsidP="00C11EBB">
      <w:pPr>
        <w:numPr>
          <w:ilvl w:val="0"/>
          <w:numId w:val="14"/>
        </w:numPr>
        <w:spacing w:after="0" w:line="240" w:lineRule="auto"/>
        <w:rPr>
          <w:rFonts w:cstheme="minorHAnsi"/>
        </w:rPr>
      </w:pPr>
      <w:r w:rsidRPr="00C11EBB">
        <w:rPr>
          <w:rFonts w:cstheme="minorHAnsi"/>
        </w:rPr>
        <w:t>Una revisión de g</w:t>
      </w:r>
      <w:r w:rsidR="009542FF">
        <w:rPr>
          <w:rFonts w:cstheme="minorHAnsi"/>
        </w:rPr>
        <w:t>uí</w:t>
      </w:r>
      <w:r w:rsidRPr="00C11EBB">
        <w:rPr>
          <w:rFonts w:cstheme="minorHAnsi"/>
        </w:rPr>
        <w:t xml:space="preserve">as de práctica clínica. </w:t>
      </w:r>
    </w:p>
    <w:p w:rsidR="00C11EBB" w:rsidRPr="00C11EBB" w:rsidRDefault="00C11EBB" w:rsidP="00C11EBB">
      <w:pPr>
        <w:numPr>
          <w:ilvl w:val="0"/>
          <w:numId w:val="14"/>
        </w:numPr>
        <w:spacing w:after="0" w:line="240" w:lineRule="auto"/>
        <w:rPr>
          <w:rFonts w:cstheme="minorHAnsi"/>
        </w:rPr>
      </w:pPr>
      <w:r w:rsidRPr="00C11EBB">
        <w:rPr>
          <w:rFonts w:cstheme="minorHAnsi"/>
        </w:rPr>
        <w:t>Un informe elaborado por un grupo de consenso.</w:t>
      </w:r>
    </w:p>
    <w:p w:rsidR="00C11EBB" w:rsidRDefault="00C11EBB" w:rsidP="00C11EBB">
      <w:pPr>
        <w:numPr>
          <w:ilvl w:val="0"/>
          <w:numId w:val="13"/>
        </w:numPr>
        <w:spacing w:after="0" w:line="240" w:lineRule="auto"/>
        <w:rPr>
          <w:rFonts w:cstheme="minorHAnsi"/>
        </w:rPr>
      </w:pPr>
      <w:r w:rsidRPr="00C11EBB">
        <w:rPr>
          <w:rFonts w:cstheme="minorHAnsi"/>
        </w:rPr>
        <w:t>El análisis de la realidad dé la práctica clínica en comparación con las pautas que en teoría se habían acordado.</w:t>
      </w:r>
    </w:p>
    <w:p w:rsidR="00DE6096" w:rsidRPr="00DE6096" w:rsidRDefault="00A458AF" w:rsidP="00DE6096">
      <w:pPr>
        <w:spacing w:after="0" w:line="240" w:lineRule="auto"/>
        <w:rPr>
          <w:rFonts w:cstheme="minorHAnsi"/>
          <w:b/>
          <w:bCs/>
          <w:color w:val="0070C0"/>
        </w:rPr>
      </w:pPr>
      <w:r w:rsidRPr="00A458AF">
        <w:rPr>
          <w:rFonts w:cstheme="minorHAnsi"/>
          <w:b/>
          <w:bCs/>
          <w:color w:val="0070C0"/>
          <w:sz w:val="24"/>
          <w:szCs w:val="24"/>
        </w:rPr>
        <w:t>D</w:t>
      </w:r>
      <w:r w:rsidR="00DE6096">
        <w:rPr>
          <w:rFonts w:cstheme="minorHAnsi"/>
          <w:b/>
          <w:bCs/>
          <w:color w:val="0070C0"/>
          <w:sz w:val="24"/>
          <w:szCs w:val="24"/>
        </w:rPr>
        <w:t>;</w:t>
      </w:r>
      <w:r w:rsidRPr="00A458AF">
        <w:rPr>
          <w:rFonts w:cstheme="minorHAnsi"/>
          <w:b/>
          <w:bCs/>
          <w:color w:val="0070C0"/>
          <w:sz w:val="24"/>
          <w:szCs w:val="24"/>
        </w:rPr>
        <w:t xml:space="preserve"> </w:t>
      </w:r>
      <w:r w:rsidR="00DE6096" w:rsidRPr="00DE6096">
        <w:rPr>
          <w:rFonts w:cstheme="minorHAnsi"/>
          <w:b/>
          <w:bCs/>
          <w:color w:val="0070C0"/>
        </w:rPr>
        <w:t>Hay que decir que el "</w:t>
      </w:r>
      <w:proofErr w:type="spellStart"/>
      <w:r w:rsidR="00DE6096" w:rsidRPr="00DE6096">
        <w:rPr>
          <w:rFonts w:cstheme="minorHAnsi"/>
          <w:b/>
          <w:bCs/>
          <w:color w:val="0070C0"/>
        </w:rPr>
        <w:t>clinical</w:t>
      </w:r>
      <w:proofErr w:type="spellEnd"/>
      <w:r w:rsidR="00DE6096" w:rsidRPr="00DE6096">
        <w:rPr>
          <w:rFonts w:cstheme="minorHAnsi"/>
          <w:b/>
          <w:bCs/>
          <w:color w:val="0070C0"/>
        </w:rPr>
        <w:t xml:space="preserve"> </w:t>
      </w:r>
      <w:proofErr w:type="spellStart"/>
      <w:r w:rsidR="00DE6096" w:rsidRPr="00DE6096">
        <w:rPr>
          <w:rFonts w:cstheme="minorHAnsi"/>
          <w:b/>
          <w:bCs/>
          <w:color w:val="0070C0"/>
        </w:rPr>
        <w:t>audit</w:t>
      </w:r>
      <w:proofErr w:type="spellEnd"/>
      <w:r w:rsidR="00DE6096" w:rsidRPr="00DE6096">
        <w:rPr>
          <w:rFonts w:cstheme="minorHAnsi"/>
          <w:b/>
          <w:bCs/>
          <w:color w:val="0070C0"/>
        </w:rPr>
        <w:t>" (Auditoria clínica) entre otros nombres es conocido como audita médico. Dicho con otras palabras se indica en los apuntes</w:t>
      </w:r>
      <w:proofErr w:type="gramStart"/>
      <w:r w:rsidR="00DE6096" w:rsidRPr="00DE6096">
        <w:rPr>
          <w:rFonts w:cstheme="minorHAnsi"/>
          <w:b/>
          <w:bCs/>
          <w:color w:val="0070C0"/>
        </w:rPr>
        <w:t>::</w:t>
      </w:r>
      <w:proofErr w:type="gramEnd"/>
    </w:p>
    <w:p w:rsidR="00DE6096" w:rsidRPr="00DE6096" w:rsidRDefault="00DE6096" w:rsidP="00DE6096">
      <w:pPr>
        <w:spacing w:after="0" w:line="240" w:lineRule="auto"/>
        <w:rPr>
          <w:rFonts w:cstheme="minorHAnsi"/>
          <w:b/>
          <w:bCs/>
          <w:i/>
          <w:iCs/>
          <w:color w:val="0070C0"/>
          <w:sz w:val="24"/>
          <w:szCs w:val="24"/>
        </w:rPr>
      </w:pPr>
      <w:r w:rsidRPr="00DE6096">
        <w:rPr>
          <w:rFonts w:cstheme="minorHAnsi"/>
          <w:b/>
          <w:bCs/>
          <w:i/>
          <w:iCs/>
          <w:color w:val="0070C0"/>
          <w:sz w:val="24"/>
          <w:szCs w:val="24"/>
        </w:rPr>
        <w:t>“Una auditoría es la evaluación metódica e independiente que se realiza para determinar si las actividades y los resultados de un proceso se ajustan a unas disposiciones previamente establecidas”</w:t>
      </w:r>
    </w:p>
    <w:p w:rsidR="00DE6096" w:rsidRPr="00DE6096" w:rsidRDefault="00DE6096" w:rsidP="00DE6096">
      <w:pPr>
        <w:spacing w:after="0" w:line="240" w:lineRule="auto"/>
        <w:rPr>
          <w:rFonts w:cstheme="minorHAnsi"/>
          <w:b/>
          <w:bCs/>
          <w:i/>
          <w:iCs/>
          <w:color w:val="0070C0"/>
          <w:sz w:val="24"/>
          <w:szCs w:val="24"/>
        </w:rPr>
      </w:pPr>
      <w:r w:rsidRPr="00DE6096">
        <w:rPr>
          <w:rFonts w:cstheme="minorHAnsi"/>
          <w:b/>
          <w:bCs/>
          <w:i/>
          <w:iCs/>
          <w:color w:val="0070C0"/>
          <w:sz w:val="24"/>
          <w:szCs w:val="24"/>
        </w:rPr>
        <w:t>“El Audit médico es la evaluación retrospectiva de la práctica asistencial, generalmente mediante la revisión de historias clínicas, realizada por los propios profesionales responsables de la asistencia y encaminada a encontrar soluciones prácticas a las deficiencias detectadas. Para esta tarea se utilizan los criterios, los indicadores y los estándares”</w:t>
      </w:r>
    </w:p>
    <w:p w:rsidR="00A458AF" w:rsidRPr="00A458AF" w:rsidRDefault="00A458AF" w:rsidP="00A458AF">
      <w:pPr>
        <w:spacing w:after="0" w:line="240" w:lineRule="auto"/>
        <w:rPr>
          <w:rFonts w:cstheme="minorHAnsi"/>
          <w:b/>
          <w:bCs/>
          <w:color w:val="0070C0"/>
          <w:sz w:val="24"/>
          <w:szCs w:val="24"/>
        </w:rPr>
      </w:pPr>
    </w:p>
    <w:p w:rsidR="00A458AF" w:rsidRPr="00C11EBB" w:rsidRDefault="00A458AF" w:rsidP="00A458AF">
      <w:pPr>
        <w:spacing w:after="0" w:line="240" w:lineRule="auto"/>
        <w:rPr>
          <w:rFonts w:cstheme="minorHAnsi"/>
        </w:rPr>
      </w:pPr>
    </w:p>
    <w:p w:rsidR="00C11EBB" w:rsidRPr="00C11EBB" w:rsidRDefault="00C11EBB" w:rsidP="00C11EBB">
      <w:pPr>
        <w:spacing w:after="0" w:line="240" w:lineRule="auto"/>
        <w:rPr>
          <w:rFonts w:cstheme="minorHAnsi"/>
          <w:b/>
          <w:bCs/>
        </w:rPr>
      </w:pPr>
      <w:r w:rsidRPr="00C11EBB">
        <w:rPr>
          <w:rFonts w:cstheme="minorHAnsi"/>
          <w:b/>
          <w:bCs/>
        </w:rPr>
        <w:t>9 El control del horario en la administración de los fármacos, para mejorar su eficacia y reducir sus efectos adversos, adaptándolo al ritmo circadiano de la enfermedad, se conoce como:</w:t>
      </w:r>
    </w:p>
    <w:p w:rsidR="00C11EBB" w:rsidRPr="00C11EBB" w:rsidRDefault="00C11EBB" w:rsidP="00C11EBB">
      <w:pPr>
        <w:numPr>
          <w:ilvl w:val="0"/>
          <w:numId w:val="15"/>
        </w:numPr>
        <w:spacing w:after="0" w:line="240" w:lineRule="auto"/>
        <w:rPr>
          <w:rFonts w:cstheme="minorHAnsi"/>
        </w:rPr>
      </w:pPr>
      <w:proofErr w:type="spellStart"/>
      <w:r w:rsidRPr="00C11EBB">
        <w:rPr>
          <w:rFonts w:cstheme="minorHAnsi"/>
        </w:rPr>
        <w:t>Cronoadministración</w:t>
      </w:r>
      <w:proofErr w:type="spellEnd"/>
      <w:r w:rsidRPr="00C11EBB">
        <w:rPr>
          <w:rFonts w:cstheme="minorHAnsi"/>
        </w:rPr>
        <w:t>.</w:t>
      </w:r>
    </w:p>
    <w:p w:rsidR="00C11EBB" w:rsidRPr="00C11EBB" w:rsidRDefault="00C11EBB" w:rsidP="00C11EBB">
      <w:pPr>
        <w:numPr>
          <w:ilvl w:val="0"/>
          <w:numId w:val="15"/>
        </w:numPr>
        <w:spacing w:after="0" w:line="240" w:lineRule="auto"/>
        <w:rPr>
          <w:rFonts w:cstheme="minorHAnsi"/>
        </w:rPr>
      </w:pPr>
      <w:proofErr w:type="spellStart"/>
      <w:r w:rsidRPr="00C11EBB">
        <w:rPr>
          <w:rFonts w:cstheme="minorHAnsi"/>
        </w:rPr>
        <w:t>Cronodosificación</w:t>
      </w:r>
      <w:proofErr w:type="spellEnd"/>
      <w:r w:rsidRPr="00C11EBB">
        <w:rPr>
          <w:rFonts w:cstheme="minorHAnsi"/>
        </w:rPr>
        <w:t>.</w:t>
      </w:r>
    </w:p>
    <w:p w:rsidR="00C11EBB" w:rsidRPr="00C11EBB" w:rsidRDefault="00C11EBB" w:rsidP="00C11EBB">
      <w:pPr>
        <w:numPr>
          <w:ilvl w:val="0"/>
          <w:numId w:val="15"/>
        </w:numPr>
        <w:spacing w:after="0" w:line="240" w:lineRule="auto"/>
        <w:rPr>
          <w:rFonts w:cstheme="minorHAnsi"/>
        </w:rPr>
      </w:pPr>
      <w:proofErr w:type="spellStart"/>
      <w:r w:rsidRPr="00C11EBB">
        <w:rPr>
          <w:rFonts w:cstheme="minorHAnsi"/>
        </w:rPr>
        <w:t>Crónoterapia</w:t>
      </w:r>
      <w:proofErr w:type="spellEnd"/>
      <w:r w:rsidRPr="00C11EBB">
        <w:rPr>
          <w:rFonts w:cstheme="minorHAnsi"/>
        </w:rPr>
        <w:t>,</w:t>
      </w:r>
    </w:p>
    <w:p w:rsidR="00C11EBB" w:rsidRDefault="00C11EBB" w:rsidP="00C11EBB">
      <w:pPr>
        <w:numPr>
          <w:ilvl w:val="0"/>
          <w:numId w:val="15"/>
        </w:numPr>
        <w:spacing w:after="0" w:line="240" w:lineRule="auto"/>
        <w:rPr>
          <w:rFonts w:cstheme="minorHAnsi"/>
        </w:rPr>
      </w:pPr>
      <w:proofErr w:type="spellStart"/>
      <w:r w:rsidRPr="00C11EBB">
        <w:rPr>
          <w:rFonts w:cstheme="minorHAnsi"/>
        </w:rPr>
        <w:t>Cronofarrnacología</w:t>
      </w:r>
      <w:proofErr w:type="spellEnd"/>
      <w:r w:rsidRPr="00C11EBB">
        <w:rPr>
          <w:rFonts w:cstheme="minorHAnsi"/>
        </w:rPr>
        <w:t>.</w:t>
      </w:r>
    </w:p>
    <w:p w:rsidR="00A458AF" w:rsidRPr="00A458AF" w:rsidRDefault="00A458AF" w:rsidP="00A458AF">
      <w:pPr>
        <w:spacing w:after="0" w:line="240" w:lineRule="auto"/>
        <w:rPr>
          <w:rFonts w:cstheme="minorHAnsi"/>
          <w:b/>
          <w:bCs/>
          <w:color w:val="0070C0"/>
          <w:sz w:val="24"/>
          <w:szCs w:val="24"/>
        </w:rPr>
      </w:pPr>
      <w:r w:rsidRPr="00A458AF">
        <w:rPr>
          <w:rFonts w:cstheme="minorHAnsi"/>
          <w:b/>
          <w:bCs/>
          <w:color w:val="0070C0"/>
          <w:sz w:val="24"/>
          <w:szCs w:val="24"/>
        </w:rPr>
        <w:t xml:space="preserve">C, </w:t>
      </w:r>
      <w:r w:rsidR="00711325">
        <w:rPr>
          <w:rFonts w:cstheme="minorHAnsi"/>
          <w:b/>
          <w:bCs/>
          <w:color w:val="0070C0"/>
          <w:sz w:val="24"/>
          <w:szCs w:val="24"/>
        </w:rPr>
        <w:t xml:space="preserve">pregunta rebuscada y </w:t>
      </w:r>
      <w:r w:rsidR="00711325" w:rsidRPr="00711325">
        <w:rPr>
          <w:rFonts w:cstheme="minorHAnsi"/>
          <w:b/>
          <w:bCs/>
          <w:color w:val="FF0000"/>
          <w:sz w:val="24"/>
          <w:szCs w:val="24"/>
        </w:rPr>
        <w:t>FUERA DE TEMARIO</w:t>
      </w:r>
    </w:p>
    <w:p w:rsidR="00C11EBB" w:rsidRDefault="00C11EBB" w:rsidP="00C11EBB">
      <w:pPr>
        <w:spacing w:after="0" w:line="240" w:lineRule="auto"/>
        <w:rPr>
          <w:rFonts w:cstheme="minorHAnsi"/>
        </w:rPr>
      </w:pPr>
    </w:p>
    <w:p w:rsidR="00C11EBB" w:rsidRPr="00C11EBB" w:rsidRDefault="00C11EBB" w:rsidP="00C11EBB">
      <w:pPr>
        <w:spacing w:after="0" w:line="240" w:lineRule="auto"/>
        <w:rPr>
          <w:rFonts w:cstheme="minorHAnsi"/>
          <w:b/>
          <w:bCs/>
        </w:rPr>
      </w:pPr>
      <w:r w:rsidRPr="00C11EBB">
        <w:rPr>
          <w:rFonts w:cstheme="minorHAnsi"/>
          <w:b/>
          <w:bCs/>
        </w:rPr>
        <w:t>10 El Plan de Salud de Aragón será aprobado por:</w:t>
      </w:r>
    </w:p>
    <w:p w:rsidR="00C11EBB" w:rsidRPr="00C11EBB" w:rsidRDefault="00C11EBB" w:rsidP="00C11EBB">
      <w:pPr>
        <w:numPr>
          <w:ilvl w:val="0"/>
          <w:numId w:val="16"/>
        </w:numPr>
        <w:spacing w:after="0" w:line="240" w:lineRule="auto"/>
        <w:rPr>
          <w:rFonts w:cstheme="minorHAnsi"/>
        </w:rPr>
      </w:pPr>
      <w:r w:rsidRPr="00C11EBB">
        <w:rPr>
          <w:rFonts w:cstheme="minorHAnsi"/>
        </w:rPr>
        <w:t>Gerente del Servicio Aragonés de Salud...</w:t>
      </w:r>
    </w:p>
    <w:p w:rsidR="00C11EBB" w:rsidRPr="00C11EBB" w:rsidRDefault="00C11EBB" w:rsidP="00C11EBB">
      <w:pPr>
        <w:numPr>
          <w:ilvl w:val="0"/>
          <w:numId w:val="16"/>
        </w:numPr>
        <w:spacing w:after="0" w:line="240" w:lineRule="auto"/>
        <w:rPr>
          <w:rFonts w:cstheme="minorHAnsi"/>
        </w:rPr>
      </w:pPr>
      <w:r w:rsidRPr="00C11EBB">
        <w:rPr>
          <w:rFonts w:cstheme="minorHAnsi"/>
        </w:rPr>
        <w:t>Consejo de Gobierno de la Comunidad Autónoma.</w:t>
      </w:r>
    </w:p>
    <w:p w:rsidR="00C11EBB" w:rsidRPr="00C11EBB" w:rsidRDefault="00C11EBB" w:rsidP="00C11EBB">
      <w:pPr>
        <w:numPr>
          <w:ilvl w:val="0"/>
          <w:numId w:val="16"/>
        </w:numPr>
        <w:spacing w:after="0" w:line="240" w:lineRule="auto"/>
        <w:rPr>
          <w:rFonts w:cstheme="minorHAnsi"/>
        </w:rPr>
      </w:pPr>
      <w:r w:rsidRPr="00C11EBB">
        <w:rPr>
          <w:rFonts w:cstheme="minorHAnsi"/>
        </w:rPr>
        <w:t>Cortes de Aragón.</w:t>
      </w:r>
    </w:p>
    <w:p w:rsidR="00C11EBB" w:rsidRDefault="00C11EBB" w:rsidP="00C11EBB">
      <w:pPr>
        <w:numPr>
          <w:ilvl w:val="0"/>
          <w:numId w:val="16"/>
        </w:numPr>
        <w:spacing w:after="0" w:line="240" w:lineRule="auto"/>
        <w:rPr>
          <w:rFonts w:cstheme="minorHAnsi"/>
        </w:rPr>
      </w:pPr>
      <w:r w:rsidRPr="00C11EBB">
        <w:rPr>
          <w:rFonts w:cstheme="minorHAnsi"/>
        </w:rPr>
        <w:t>Consejo de Salud del Sistema de Salud de Aragón.</w:t>
      </w:r>
    </w:p>
    <w:p w:rsidR="00A378F7" w:rsidRPr="00A378F7" w:rsidRDefault="00A378F7" w:rsidP="00A378F7">
      <w:pPr>
        <w:spacing w:after="0" w:line="240" w:lineRule="auto"/>
        <w:rPr>
          <w:rFonts w:cstheme="minorHAnsi"/>
          <w:b/>
          <w:bCs/>
          <w:color w:val="0070C0"/>
          <w:sz w:val="24"/>
          <w:szCs w:val="24"/>
        </w:rPr>
      </w:pPr>
      <w:r w:rsidRPr="00A378F7">
        <w:rPr>
          <w:rFonts w:cstheme="minorHAnsi"/>
          <w:b/>
          <w:bCs/>
          <w:color w:val="0070C0"/>
          <w:sz w:val="24"/>
          <w:szCs w:val="24"/>
        </w:rPr>
        <w:t>B; Art 22. 3 de la Ley de Salud de Aragón. En general esta ley fue muy insistida en clases, pero no este artículo</w:t>
      </w:r>
      <w:r>
        <w:rPr>
          <w:rFonts w:cstheme="minorHAnsi"/>
          <w:b/>
          <w:bCs/>
          <w:color w:val="0070C0"/>
          <w:sz w:val="24"/>
          <w:szCs w:val="24"/>
        </w:rPr>
        <w:t xml:space="preserve"> en especial</w:t>
      </w:r>
      <w:r w:rsidRPr="00A378F7">
        <w:rPr>
          <w:rFonts w:cstheme="minorHAnsi"/>
          <w:b/>
          <w:bCs/>
          <w:color w:val="0070C0"/>
          <w:sz w:val="24"/>
          <w:szCs w:val="24"/>
        </w:rPr>
        <w:t>…</w:t>
      </w:r>
    </w:p>
    <w:p w:rsidR="00223397" w:rsidRPr="00A378F7" w:rsidRDefault="00223397" w:rsidP="00C11EBB">
      <w:pPr>
        <w:spacing w:after="0" w:line="240" w:lineRule="auto"/>
        <w:rPr>
          <w:rFonts w:cstheme="minorHAnsi"/>
          <w:b/>
          <w:bCs/>
          <w:color w:val="0070C0"/>
          <w:sz w:val="24"/>
          <w:szCs w:val="24"/>
        </w:rPr>
      </w:pPr>
    </w:p>
    <w:sectPr w:rsidR="00223397" w:rsidRPr="00A378F7" w:rsidSect="0046640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A1697F"/>
    <w:multiLevelType w:val="singleLevel"/>
    <w:tmpl w:val="6A18005D"/>
    <w:lvl w:ilvl="0">
      <w:start w:val="1"/>
      <w:numFmt w:val="upperLetter"/>
      <w:lvlText w:val="%1:"/>
      <w:lvlJc w:val="left"/>
      <w:pPr>
        <w:tabs>
          <w:tab w:val="num" w:pos="1080"/>
        </w:tabs>
        <w:snapToGrid/>
        <w:ind w:left="576" w:firstLine="0"/>
      </w:pPr>
      <w:rPr>
        <w:spacing w:val="2"/>
        <w:sz w:val="21"/>
        <w:szCs w:val="21"/>
      </w:rPr>
    </w:lvl>
  </w:abstractNum>
  <w:abstractNum w:abstractNumId="1">
    <w:nsid w:val="02B2D353"/>
    <w:multiLevelType w:val="singleLevel"/>
    <w:tmpl w:val="3216D542"/>
    <w:lvl w:ilvl="0">
      <w:start w:val="1"/>
      <w:numFmt w:val="upperLetter"/>
      <w:lvlText w:val="%1:"/>
      <w:lvlJc w:val="left"/>
      <w:pPr>
        <w:tabs>
          <w:tab w:val="num" w:pos="1080"/>
        </w:tabs>
        <w:snapToGrid/>
        <w:ind w:left="576" w:firstLine="0"/>
      </w:pPr>
      <w:rPr>
        <w:spacing w:val="3"/>
        <w:sz w:val="21"/>
        <w:szCs w:val="21"/>
      </w:rPr>
    </w:lvl>
  </w:abstractNum>
  <w:abstractNum w:abstractNumId="2">
    <w:nsid w:val="03115ADC"/>
    <w:multiLevelType w:val="singleLevel"/>
    <w:tmpl w:val="58538816"/>
    <w:lvl w:ilvl="0">
      <w:start w:val="1"/>
      <w:numFmt w:val="upperLetter"/>
      <w:lvlText w:val="%1:"/>
      <w:lvlJc w:val="left"/>
      <w:pPr>
        <w:tabs>
          <w:tab w:val="num" w:pos="936"/>
        </w:tabs>
        <w:snapToGrid/>
        <w:ind w:left="792" w:hanging="360"/>
      </w:pPr>
      <w:rPr>
        <w:rFonts w:ascii="Tahoma" w:hAnsi="Tahoma" w:cs="Tahoma"/>
        <w:spacing w:val="1"/>
        <w:sz w:val="19"/>
        <w:szCs w:val="19"/>
      </w:rPr>
    </w:lvl>
  </w:abstractNum>
  <w:abstractNum w:abstractNumId="3">
    <w:nsid w:val="034685F4"/>
    <w:multiLevelType w:val="singleLevel"/>
    <w:tmpl w:val="0BA0369E"/>
    <w:lvl w:ilvl="0">
      <w:start w:val="1"/>
      <w:numFmt w:val="upperLetter"/>
      <w:lvlText w:val="%1:"/>
      <w:lvlJc w:val="left"/>
      <w:pPr>
        <w:tabs>
          <w:tab w:val="num" w:pos="1152"/>
        </w:tabs>
        <w:snapToGrid/>
        <w:ind w:left="1080" w:hanging="504"/>
      </w:pPr>
      <w:rPr>
        <w:spacing w:val="3"/>
        <w:sz w:val="21"/>
        <w:szCs w:val="21"/>
      </w:rPr>
    </w:lvl>
  </w:abstractNum>
  <w:abstractNum w:abstractNumId="4">
    <w:nsid w:val="034CC2AA"/>
    <w:multiLevelType w:val="singleLevel"/>
    <w:tmpl w:val="7DEE0B5A"/>
    <w:lvl w:ilvl="0">
      <w:start w:val="1"/>
      <w:numFmt w:val="upperLetter"/>
      <w:lvlText w:val="%1:"/>
      <w:lvlJc w:val="left"/>
      <w:pPr>
        <w:tabs>
          <w:tab w:val="num" w:pos="936"/>
        </w:tabs>
        <w:snapToGrid/>
        <w:ind w:left="792" w:hanging="360"/>
      </w:pPr>
      <w:rPr>
        <w:rFonts w:ascii="Tahoma" w:hAnsi="Tahoma" w:cs="Tahoma"/>
        <w:spacing w:val="1"/>
        <w:sz w:val="19"/>
        <w:szCs w:val="19"/>
      </w:rPr>
    </w:lvl>
  </w:abstractNum>
  <w:abstractNum w:abstractNumId="5">
    <w:nsid w:val="04EDF716"/>
    <w:multiLevelType w:val="singleLevel"/>
    <w:tmpl w:val="55B8AB51"/>
    <w:lvl w:ilvl="0">
      <w:start w:val="1"/>
      <w:numFmt w:val="upperLetter"/>
      <w:lvlText w:val="%1:"/>
      <w:lvlJc w:val="left"/>
      <w:pPr>
        <w:tabs>
          <w:tab w:val="num" w:pos="1080"/>
        </w:tabs>
        <w:snapToGrid/>
        <w:ind w:left="1080" w:hanging="504"/>
      </w:pPr>
      <w:rPr>
        <w:spacing w:val="14"/>
        <w:sz w:val="21"/>
        <w:szCs w:val="21"/>
      </w:rPr>
    </w:lvl>
  </w:abstractNum>
  <w:abstractNum w:abstractNumId="6">
    <w:nsid w:val="06548C4D"/>
    <w:multiLevelType w:val="singleLevel"/>
    <w:tmpl w:val="22EB8C37"/>
    <w:lvl w:ilvl="0">
      <w:start w:val="1"/>
      <w:numFmt w:val="upperLetter"/>
      <w:lvlText w:val="%1:"/>
      <w:lvlJc w:val="left"/>
      <w:pPr>
        <w:tabs>
          <w:tab w:val="num" w:pos="1008"/>
        </w:tabs>
        <w:snapToGrid/>
        <w:ind w:left="432" w:firstLine="0"/>
      </w:pPr>
      <w:rPr>
        <w:spacing w:val="-1"/>
        <w:sz w:val="22"/>
        <w:szCs w:val="22"/>
      </w:rPr>
    </w:lvl>
  </w:abstractNum>
  <w:abstractNum w:abstractNumId="7">
    <w:nsid w:val="06CEDA55"/>
    <w:multiLevelType w:val="singleLevel"/>
    <w:tmpl w:val="5440522A"/>
    <w:lvl w:ilvl="0">
      <w:start w:val="1"/>
      <w:numFmt w:val="upperLetter"/>
      <w:lvlText w:val="%1:"/>
      <w:lvlJc w:val="left"/>
      <w:pPr>
        <w:tabs>
          <w:tab w:val="num" w:pos="1008"/>
        </w:tabs>
        <w:snapToGrid/>
        <w:ind w:left="432" w:firstLine="0"/>
      </w:pPr>
      <w:rPr>
        <w:rFonts w:ascii="Tahoma" w:hAnsi="Tahoma" w:cs="Tahoma"/>
        <w:spacing w:val="-1"/>
        <w:sz w:val="19"/>
        <w:szCs w:val="19"/>
      </w:rPr>
    </w:lvl>
  </w:abstractNum>
  <w:abstractNum w:abstractNumId="8">
    <w:nsid w:val="06E8E6D8"/>
    <w:multiLevelType w:val="singleLevel"/>
    <w:tmpl w:val="29507C7C"/>
    <w:lvl w:ilvl="0">
      <w:start w:val="1"/>
      <w:numFmt w:val="upperLetter"/>
      <w:lvlText w:val="%1:"/>
      <w:lvlJc w:val="left"/>
      <w:pPr>
        <w:tabs>
          <w:tab w:val="num" w:pos="1152"/>
        </w:tabs>
        <w:snapToGrid/>
        <w:ind w:left="1080" w:hanging="504"/>
      </w:pPr>
      <w:rPr>
        <w:spacing w:val="3"/>
        <w:sz w:val="21"/>
        <w:szCs w:val="21"/>
      </w:rPr>
    </w:lvl>
  </w:abstractNum>
  <w:abstractNum w:abstractNumId="9">
    <w:nsid w:val="07595FF8"/>
    <w:multiLevelType w:val="singleLevel"/>
    <w:tmpl w:val="35855DE7"/>
    <w:lvl w:ilvl="0">
      <w:start w:val="1"/>
      <w:numFmt w:val="upperLetter"/>
      <w:lvlText w:val="%1:"/>
      <w:lvlJc w:val="left"/>
      <w:pPr>
        <w:tabs>
          <w:tab w:val="num" w:pos="936"/>
        </w:tabs>
        <w:snapToGrid/>
        <w:ind w:left="792" w:hanging="360"/>
      </w:pPr>
      <w:rPr>
        <w:rFonts w:ascii="Tahoma" w:hAnsi="Tahoma" w:cs="Tahoma"/>
        <w:spacing w:val="2"/>
        <w:sz w:val="19"/>
        <w:szCs w:val="19"/>
      </w:rPr>
    </w:lvl>
  </w:abstractNum>
  <w:abstractNum w:abstractNumId="10">
    <w:nsid w:val="17875BCE"/>
    <w:multiLevelType w:val="hybridMultilevel"/>
    <w:tmpl w:val="595445B4"/>
    <w:lvl w:ilvl="0" w:tplc="35855DE7">
      <w:start w:val="1"/>
      <w:numFmt w:val="upperLetter"/>
      <w:lvlText w:val="%1:"/>
      <w:lvlJc w:val="left"/>
      <w:pPr>
        <w:ind w:left="1152" w:hanging="360"/>
      </w:pPr>
      <w:rPr>
        <w:rFonts w:ascii="Tahoma" w:hAnsi="Tahoma" w:cs="Tahoma"/>
        <w:spacing w:val="2"/>
        <w:sz w:val="19"/>
        <w:szCs w:val="19"/>
      </w:r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11">
    <w:nsid w:val="29904661"/>
    <w:multiLevelType w:val="hybridMultilevel"/>
    <w:tmpl w:val="8A58BC32"/>
    <w:lvl w:ilvl="0" w:tplc="0C0A0015">
      <w:start w:val="1"/>
      <w:numFmt w:val="upperLetter"/>
      <w:lvlText w:val="%1."/>
      <w:lvlJc w:val="left"/>
      <w:pPr>
        <w:ind w:left="1152" w:hanging="360"/>
      </w:p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12">
    <w:nsid w:val="29DF1B11"/>
    <w:multiLevelType w:val="hybridMultilevel"/>
    <w:tmpl w:val="1DACC8A4"/>
    <w:lvl w:ilvl="0" w:tplc="0C0A000F">
      <w:start w:val="1"/>
      <w:numFmt w:val="decimal"/>
      <w:lvlText w:val="%1."/>
      <w:lvlJc w:val="left"/>
      <w:pPr>
        <w:ind w:left="1152" w:hanging="360"/>
      </w:p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13">
    <w:nsid w:val="3FEB60A8"/>
    <w:multiLevelType w:val="hybridMultilevel"/>
    <w:tmpl w:val="9A38E330"/>
    <w:lvl w:ilvl="0" w:tplc="5440522A">
      <w:start w:val="1"/>
      <w:numFmt w:val="upperLetter"/>
      <w:lvlText w:val="%1:"/>
      <w:lvlJc w:val="left"/>
      <w:pPr>
        <w:ind w:left="1428" w:hanging="360"/>
      </w:pPr>
      <w:rPr>
        <w:rFonts w:ascii="Tahoma" w:hAnsi="Tahoma" w:cs="Tahoma"/>
        <w:spacing w:val="-1"/>
        <w:sz w:val="19"/>
        <w:szCs w:val="19"/>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4">
    <w:nsid w:val="5EF40678"/>
    <w:multiLevelType w:val="hybridMultilevel"/>
    <w:tmpl w:val="B85C24B8"/>
    <w:lvl w:ilvl="0" w:tplc="35855DE7">
      <w:start w:val="1"/>
      <w:numFmt w:val="upperLetter"/>
      <w:lvlText w:val="%1:"/>
      <w:lvlJc w:val="left"/>
      <w:pPr>
        <w:ind w:left="1152" w:hanging="360"/>
      </w:pPr>
      <w:rPr>
        <w:rFonts w:ascii="Tahoma" w:hAnsi="Tahoma" w:cs="Tahoma"/>
        <w:spacing w:val="2"/>
        <w:sz w:val="19"/>
        <w:szCs w:val="19"/>
      </w:r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abstractNum w:abstractNumId="15">
    <w:nsid w:val="6A2260EF"/>
    <w:multiLevelType w:val="hybridMultilevel"/>
    <w:tmpl w:val="06380642"/>
    <w:lvl w:ilvl="0" w:tplc="5440522A">
      <w:start w:val="1"/>
      <w:numFmt w:val="upperLetter"/>
      <w:lvlText w:val="%1:"/>
      <w:lvlJc w:val="left"/>
      <w:pPr>
        <w:ind w:left="1152" w:hanging="360"/>
      </w:pPr>
      <w:rPr>
        <w:rFonts w:ascii="Tahoma" w:hAnsi="Tahoma" w:cs="Tahoma"/>
        <w:spacing w:val="-1"/>
        <w:sz w:val="19"/>
        <w:szCs w:val="19"/>
      </w:rPr>
    </w:lvl>
    <w:lvl w:ilvl="1" w:tplc="0C0A0019" w:tentative="1">
      <w:start w:val="1"/>
      <w:numFmt w:val="lowerLetter"/>
      <w:lvlText w:val="%2."/>
      <w:lvlJc w:val="left"/>
      <w:pPr>
        <w:ind w:left="1872" w:hanging="360"/>
      </w:pPr>
    </w:lvl>
    <w:lvl w:ilvl="2" w:tplc="0C0A001B" w:tentative="1">
      <w:start w:val="1"/>
      <w:numFmt w:val="lowerRoman"/>
      <w:lvlText w:val="%3."/>
      <w:lvlJc w:val="right"/>
      <w:pPr>
        <w:ind w:left="2592" w:hanging="180"/>
      </w:pPr>
    </w:lvl>
    <w:lvl w:ilvl="3" w:tplc="0C0A000F" w:tentative="1">
      <w:start w:val="1"/>
      <w:numFmt w:val="decimal"/>
      <w:lvlText w:val="%4."/>
      <w:lvlJc w:val="left"/>
      <w:pPr>
        <w:ind w:left="3312" w:hanging="360"/>
      </w:pPr>
    </w:lvl>
    <w:lvl w:ilvl="4" w:tplc="0C0A0019" w:tentative="1">
      <w:start w:val="1"/>
      <w:numFmt w:val="lowerLetter"/>
      <w:lvlText w:val="%5."/>
      <w:lvlJc w:val="left"/>
      <w:pPr>
        <w:ind w:left="4032" w:hanging="360"/>
      </w:pPr>
    </w:lvl>
    <w:lvl w:ilvl="5" w:tplc="0C0A001B" w:tentative="1">
      <w:start w:val="1"/>
      <w:numFmt w:val="lowerRoman"/>
      <w:lvlText w:val="%6."/>
      <w:lvlJc w:val="right"/>
      <w:pPr>
        <w:ind w:left="4752" w:hanging="180"/>
      </w:pPr>
    </w:lvl>
    <w:lvl w:ilvl="6" w:tplc="0C0A000F" w:tentative="1">
      <w:start w:val="1"/>
      <w:numFmt w:val="decimal"/>
      <w:lvlText w:val="%7."/>
      <w:lvlJc w:val="left"/>
      <w:pPr>
        <w:ind w:left="5472" w:hanging="360"/>
      </w:pPr>
    </w:lvl>
    <w:lvl w:ilvl="7" w:tplc="0C0A0019" w:tentative="1">
      <w:start w:val="1"/>
      <w:numFmt w:val="lowerLetter"/>
      <w:lvlText w:val="%8."/>
      <w:lvlJc w:val="left"/>
      <w:pPr>
        <w:ind w:left="6192" w:hanging="360"/>
      </w:pPr>
    </w:lvl>
    <w:lvl w:ilvl="8" w:tplc="0C0A001B" w:tentative="1">
      <w:start w:val="1"/>
      <w:numFmt w:val="lowerRoman"/>
      <w:lvlText w:val="%9."/>
      <w:lvlJc w:val="right"/>
      <w:pPr>
        <w:ind w:left="6912" w:hanging="180"/>
      </w:pPr>
    </w:lvl>
  </w:abstractNum>
  <w:num w:numId="1">
    <w:abstractNumId w:val="7"/>
    <w:lvlOverride w:ilvl="0">
      <w:startOverride w:val="1"/>
    </w:lvlOverride>
  </w:num>
  <w:num w:numId="2">
    <w:abstractNumId w:val="7"/>
    <w:lvlOverride w:ilvl="0">
      <w:lvl w:ilvl="0">
        <w:start w:val="1"/>
        <w:numFmt w:val="decimal"/>
        <w:lvlText w:val="%1:"/>
        <w:lvlJc w:val="left"/>
        <w:pPr>
          <w:tabs>
            <w:tab w:val="num" w:pos="1008"/>
          </w:tabs>
          <w:snapToGrid/>
          <w:ind w:left="432" w:firstLine="0"/>
        </w:pPr>
        <w:rPr>
          <w:rFonts w:ascii="Tahoma" w:hAnsi="Tahoma" w:cs="Tahoma"/>
          <w:spacing w:val="-1"/>
          <w:sz w:val="22"/>
          <w:szCs w:val="22"/>
        </w:rPr>
      </w:lvl>
    </w:lvlOverride>
  </w:num>
  <w:num w:numId="3">
    <w:abstractNumId w:val="6"/>
    <w:lvlOverride w:ilvl="0">
      <w:startOverride w:val="1"/>
    </w:lvlOverride>
  </w:num>
  <w:num w:numId="4">
    <w:abstractNumId w:val="4"/>
    <w:lvlOverride w:ilvl="0">
      <w:startOverride w:val="1"/>
    </w:lvlOverride>
  </w:num>
  <w:num w:numId="5">
    <w:abstractNumId w:val="4"/>
    <w:lvlOverride w:ilvl="0">
      <w:lvl w:ilvl="0">
        <w:start w:val="1"/>
        <w:numFmt w:val="decimal"/>
        <w:lvlText w:val="%1:"/>
        <w:lvlJc w:val="left"/>
        <w:pPr>
          <w:tabs>
            <w:tab w:val="num" w:pos="936"/>
          </w:tabs>
          <w:snapToGrid/>
          <w:ind w:left="792" w:hanging="360"/>
        </w:pPr>
        <w:rPr>
          <w:rFonts w:ascii="Tahoma" w:hAnsi="Tahoma" w:cs="Tahoma"/>
          <w:spacing w:val="-1"/>
          <w:sz w:val="22"/>
          <w:szCs w:val="22"/>
        </w:rPr>
      </w:lvl>
    </w:lvlOverride>
  </w:num>
  <w:num w:numId="6">
    <w:abstractNumId w:val="2"/>
    <w:lvlOverride w:ilvl="0">
      <w:startOverride w:val="1"/>
    </w:lvlOverride>
  </w:num>
  <w:num w:numId="7">
    <w:abstractNumId w:val="2"/>
    <w:lvlOverride w:ilvl="0">
      <w:lvl w:ilvl="0">
        <w:start w:val="1"/>
        <w:numFmt w:val="decimal"/>
        <w:lvlText w:val="%1:"/>
        <w:lvlJc w:val="left"/>
        <w:pPr>
          <w:tabs>
            <w:tab w:val="num" w:pos="936"/>
          </w:tabs>
          <w:snapToGrid/>
          <w:ind w:left="792" w:hanging="360"/>
        </w:pPr>
        <w:rPr>
          <w:rFonts w:ascii="Tahoma" w:hAnsi="Tahoma" w:cs="Tahoma"/>
          <w:spacing w:val="-1"/>
          <w:sz w:val="22"/>
          <w:szCs w:val="22"/>
        </w:rPr>
      </w:lvl>
    </w:lvlOverride>
  </w:num>
  <w:num w:numId="8">
    <w:abstractNumId w:val="9"/>
    <w:lvlOverride w:ilvl="0">
      <w:startOverride w:val="1"/>
    </w:lvlOverride>
  </w:num>
  <w:num w:numId="9">
    <w:abstractNumId w:val="9"/>
    <w:lvlOverride w:ilvl="0">
      <w:lvl w:ilvl="0">
        <w:start w:val="1"/>
        <w:numFmt w:val="decimal"/>
        <w:lvlText w:val="%1:"/>
        <w:lvlJc w:val="left"/>
        <w:pPr>
          <w:tabs>
            <w:tab w:val="num" w:pos="936"/>
          </w:tabs>
          <w:snapToGrid/>
          <w:ind w:left="792" w:hanging="360"/>
        </w:pPr>
        <w:rPr>
          <w:rFonts w:ascii="Tahoma" w:hAnsi="Tahoma" w:cs="Tahoma"/>
          <w:spacing w:val="-2"/>
          <w:sz w:val="22"/>
          <w:szCs w:val="22"/>
        </w:rPr>
      </w:lvl>
    </w:lvlOverride>
  </w:num>
  <w:num w:numId="10">
    <w:abstractNumId w:val="8"/>
    <w:lvlOverride w:ilvl="0">
      <w:startOverride w:val="1"/>
    </w:lvlOverride>
  </w:num>
  <w:num w:numId="11">
    <w:abstractNumId w:val="8"/>
    <w:lvlOverride w:ilvl="0">
      <w:lvl w:ilvl="0">
        <w:start w:val="1"/>
        <w:numFmt w:val="decimal"/>
        <w:lvlText w:val="%1:"/>
        <w:lvlJc w:val="left"/>
        <w:pPr>
          <w:tabs>
            <w:tab w:val="num" w:pos="1152"/>
          </w:tabs>
          <w:snapToGrid/>
          <w:ind w:left="1080" w:hanging="504"/>
        </w:pPr>
        <w:rPr>
          <w:spacing w:val="3"/>
          <w:sz w:val="21"/>
          <w:szCs w:val="21"/>
        </w:rPr>
      </w:lvl>
    </w:lvlOverride>
  </w:num>
  <w:num w:numId="12">
    <w:abstractNumId w:val="3"/>
    <w:lvlOverride w:ilvl="0">
      <w:startOverride w:val="1"/>
    </w:lvlOverride>
  </w:num>
  <w:num w:numId="13">
    <w:abstractNumId w:val="5"/>
    <w:lvlOverride w:ilvl="0">
      <w:startOverride w:val="1"/>
    </w:lvlOverride>
  </w:num>
  <w:num w:numId="14">
    <w:abstractNumId w:val="5"/>
    <w:lvlOverride w:ilvl="0">
      <w:lvl w:ilvl="0">
        <w:start w:val="1"/>
        <w:numFmt w:val="decimal"/>
        <w:lvlText w:val="%1:"/>
        <w:lvlJc w:val="left"/>
        <w:pPr>
          <w:tabs>
            <w:tab w:val="num" w:pos="1080"/>
          </w:tabs>
          <w:snapToGrid/>
          <w:ind w:left="576" w:firstLine="0"/>
        </w:pPr>
        <w:rPr>
          <w:spacing w:val="4"/>
          <w:sz w:val="21"/>
          <w:szCs w:val="21"/>
        </w:rPr>
      </w:lvl>
    </w:lvlOverride>
  </w:num>
  <w:num w:numId="15">
    <w:abstractNumId w:val="1"/>
    <w:lvlOverride w:ilvl="0">
      <w:startOverride w:val="1"/>
    </w:lvlOverride>
  </w:num>
  <w:num w:numId="16">
    <w:abstractNumId w:val="0"/>
    <w:lvlOverride w:ilvl="0">
      <w:startOverride w:val="1"/>
    </w:lvlOverride>
  </w:num>
  <w:num w:numId="17">
    <w:abstractNumId w:val="12"/>
  </w:num>
  <w:num w:numId="18">
    <w:abstractNumId w:val="11"/>
  </w:num>
  <w:num w:numId="19">
    <w:abstractNumId w:val="15"/>
  </w:num>
  <w:num w:numId="20">
    <w:abstractNumId w:val="13"/>
  </w:num>
  <w:num w:numId="21">
    <w:abstractNumId w:val="10"/>
  </w:num>
  <w:num w:numId="22">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6"/>
  <w:proofState w:spelling="clean" w:grammar="clean"/>
  <w:defaultTabStop w:val="708"/>
  <w:hyphenationZone w:val="425"/>
  <w:characterSpacingControl w:val="doNotCompress"/>
  <w:compat/>
  <w:rsids>
    <w:rsidRoot w:val="00C11EBB"/>
    <w:rsid w:val="00147679"/>
    <w:rsid w:val="00223397"/>
    <w:rsid w:val="00383FE5"/>
    <w:rsid w:val="00466405"/>
    <w:rsid w:val="006C258F"/>
    <w:rsid w:val="00711325"/>
    <w:rsid w:val="009542FF"/>
    <w:rsid w:val="00A378F7"/>
    <w:rsid w:val="00A458AF"/>
    <w:rsid w:val="00B543CC"/>
    <w:rsid w:val="00C11EBB"/>
    <w:rsid w:val="00DE6096"/>
    <w:rsid w:val="00E87FEF"/>
    <w:rsid w:val="00F613F9"/>
    <w:rsid w:val="00FA4AD2"/>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66405"/>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47679"/>
    <w:rPr>
      <w:rFonts w:ascii="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3109160">
      <w:bodyDiv w:val="1"/>
      <w:marLeft w:val="0"/>
      <w:marRight w:val="0"/>
      <w:marTop w:val="0"/>
      <w:marBottom w:val="0"/>
      <w:divBdr>
        <w:top w:val="none" w:sz="0" w:space="0" w:color="auto"/>
        <w:left w:val="none" w:sz="0" w:space="0" w:color="auto"/>
        <w:bottom w:val="none" w:sz="0" w:space="0" w:color="auto"/>
        <w:right w:val="none" w:sz="0" w:space="0" w:color="auto"/>
      </w:divBdr>
    </w:div>
    <w:div w:id="495419104">
      <w:bodyDiv w:val="1"/>
      <w:marLeft w:val="0"/>
      <w:marRight w:val="0"/>
      <w:marTop w:val="0"/>
      <w:marBottom w:val="0"/>
      <w:divBdr>
        <w:top w:val="none" w:sz="0" w:space="0" w:color="auto"/>
        <w:left w:val="none" w:sz="0" w:space="0" w:color="auto"/>
        <w:bottom w:val="none" w:sz="0" w:space="0" w:color="auto"/>
        <w:right w:val="none" w:sz="0" w:space="0" w:color="auto"/>
      </w:divBdr>
    </w:div>
    <w:div w:id="1489781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1275</Words>
  <Characters>7017</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Lorenzo Arracó</dc:creator>
  <cp:lastModifiedBy>Lorenzo Arracó</cp:lastModifiedBy>
  <cp:revision>3</cp:revision>
  <dcterms:created xsi:type="dcterms:W3CDTF">2022-02-04T16:08:00Z</dcterms:created>
  <dcterms:modified xsi:type="dcterms:W3CDTF">2022-02-04T16:13:00Z</dcterms:modified>
</cp:coreProperties>
</file>