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92F72" w14:textId="77777777" w:rsidR="00F34566" w:rsidRDefault="00F34566">
      <w:pPr>
        <w:pBdr>
          <w:top w:val="nil"/>
          <w:left w:val="nil"/>
          <w:bottom w:val="nil"/>
          <w:right w:val="nil"/>
          <w:between w:val="nil"/>
        </w:pBdr>
        <w:rPr>
          <w:rFonts w:ascii="Arial" w:eastAsia="Arial" w:hAnsi="Arial" w:cs="Arial"/>
          <w:b/>
          <w:bCs/>
          <w:color w:val="000000"/>
          <w:sz w:val="22"/>
          <w:szCs w:val="22"/>
        </w:rPr>
      </w:pPr>
    </w:p>
    <w:p w14:paraId="525E1270" w14:textId="77777777" w:rsidR="00F34566" w:rsidRDefault="00F34566">
      <w:pPr>
        <w:jc w:val="center"/>
        <w:rPr>
          <w:b/>
          <w:bCs/>
          <w:sz w:val="36"/>
          <w:szCs w:val="36"/>
        </w:rPr>
      </w:pPr>
    </w:p>
    <w:p w14:paraId="7DF62D59" w14:textId="77777777" w:rsidR="00F34566" w:rsidRDefault="00F34566">
      <w:pPr>
        <w:jc w:val="center"/>
        <w:rPr>
          <w:b/>
          <w:bCs/>
          <w:sz w:val="36"/>
          <w:szCs w:val="36"/>
        </w:rPr>
      </w:pPr>
    </w:p>
    <w:p w14:paraId="6836A74A" w14:textId="77777777" w:rsidR="00F34566" w:rsidRDefault="00F34566">
      <w:pPr>
        <w:jc w:val="center"/>
        <w:rPr>
          <w:b/>
          <w:bCs/>
          <w:sz w:val="36"/>
          <w:szCs w:val="36"/>
        </w:rPr>
      </w:pPr>
    </w:p>
    <w:p w14:paraId="13BCBABF" w14:textId="77777777" w:rsidR="00F34566" w:rsidRDefault="00F34566">
      <w:pPr>
        <w:jc w:val="center"/>
        <w:rPr>
          <w:b/>
          <w:bCs/>
          <w:sz w:val="36"/>
          <w:szCs w:val="36"/>
        </w:rPr>
      </w:pPr>
    </w:p>
    <w:p w14:paraId="4A54E456" w14:textId="77777777" w:rsidR="00F34566" w:rsidRDefault="00000000">
      <w:pPr>
        <w:jc w:val="center"/>
        <w:rPr>
          <w:b/>
          <w:bCs/>
          <w:sz w:val="36"/>
          <w:szCs w:val="36"/>
        </w:rPr>
      </w:pPr>
      <w:r>
        <w:rPr>
          <w:b/>
          <w:bCs/>
          <w:sz w:val="36"/>
          <w:szCs w:val="36"/>
        </w:rPr>
        <w:t>Documento técnico - Definición de Comunidades Energéticas</w:t>
      </w:r>
    </w:p>
    <w:p w14:paraId="35C8A4DD" w14:textId="77777777" w:rsidR="00F34566" w:rsidRDefault="00F34566">
      <w:pPr>
        <w:jc w:val="center"/>
        <w:rPr>
          <w:rFonts w:ascii="Arial" w:eastAsia="Arial" w:hAnsi="Arial" w:cs="Arial"/>
          <w:color w:val="222222"/>
        </w:rPr>
      </w:pPr>
    </w:p>
    <w:p w14:paraId="6D698228" w14:textId="77777777" w:rsidR="00F34566" w:rsidRDefault="00F34566">
      <w:pPr>
        <w:jc w:val="center"/>
        <w:rPr>
          <w:b/>
          <w:bCs/>
          <w:sz w:val="36"/>
          <w:szCs w:val="36"/>
        </w:rPr>
      </w:pPr>
    </w:p>
    <w:p w14:paraId="03B32A80" w14:textId="77777777" w:rsidR="00F34566" w:rsidRDefault="00F34566">
      <w:pPr>
        <w:jc w:val="center"/>
        <w:rPr>
          <w:b/>
          <w:bCs/>
          <w:sz w:val="36"/>
          <w:szCs w:val="36"/>
        </w:rPr>
      </w:pPr>
    </w:p>
    <w:p w14:paraId="0B722E9E" w14:textId="77777777" w:rsidR="00F34566" w:rsidRDefault="00000000">
      <w:pPr>
        <w:jc w:val="center"/>
        <w:rPr>
          <w:sz w:val="30"/>
          <w:szCs w:val="30"/>
        </w:rPr>
      </w:pPr>
      <w:r>
        <w:rPr>
          <w:sz w:val="30"/>
          <w:szCs w:val="30"/>
        </w:rPr>
        <w:t>Red temática CYTED:</w:t>
      </w:r>
    </w:p>
    <w:p w14:paraId="36732D21" w14:textId="77777777" w:rsidR="00F34566" w:rsidRDefault="00000000">
      <w:pPr>
        <w:jc w:val="center"/>
        <w:rPr>
          <w:sz w:val="30"/>
          <w:szCs w:val="30"/>
        </w:rPr>
      </w:pPr>
      <w:r>
        <w:rPr>
          <w:sz w:val="30"/>
          <w:szCs w:val="30"/>
        </w:rPr>
        <w:t>726RT0203 -</w:t>
      </w:r>
      <w:r>
        <w:rPr>
          <w:b/>
          <w:bCs/>
          <w:sz w:val="30"/>
          <w:szCs w:val="30"/>
        </w:rPr>
        <w:t xml:space="preserve"> </w:t>
      </w:r>
      <w:r>
        <w:rPr>
          <w:sz w:val="30"/>
          <w:szCs w:val="30"/>
        </w:rPr>
        <w:t>Red Iberoamericana de Promoción de Comunidades Energéticas Locales para la Transición Justa y Sostenible (RIPCEL)</w:t>
      </w:r>
    </w:p>
    <w:p w14:paraId="7B971AA2" w14:textId="77777777" w:rsidR="00F34566" w:rsidRDefault="00F34566">
      <w:pPr>
        <w:jc w:val="center"/>
        <w:rPr>
          <w:sz w:val="30"/>
          <w:szCs w:val="30"/>
        </w:rPr>
      </w:pPr>
    </w:p>
    <w:p w14:paraId="6EE5BC46" w14:textId="77777777" w:rsidR="00F34566" w:rsidRDefault="00F34566">
      <w:pPr>
        <w:jc w:val="center"/>
        <w:rPr>
          <w:sz w:val="30"/>
          <w:szCs w:val="30"/>
        </w:rPr>
      </w:pPr>
    </w:p>
    <w:p w14:paraId="7E74BA58" w14:textId="77777777" w:rsidR="00F34566" w:rsidRDefault="00F34566">
      <w:pPr>
        <w:jc w:val="center"/>
        <w:rPr>
          <w:sz w:val="30"/>
          <w:szCs w:val="30"/>
        </w:rPr>
      </w:pPr>
    </w:p>
    <w:p w14:paraId="5F1DB7FB" w14:textId="77777777" w:rsidR="00F34566" w:rsidRDefault="00F34566">
      <w:pPr>
        <w:jc w:val="center"/>
        <w:rPr>
          <w:sz w:val="30"/>
          <w:szCs w:val="30"/>
        </w:rPr>
      </w:pPr>
    </w:p>
    <w:p w14:paraId="1227F553" w14:textId="77777777" w:rsidR="00F34566" w:rsidRDefault="00F34566">
      <w:pPr>
        <w:jc w:val="center"/>
        <w:rPr>
          <w:sz w:val="30"/>
          <w:szCs w:val="30"/>
        </w:rPr>
      </w:pPr>
    </w:p>
    <w:p w14:paraId="21FB1C2A" w14:textId="77777777" w:rsidR="00F34566" w:rsidRDefault="00F34566">
      <w:pPr>
        <w:jc w:val="center"/>
        <w:rPr>
          <w:sz w:val="30"/>
          <w:szCs w:val="30"/>
        </w:rPr>
      </w:pPr>
    </w:p>
    <w:p w14:paraId="397434C6" w14:textId="77777777" w:rsidR="00F34566" w:rsidRDefault="00000000">
      <w:pPr>
        <w:jc w:val="center"/>
        <w:rPr>
          <w:sz w:val="30"/>
          <w:szCs w:val="30"/>
        </w:rPr>
      </w:pPr>
      <w:r>
        <w:rPr>
          <w:sz w:val="30"/>
          <w:szCs w:val="30"/>
        </w:rPr>
        <w:t>Marzo de 2026</w:t>
      </w:r>
    </w:p>
    <w:p w14:paraId="3A196EA4" w14:textId="77777777" w:rsidR="00F34566" w:rsidRDefault="00F34566">
      <w:pPr>
        <w:rPr>
          <w:sz w:val="30"/>
          <w:szCs w:val="30"/>
        </w:rPr>
      </w:pPr>
    </w:p>
    <w:p w14:paraId="7CB653D4" w14:textId="77777777" w:rsidR="00F34566" w:rsidRDefault="00F34566">
      <w:pPr>
        <w:jc w:val="center"/>
        <w:rPr>
          <w:sz w:val="30"/>
          <w:szCs w:val="30"/>
        </w:rPr>
      </w:pPr>
    </w:p>
    <w:tbl>
      <w:tblPr>
        <w:tblStyle w:val="4"/>
        <w:tblW w:w="89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4"/>
        <w:gridCol w:w="4089"/>
        <w:gridCol w:w="1464"/>
        <w:gridCol w:w="1145"/>
        <w:gridCol w:w="1444"/>
      </w:tblGrid>
      <w:tr w:rsidR="00F34566" w14:paraId="04B28C96" w14:textId="77777777">
        <w:tc>
          <w:tcPr>
            <w:tcW w:w="804" w:type="dxa"/>
            <w:tcMar>
              <w:left w:w="0" w:type="dxa"/>
              <w:right w:w="28" w:type="dxa"/>
            </w:tcMar>
          </w:tcPr>
          <w:p w14:paraId="79BAEC71" w14:textId="77777777" w:rsidR="00F34566" w:rsidRDefault="00000000">
            <w:pPr>
              <w:jc w:val="both"/>
              <w:rPr>
                <w:b/>
                <w:bCs/>
                <w:sz w:val="22"/>
                <w:szCs w:val="22"/>
              </w:rPr>
            </w:pPr>
            <w:r>
              <w:rPr>
                <w:b/>
                <w:bCs/>
                <w:sz w:val="22"/>
                <w:szCs w:val="22"/>
              </w:rPr>
              <w:t>Versión</w:t>
            </w:r>
          </w:p>
        </w:tc>
        <w:tc>
          <w:tcPr>
            <w:tcW w:w="4089" w:type="dxa"/>
          </w:tcPr>
          <w:p w14:paraId="130D91C8" w14:textId="77777777" w:rsidR="00F34566" w:rsidRDefault="00000000">
            <w:pPr>
              <w:jc w:val="both"/>
              <w:rPr>
                <w:b/>
                <w:bCs/>
                <w:sz w:val="22"/>
                <w:szCs w:val="22"/>
              </w:rPr>
            </w:pPr>
            <w:r>
              <w:rPr>
                <w:b/>
                <w:bCs/>
                <w:sz w:val="22"/>
                <w:szCs w:val="22"/>
              </w:rPr>
              <w:t>Por:</w:t>
            </w:r>
          </w:p>
        </w:tc>
        <w:tc>
          <w:tcPr>
            <w:tcW w:w="1464" w:type="dxa"/>
          </w:tcPr>
          <w:p w14:paraId="0A9E5A56" w14:textId="77777777" w:rsidR="00F34566" w:rsidRDefault="00000000">
            <w:pPr>
              <w:jc w:val="both"/>
              <w:rPr>
                <w:b/>
                <w:bCs/>
                <w:sz w:val="22"/>
                <w:szCs w:val="22"/>
              </w:rPr>
            </w:pPr>
            <w:r>
              <w:rPr>
                <w:b/>
                <w:bCs/>
                <w:sz w:val="22"/>
                <w:szCs w:val="22"/>
              </w:rPr>
              <w:t>Fecha</w:t>
            </w:r>
          </w:p>
        </w:tc>
        <w:tc>
          <w:tcPr>
            <w:tcW w:w="1145" w:type="dxa"/>
          </w:tcPr>
          <w:p w14:paraId="77FC3CF3" w14:textId="77777777" w:rsidR="00F34566" w:rsidRDefault="00000000">
            <w:pPr>
              <w:jc w:val="both"/>
              <w:rPr>
                <w:b/>
                <w:bCs/>
                <w:sz w:val="22"/>
                <w:szCs w:val="22"/>
              </w:rPr>
            </w:pPr>
            <w:r>
              <w:rPr>
                <w:b/>
                <w:bCs/>
                <w:sz w:val="22"/>
                <w:szCs w:val="22"/>
              </w:rPr>
              <w:t>Revisado por:</w:t>
            </w:r>
          </w:p>
        </w:tc>
        <w:tc>
          <w:tcPr>
            <w:tcW w:w="1444" w:type="dxa"/>
          </w:tcPr>
          <w:p w14:paraId="22BB40D2" w14:textId="77777777" w:rsidR="00F34566" w:rsidRDefault="00000000">
            <w:pPr>
              <w:jc w:val="both"/>
              <w:rPr>
                <w:b/>
                <w:bCs/>
                <w:sz w:val="22"/>
                <w:szCs w:val="22"/>
              </w:rPr>
            </w:pPr>
            <w:r>
              <w:rPr>
                <w:b/>
                <w:bCs/>
                <w:sz w:val="22"/>
                <w:szCs w:val="22"/>
              </w:rPr>
              <w:t>Aprobado por:</w:t>
            </w:r>
          </w:p>
        </w:tc>
      </w:tr>
      <w:tr w:rsidR="00F34566" w14:paraId="5B2671E8" w14:textId="77777777">
        <w:trPr>
          <w:trHeight w:val="580"/>
        </w:trPr>
        <w:tc>
          <w:tcPr>
            <w:tcW w:w="804" w:type="dxa"/>
          </w:tcPr>
          <w:p w14:paraId="50C8173B" w14:textId="77777777" w:rsidR="00F34566" w:rsidRDefault="00000000">
            <w:pPr>
              <w:jc w:val="both"/>
              <w:rPr>
                <w:sz w:val="22"/>
                <w:szCs w:val="22"/>
              </w:rPr>
            </w:pPr>
            <w:r>
              <w:rPr>
                <w:sz w:val="22"/>
                <w:szCs w:val="22"/>
              </w:rPr>
              <w:t>01</w:t>
            </w:r>
          </w:p>
        </w:tc>
        <w:tc>
          <w:tcPr>
            <w:tcW w:w="4089" w:type="dxa"/>
          </w:tcPr>
          <w:p w14:paraId="273009E0" w14:textId="77777777" w:rsidR="00F34566" w:rsidRDefault="00000000">
            <w:pPr>
              <w:jc w:val="both"/>
              <w:rPr>
                <w:sz w:val="22"/>
                <w:szCs w:val="22"/>
              </w:rPr>
            </w:pPr>
            <w:r>
              <w:rPr>
                <w:sz w:val="22"/>
                <w:szCs w:val="22"/>
              </w:rPr>
              <w:t>Andrés Romero</w:t>
            </w:r>
          </w:p>
        </w:tc>
        <w:tc>
          <w:tcPr>
            <w:tcW w:w="1464" w:type="dxa"/>
          </w:tcPr>
          <w:p w14:paraId="78F7AF3D" w14:textId="77777777" w:rsidR="00F34566" w:rsidRDefault="00000000">
            <w:pPr>
              <w:jc w:val="both"/>
              <w:rPr>
                <w:sz w:val="22"/>
                <w:szCs w:val="22"/>
                <w:highlight w:val="yellow"/>
              </w:rPr>
            </w:pPr>
            <w:r>
              <w:rPr>
                <w:sz w:val="22"/>
                <w:szCs w:val="22"/>
              </w:rPr>
              <w:t>20/03/2026</w:t>
            </w:r>
          </w:p>
        </w:tc>
        <w:tc>
          <w:tcPr>
            <w:tcW w:w="1145" w:type="dxa"/>
          </w:tcPr>
          <w:p w14:paraId="510AA155" w14:textId="77777777" w:rsidR="00F34566" w:rsidRDefault="00000000">
            <w:pPr>
              <w:jc w:val="both"/>
              <w:rPr>
                <w:sz w:val="22"/>
                <w:szCs w:val="22"/>
                <w:highlight w:val="yellow"/>
              </w:rPr>
            </w:pPr>
            <w:r>
              <w:rPr>
                <w:sz w:val="22"/>
                <w:szCs w:val="22"/>
              </w:rPr>
              <w:t>Andrés Romero y Jesús Riquelme</w:t>
            </w:r>
          </w:p>
        </w:tc>
        <w:tc>
          <w:tcPr>
            <w:tcW w:w="1444" w:type="dxa"/>
          </w:tcPr>
          <w:p w14:paraId="1FDC228E" w14:textId="77777777" w:rsidR="00F34566" w:rsidRDefault="00F34566">
            <w:pPr>
              <w:jc w:val="both"/>
              <w:rPr>
                <w:sz w:val="22"/>
                <w:szCs w:val="22"/>
              </w:rPr>
            </w:pPr>
          </w:p>
        </w:tc>
      </w:tr>
      <w:tr w:rsidR="00F34566" w14:paraId="49CBF2AE" w14:textId="77777777">
        <w:tc>
          <w:tcPr>
            <w:tcW w:w="804" w:type="dxa"/>
          </w:tcPr>
          <w:p w14:paraId="6CECC6B1" w14:textId="77777777" w:rsidR="00F34566" w:rsidRDefault="00000000">
            <w:pPr>
              <w:jc w:val="both"/>
              <w:rPr>
                <w:sz w:val="22"/>
                <w:szCs w:val="22"/>
              </w:rPr>
            </w:pPr>
            <w:r>
              <w:rPr>
                <w:sz w:val="22"/>
                <w:szCs w:val="22"/>
              </w:rPr>
              <w:t>02</w:t>
            </w:r>
          </w:p>
        </w:tc>
        <w:tc>
          <w:tcPr>
            <w:tcW w:w="4089" w:type="dxa"/>
          </w:tcPr>
          <w:p w14:paraId="528F6657" w14:textId="77777777" w:rsidR="00F34566" w:rsidRDefault="00F34566">
            <w:pPr>
              <w:jc w:val="both"/>
              <w:rPr>
                <w:sz w:val="22"/>
                <w:szCs w:val="22"/>
              </w:rPr>
            </w:pPr>
          </w:p>
        </w:tc>
        <w:tc>
          <w:tcPr>
            <w:tcW w:w="1464" w:type="dxa"/>
          </w:tcPr>
          <w:p w14:paraId="62560320" w14:textId="77777777" w:rsidR="00F34566" w:rsidRDefault="00F34566">
            <w:pPr>
              <w:jc w:val="both"/>
              <w:rPr>
                <w:sz w:val="22"/>
                <w:szCs w:val="22"/>
              </w:rPr>
            </w:pPr>
          </w:p>
        </w:tc>
        <w:tc>
          <w:tcPr>
            <w:tcW w:w="1145" w:type="dxa"/>
          </w:tcPr>
          <w:p w14:paraId="18C2D591" w14:textId="77777777" w:rsidR="00F34566" w:rsidRDefault="00F34566">
            <w:pPr>
              <w:jc w:val="both"/>
              <w:rPr>
                <w:sz w:val="22"/>
                <w:szCs w:val="22"/>
              </w:rPr>
            </w:pPr>
          </w:p>
        </w:tc>
        <w:tc>
          <w:tcPr>
            <w:tcW w:w="1444" w:type="dxa"/>
          </w:tcPr>
          <w:p w14:paraId="0587E795" w14:textId="77777777" w:rsidR="00F34566" w:rsidRDefault="00F34566">
            <w:pPr>
              <w:jc w:val="both"/>
              <w:rPr>
                <w:sz w:val="22"/>
                <w:szCs w:val="22"/>
              </w:rPr>
            </w:pPr>
          </w:p>
        </w:tc>
      </w:tr>
      <w:tr w:rsidR="00F34566" w14:paraId="1F77698A" w14:textId="77777777">
        <w:tc>
          <w:tcPr>
            <w:tcW w:w="804" w:type="dxa"/>
          </w:tcPr>
          <w:p w14:paraId="3029D5DA" w14:textId="77777777" w:rsidR="00F34566" w:rsidRDefault="00000000">
            <w:pPr>
              <w:jc w:val="both"/>
              <w:rPr>
                <w:sz w:val="22"/>
                <w:szCs w:val="22"/>
              </w:rPr>
            </w:pPr>
            <w:r>
              <w:rPr>
                <w:sz w:val="22"/>
                <w:szCs w:val="22"/>
              </w:rPr>
              <w:t>03</w:t>
            </w:r>
          </w:p>
        </w:tc>
        <w:tc>
          <w:tcPr>
            <w:tcW w:w="4089" w:type="dxa"/>
          </w:tcPr>
          <w:p w14:paraId="4FFDE177" w14:textId="77777777" w:rsidR="00F34566" w:rsidRDefault="00F34566">
            <w:pPr>
              <w:jc w:val="both"/>
              <w:rPr>
                <w:sz w:val="22"/>
                <w:szCs w:val="22"/>
              </w:rPr>
            </w:pPr>
          </w:p>
        </w:tc>
        <w:tc>
          <w:tcPr>
            <w:tcW w:w="1464" w:type="dxa"/>
          </w:tcPr>
          <w:p w14:paraId="59BF60D4" w14:textId="77777777" w:rsidR="00F34566" w:rsidRDefault="00F34566">
            <w:pPr>
              <w:jc w:val="both"/>
              <w:rPr>
                <w:sz w:val="22"/>
                <w:szCs w:val="22"/>
              </w:rPr>
            </w:pPr>
          </w:p>
        </w:tc>
        <w:tc>
          <w:tcPr>
            <w:tcW w:w="1145" w:type="dxa"/>
          </w:tcPr>
          <w:p w14:paraId="1DF2939D" w14:textId="77777777" w:rsidR="00F34566" w:rsidRDefault="00F34566">
            <w:pPr>
              <w:jc w:val="both"/>
              <w:rPr>
                <w:sz w:val="22"/>
                <w:szCs w:val="22"/>
              </w:rPr>
            </w:pPr>
          </w:p>
        </w:tc>
        <w:tc>
          <w:tcPr>
            <w:tcW w:w="1444" w:type="dxa"/>
          </w:tcPr>
          <w:p w14:paraId="7E15A567" w14:textId="77777777" w:rsidR="00F34566" w:rsidRDefault="00F34566">
            <w:pPr>
              <w:jc w:val="both"/>
              <w:rPr>
                <w:sz w:val="22"/>
                <w:szCs w:val="22"/>
              </w:rPr>
            </w:pPr>
          </w:p>
        </w:tc>
      </w:tr>
      <w:tr w:rsidR="00F34566" w14:paraId="6B097FF7" w14:textId="77777777">
        <w:tc>
          <w:tcPr>
            <w:tcW w:w="804" w:type="dxa"/>
          </w:tcPr>
          <w:p w14:paraId="43189632" w14:textId="77777777" w:rsidR="00F34566" w:rsidRDefault="00000000">
            <w:pPr>
              <w:jc w:val="both"/>
              <w:rPr>
                <w:sz w:val="22"/>
                <w:szCs w:val="22"/>
              </w:rPr>
            </w:pPr>
            <w:r>
              <w:rPr>
                <w:sz w:val="22"/>
                <w:szCs w:val="22"/>
              </w:rPr>
              <w:t>04</w:t>
            </w:r>
          </w:p>
        </w:tc>
        <w:tc>
          <w:tcPr>
            <w:tcW w:w="4089" w:type="dxa"/>
          </w:tcPr>
          <w:p w14:paraId="2146C572" w14:textId="77777777" w:rsidR="00F34566" w:rsidRDefault="00F34566">
            <w:pPr>
              <w:jc w:val="both"/>
              <w:rPr>
                <w:sz w:val="22"/>
                <w:szCs w:val="22"/>
              </w:rPr>
            </w:pPr>
          </w:p>
        </w:tc>
        <w:tc>
          <w:tcPr>
            <w:tcW w:w="1464" w:type="dxa"/>
          </w:tcPr>
          <w:p w14:paraId="3311729E" w14:textId="77777777" w:rsidR="00F34566" w:rsidRDefault="00F34566">
            <w:pPr>
              <w:jc w:val="both"/>
              <w:rPr>
                <w:sz w:val="22"/>
                <w:szCs w:val="22"/>
              </w:rPr>
            </w:pPr>
          </w:p>
        </w:tc>
        <w:tc>
          <w:tcPr>
            <w:tcW w:w="1145" w:type="dxa"/>
          </w:tcPr>
          <w:p w14:paraId="3F66E6D3" w14:textId="77777777" w:rsidR="00F34566" w:rsidRDefault="00F34566">
            <w:pPr>
              <w:jc w:val="both"/>
              <w:rPr>
                <w:sz w:val="22"/>
                <w:szCs w:val="22"/>
              </w:rPr>
            </w:pPr>
          </w:p>
        </w:tc>
        <w:tc>
          <w:tcPr>
            <w:tcW w:w="1444" w:type="dxa"/>
          </w:tcPr>
          <w:p w14:paraId="69B1F4CE" w14:textId="77777777" w:rsidR="00F34566" w:rsidRDefault="00F34566">
            <w:pPr>
              <w:jc w:val="both"/>
              <w:rPr>
                <w:sz w:val="22"/>
                <w:szCs w:val="22"/>
              </w:rPr>
            </w:pPr>
          </w:p>
        </w:tc>
      </w:tr>
    </w:tbl>
    <w:p w14:paraId="667F0D9B" w14:textId="77777777" w:rsidR="00F34566" w:rsidRDefault="00F34566">
      <w:pPr>
        <w:tabs>
          <w:tab w:val="left" w:pos="2404"/>
        </w:tabs>
        <w:jc w:val="center"/>
        <w:rPr>
          <w:b/>
          <w:bCs/>
          <w:sz w:val="28"/>
          <w:szCs w:val="28"/>
        </w:rPr>
      </w:pPr>
    </w:p>
    <w:p w14:paraId="3339DC49" w14:textId="77777777" w:rsidR="00F34566" w:rsidRDefault="00F34566">
      <w:pPr>
        <w:jc w:val="center"/>
        <w:rPr>
          <w:b/>
          <w:bCs/>
          <w:sz w:val="36"/>
          <w:szCs w:val="36"/>
        </w:rPr>
      </w:pPr>
    </w:p>
    <w:p w14:paraId="4DC4A25A" w14:textId="77777777" w:rsidR="00F34566" w:rsidRDefault="00F34566">
      <w:pPr>
        <w:jc w:val="center"/>
        <w:rPr>
          <w:b/>
          <w:bCs/>
          <w:sz w:val="36"/>
          <w:szCs w:val="36"/>
        </w:rPr>
      </w:pPr>
    </w:p>
    <w:p w14:paraId="0B953BA1" w14:textId="77777777" w:rsidR="00F34566" w:rsidRDefault="00F34566">
      <w:pPr>
        <w:jc w:val="center"/>
        <w:rPr>
          <w:b/>
          <w:bCs/>
          <w:sz w:val="36"/>
          <w:szCs w:val="36"/>
        </w:rPr>
      </w:pPr>
    </w:p>
    <w:p w14:paraId="771D364C" w14:textId="77777777" w:rsidR="00F34566" w:rsidRDefault="00F34566">
      <w:pPr>
        <w:jc w:val="center"/>
        <w:rPr>
          <w:b/>
          <w:bCs/>
          <w:sz w:val="36"/>
          <w:szCs w:val="36"/>
        </w:rPr>
      </w:pPr>
    </w:p>
    <w:p w14:paraId="36B90542" w14:textId="77777777" w:rsidR="00F34566" w:rsidRDefault="00000000">
      <w:pPr>
        <w:jc w:val="center"/>
        <w:rPr>
          <w:b/>
          <w:bCs/>
          <w:sz w:val="36"/>
          <w:szCs w:val="36"/>
        </w:rPr>
      </w:pPr>
      <w:r>
        <w:rPr>
          <w:b/>
          <w:bCs/>
          <w:sz w:val="36"/>
          <w:szCs w:val="36"/>
        </w:rPr>
        <w:t>Memoria técnica 2026</w:t>
      </w:r>
    </w:p>
    <w:p w14:paraId="730B945C" w14:textId="77777777" w:rsidR="00F34566" w:rsidRDefault="00F34566">
      <w:pPr>
        <w:jc w:val="center"/>
        <w:rPr>
          <w:b/>
          <w:bCs/>
          <w:sz w:val="28"/>
          <w:szCs w:val="28"/>
        </w:rPr>
      </w:pPr>
    </w:p>
    <w:p w14:paraId="1E477008" w14:textId="77777777" w:rsidR="00F34566" w:rsidRDefault="00000000">
      <w:pPr>
        <w:jc w:val="center"/>
        <w:rPr>
          <w:b/>
          <w:bCs/>
          <w:sz w:val="28"/>
          <w:szCs w:val="28"/>
        </w:rPr>
      </w:pPr>
      <w:r>
        <w:rPr>
          <w:b/>
          <w:bCs/>
          <w:sz w:val="28"/>
          <w:szCs w:val="28"/>
        </w:rPr>
        <w:t>Contenido</w:t>
      </w:r>
    </w:p>
    <w:p w14:paraId="35A197E2" w14:textId="77777777" w:rsidR="00F34566" w:rsidRDefault="00F34566">
      <w:pPr>
        <w:widowControl w:val="0"/>
        <w:pBdr>
          <w:top w:val="nil"/>
          <w:left w:val="nil"/>
          <w:bottom w:val="nil"/>
          <w:right w:val="nil"/>
          <w:between w:val="nil"/>
        </w:pBdr>
        <w:tabs>
          <w:tab w:val="right" w:pos="12000"/>
        </w:tabs>
        <w:spacing w:before="60"/>
        <w:ind w:left="720"/>
        <w:rPr>
          <w:color w:val="1155CC"/>
          <w:u w:val="single"/>
        </w:rPr>
      </w:pPr>
    </w:p>
    <w:sdt>
      <w:sdtPr>
        <w:id w:val="-99763568"/>
        <w:docPartObj>
          <w:docPartGallery w:val="Table of Contents"/>
          <w:docPartUnique/>
        </w:docPartObj>
      </w:sdtPr>
      <w:sdtContent>
        <w:p w14:paraId="134C7CB1" w14:textId="77777777" w:rsidR="00F34566" w:rsidRDefault="00F34566">
          <w:pPr>
            <w:widowControl w:val="0"/>
            <w:tabs>
              <w:tab w:val="right" w:pos="12000"/>
            </w:tabs>
            <w:spacing w:before="60"/>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heading=h.ofbsld6qtk90">
            <w:r>
              <w:rPr>
                <w:color w:val="1155CC"/>
                <w:u w:val="single"/>
              </w:rPr>
              <w:t>Resumen ejecutivo</w:t>
            </w:r>
            <w:r>
              <w:rPr>
                <w:color w:val="1155CC"/>
                <w:u w:val="single"/>
              </w:rPr>
              <w:tab/>
              <w:t>3</w:t>
            </w:r>
          </w:hyperlink>
        </w:p>
        <w:p w14:paraId="78583FA1" w14:textId="77777777" w:rsidR="00F34566" w:rsidRDefault="00F34566">
          <w:pPr>
            <w:widowControl w:val="0"/>
            <w:tabs>
              <w:tab w:val="right" w:pos="12000"/>
            </w:tabs>
            <w:spacing w:before="60"/>
            <w:rPr>
              <w:rFonts w:ascii="Arial" w:eastAsia="Arial" w:hAnsi="Arial" w:cs="Arial"/>
              <w:b/>
              <w:bCs/>
              <w:color w:val="000000"/>
              <w:sz w:val="22"/>
              <w:szCs w:val="22"/>
            </w:rPr>
          </w:pPr>
          <w:hyperlink w:anchor="_heading=h.y0owo5kw7354">
            <w:r>
              <w:rPr>
                <w:color w:val="1155CC"/>
                <w:u w:val="single"/>
              </w:rPr>
              <w:t>1 Búsqueda de una Definición Consensuada de Comunidad Energética</w:t>
            </w:r>
            <w:r>
              <w:rPr>
                <w:color w:val="1155CC"/>
                <w:u w:val="single"/>
              </w:rPr>
              <w:tab/>
              <w:t>4</w:t>
            </w:r>
          </w:hyperlink>
        </w:p>
        <w:p w14:paraId="6C8DFF91" w14:textId="77777777" w:rsidR="00F34566" w:rsidRDefault="00F34566">
          <w:pPr>
            <w:widowControl w:val="0"/>
            <w:tabs>
              <w:tab w:val="right" w:pos="12000"/>
            </w:tabs>
            <w:spacing w:before="60"/>
            <w:ind w:left="360"/>
            <w:rPr>
              <w:rFonts w:ascii="Arial" w:eastAsia="Arial" w:hAnsi="Arial" w:cs="Arial"/>
              <w:color w:val="000000"/>
              <w:sz w:val="22"/>
              <w:szCs w:val="22"/>
            </w:rPr>
          </w:pPr>
          <w:hyperlink w:anchor="_heading=h.2edtbkmmxgzt">
            <w:r>
              <w:rPr>
                <w:color w:val="1155CC"/>
                <w:u w:val="single"/>
              </w:rPr>
              <w:t>1.1 Definiciones de Referencia (sumar referencias y definiciones)</w:t>
            </w:r>
            <w:r>
              <w:rPr>
                <w:color w:val="1155CC"/>
                <w:u w:val="single"/>
              </w:rPr>
              <w:tab/>
              <w:t>4</w:t>
            </w:r>
          </w:hyperlink>
        </w:p>
        <w:p w14:paraId="1E925617" w14:textId="77777777" w:rsidR="00F34566" w:rsidRDefault="00F34566">
          <w:pPr>
            <w:widowControl w:val="0"/>
            <w:tabs>
              <w:tab w:val="right" w:pos="12000"/>
            </w:tabs>
            <w:spacing w:before="60"/>
            <w:ind w:left="720"/>
            <w:rPr>
              <w:rFonts w:ascii="Arial" w:eastAsia="Arial" w:hAnsi="Arial" w:cs="Arial"/>
              <w:color w:val="000000"/>
              <w:sz w:val="22"/>
              <w:szCs w:val="22"/>
            </w:rPr>
          </w:pPr>
          <w:hyperlink w:anchor="_heading=h.4t502l5c1skg">
            <w:r>
              <w:rPr>
                <w:color w:val="1155CC"/>
                <w:u w:val="single"/>
              </w:rPr>
              <w:t>1.1.1. Definición Legal – Unión Europea</w:t>
            </w:r>
            <w:r>
              <w:rPr>
                <w:color w:val="1155CC"/>
                <w:u w:val="single"/>
              </w:rPr>
              <w:tab/>
              <w:t>4</w:t>
            </w:r>
          </w:hyperlink>
        </w:p>
        <w:p w14:paraId="6EFD5FEF" w14:textId="77777777" w:rsidR="00F34566" w:rsidRDefault="00F34566">
          <w:pPr>
            <w:widowControl w:val="0"/>
            <w:tabs>
              <w:tab w:val="right" w:pos="12000"/>
            </w:tabs>
            <w:spacing w:before="60"/>
            <w:ind w:left="720"/>
            <w:rPr>
              <w:rFonts w:ascii="Arial" w:eastAsia="Arial" w:hAnsi="Arial" w:cs="Arial"/>
              <w:color w:val="000000"/>
              <w:sz w:val="22"/>
              <w:szCs w:val="22"/>
            </w:rPr>
          </w:pPr>
          <w:hyperlink w:anchor="_heading=h.6co27482wwoj">
            <w:r>
              <w:rPr>
                <w:color w:val="1155CC"/>
                <w:u w:val="single"/>
              </w:rPr>
              <w:t>1.1.2. Definición Institucional – Comisión Europea</w:t>
            </w:r>
            <w:r>
              <w:rPr>
                <w:color w:val="1155CC"/>
                <w:u w:val="single"/>
              </w:rPr>
              <w:tab/>
              <w:t>4</w:t>
            </w:r>
          </w:hyperlink>
        </w:p>
        <w:p w14:paraId="09563AC8" w14:textId="77777777" w:rsidR="00F34566" w:rsidRDefault="00F34566">
          <w:pPr>
            <w:widowControl w:val="0"/>
            <w:tabs>
              <w:tab w:val="right" w:pos="12000"/>
            </w:tabs>
            <w:spacing w:before="60"/>
            <w:ind w:left="720"/>
            <w:rPr>
              <w:rFonts w:ascii="Arial" w:eastAsia="Arial" w:hAnsi="Arial" w:cs="Arial"/>
              <w:color w:val="000000"/>
              <w:sz w:val="22"/>
              <w:szCs w:val="22"/>
            </w:rPr>
          </w:pPr>
          <w:hyperlink w:anchor="_heading=h.nr5kziz615rd">
            <w:r>
              <w:rPr>
                <w:color w:val="1155CC"/>
                <w:u w:val="single"/>
              </w:rPr>
              <w:t>1.1.3 Definición del Instituto para la Diversificación y el Ahorro de Energía (IDAE),</w:t>
            </w:r>
            <w:r>
              <w:rPr>
                <w:color w:val="1155CC"/>
                <w:u w:val="single"/>
              </w:rPr>
              <w:tab/>
              <w:t>4</w:t>
            </w:r>
          </w:hyperlink>
        </w:p>
        <w:p w14:paraId="4C19ADF2" w14:textId="77777777" w:rsidR="00F34566" w:rsidRDefault="00F34566">
          <w:pPr>
            <w:widowControl w:val="0"/>
            <w:tabs>
              <w:tab w:val="right" w:pos="12000"/>
            </w:tabs>
            <w:spacing w:before="60"/>
            <w:ind w:left="720"/>
            <w:rPr>
              <w:rFonts w:ascii="Arial" w:eastAsia="Arial" w:hAnsi="Arial" w:cs="Arial"/>
              <w:color w:val="000000"/>
              <w:sz w:val="22"/>
              <w:szCs w:val="22"/>
            </w:rPr>
          </w:pPr>
          <w:hyperlink w:anchor="_heading=h.8xw65kewwdrn">
            <w:r>
              <w:rPr>
                <w:color w:val="1155CC"/>
                <w:u w:val="single"/>
              </w:rPr>
              <w:t>1.1.4. Definición en Literatura Académica</w:t>
            </w:r>
            <w:r>
              <w:rPr>
                <w:color w:val="1155CC"/>
                <w:u w:val="single"/>
              </w:rPr>
              <w:tab/>
              <w:t>5</w:t>
            </w:r>
          </w:hyperlink>
        </w:p>
        <w:p w14:paraId="10330BF6" w14:textId="77777777" w:rsidR="00F34566" w:rsidRDefault="00F34566">
          <w:pPr>
            <w:widowControl w:val="0"/>
            <w:tabs>
              <w:tab w:val="right" w:pos="12000"/>
            </w:tabs>
            <w:spacing w:before="60"/>
            <w:ind w:left="720"/>
            <w:rPr>
              <w:rFonts w:ascii="Arial" w:eastAsia="Arial" w:hAnsi="Arial" w:cs="Arial"/>
              <w:color w:val="000000"/>
              <w:sz w:val="22"/>
              <w:szCs w:val="22"/>
            </w:rPr>
          </w:pPr>
          <w:hyperlink w:anchor="_heading=h.aw6mkpsgh96n">
            <w:r>
              <w:rPr>
                <w:color w:val="1155CC"/>
                <w:u w:val="single"/>
              </w:rPr>
              <w:t>1.1.5. Definición Basada en Gobernanza Comunitaria</w:t>
            </w:r>
            <w:r>
              <w:rPr>
                <w:color w:val="1155CC"/>
                <w:u w:val="single"/>
              </w:rPr>
              <w:tab/>
              <w:t>5</w:t>
            </w:r>
          </w:hyperlink>
        </w:p>
        <w:p w14:paraId="115E9730" w14:textId="77777777" w:rsidR="00F34566" w:rsidRDefault="00F34566">
          <w:pPr>
            <w:widowControl w:val="0"/>
            <w:tabs>
              <w:tab w:val="right" w:pos="12000"/>
            </w:tabs>
            <w:spacing w:before="60"/>
            <w:ind w:left="360"/>
            <w:rPr>
              <w:rFonts w:ascii="Arial" w:eastAsia="Arial" w:hAnsi="Arial" w:cs="Arial"/>
              <w:color w:val="000000"/>
              <w:sz w:val="22"/>
              <w:szCs w:val="22"/>
            </w:rPr>
          </w:pPr>
          <w:hyperlink w:anchor="_heading=h.kotvynp37wlq">
            <w:r>
              <w:rPr>
                <w:color w:val="1155CC"/>
                <w:u w:val="single"/>
              </w:rPr>
              <w:t>1.2. Elementos Estructurales Comunes</w:t>
            </w:r>
            <w:r>
              <w:rPr>
                <w:color w:val="1155CC"/>
                <w:u w:val="single"/>
              </w:rPr>
              <w:tab/>
              <w:t>5</w:t>
            </w:r>
          </w:hyperlink>
        </w:p>
        <w:p w14:paraId="74DAD677" w14:textId="77777777" w:rsidR="00F34566" w:rsidRDefault="00F34566">
          <w:pPr>
            <w:widowControl w:val="0"/>
            <w:tabs>
              <w:tab w:val="right" w:pos="12000"/>
            </w:tabs>
            <w:spacing w:before="60"/>
            <w:ind w:left="360"/>
            <w:rPr>
              <w:rFonts w:ascii="Arial" w:eastAsia="Arial" w:hAnsi="Arial" w:cs="Arial"/>
              <w:color w:val="000000"/>
              <w:sz w:val="22"/>
              <w:szCs w:val="22"/>
            </w:rPr>
          </w:pPr>
          <w:hyperlink w:anchor="_heading=h.rzd8a3haf6u6">
            <w:r>
              <w:rPr>
                <w:color w:val="1155CC"/>
                <w:u w:val="single"/>
              </w:rPr>
              <w:t>1.3. Propuesta de Definición para RIPCEL</w:t>
            </w:r>
            <w:r>
              <w:rPr>
                <w:color w:val="1155CC"/>
                <w:u w:val="single"/>
              </w:rPr>
              <w:tab/>
              <w:t>5</w:t>
            </w:r>
          </w:hyperlink>
        </w:p>
        <w:p w14:paraId="0A627EC2" w14:textId="77777777" w:rsidR="00F34566" w:rsidRDefault="00F34566">
          <w:pPr>
            <w:widowControl w:val="0"/>
            <w:tabs>
              <w:tab w:val="right" w:pos="12000"/>
            </w:tabs>
            <w:spacing w:before="60"/>
            <w:rPr>
              <w:rFonts w:ascii="Arial" w:eastAsia="Arial" w:hAnsi="Arial" w:cs="Arial"/>
              <w:b/>
              <w:bCs/>
              <w:color w:val="000000"/>
              <w:sz w:val="22"/>
              <w:szCs w:val="22"/>
            </w:rPr>
          </w:pPr>
          <w:hyperlink w:anchor="_heading=h.lpsz2myc4ybm">
            <w:r>
              <w:rPr>
                <w:color w:val="1155CC"/>
                <w:u w:val="single"/>
              </w:rPr>
              <w:t>2 Justicia Energética</w:t>
            </w:r>
            <w:r>
              <w:rPr>
                <w:color w:val="1155CC"/>
                <w:u w:val="single"/>
              </w:rPr>
              <w:tab/>
              <w:t>7</w:t>
            </w:r>
          </w:hyperlink>
        </w:p>
        <w:p w14:paraId="7FA57EC3" w14:textId="77777777" w:rsidR="00F34566" w:rsidRDefault="00F34566">
          <w:pPr>
            <w:widowControl w:val="0"/>
            <w:tabs>
              <w:tab w:val="right" w:pos="12000"/>
            </w:tabs>
            <w:spacing w:before="60"/>
            <w:rPr>
              <w:rFonts w:ascii="Arial" w:eastAsia="Arial" w:hAnsi="Arial" w:cs="Arial"/>
              <w:b/>
              <w:bCs/>
              <w:color w:val="000000"/>
              <w:sz w:val="22"/>
              <w:szCs w:val="22"/>
            </w:rPr>
          </w:pPr>
          <w:hyperlink w:anchor="_heading=h.cnv3hxqmfd1">
            <w:r>
              <w:rPr>
                <w:color w:val="1155CC"/>
                <w:u w:val="single"/>
              </w:rPr>
              <w:t>3 Análisis del Marco Jurídico en torno a las CEL</w:t>
            </w:r>
            <w:r>
              <w:rPr>
                <w:color w:val="1155CC"/>
                <w:u w:val="single"/>
              </w:rPr>
              <w:tab/>
              <w:t>8</w:t>
            </w:r>
          </w:hyperlink>
        </w:p>
        <w:p w14:paraId="0AFCF814" w14:textId="77777777" w:rsidR="00F34566" w:rsidRDefault="00F34566">
          <w:pPr>
            <w:widowControl w:val="0"/>
            <w:tabs>
              <w:tab w:val="right" w:pos="12000"/>
            </w:tabs>
            <w:spacing w:before="60"/>
            <w:ind w:left="360"/>
            <w:rPr>
              <w:rFonts w:ascii="Arial" w:eastAsia="Arial" w:hAnsi="Arial" w:cs="Arial"/>
              <w:color w:val="000000"/>
              <w:sz w:val="22"/>
              <w:szCs w:val="22"/>
            </w:rPr>
          </w:pPr>
          <w:hyperlink w:anchor="_heading=h.yz8gl5bitdif">
            <w:r>
              <w:rPr>
                <w:color w:val="1155CC"/>
                <w:u w:val="single"/>
              </w:rPr>
              <w:t>3.1 España</w:t>
            </w:r>
            <w:r>
              <w:rPr>
                <w:color w:val="1155CC"/>
                <w:u w:val="single"/>
              </w:rPr>
              <w:tab/>
              <w:t>8</w:t>
            </w:r>
          </w:hyperlink>
        </w:p>
        <w:p w14:paraId="25C5C6D9" w14:textId="77777777" w:rsidR="00F34566" w:rsidRDefault="00F34566">
          <w:pPr>
            <w:widowControl w:val="0"/>
            <w:tabs>
              <w:tab w:val="right" w:pos="12000"/>
            </w:tabs>
            <w:spacing w:before="60"/>
            <w:ind w:left="360"/>
            <w:rPr>
              <w:rFonts w:ascii="Arial" w:eastAsia="Arial" w:hAnsi="Arial" w:cs="Arial"/>
              <w:color w:val="000000"/>
              <w:sz w:val="22"/>
              <w:szCs w:val="22"/>
            </w:rPr>
          </w:pPr>
          <w:hyperlink w:anchor="_heading=h.jgrb96tc8t4q">
            <w:r>
              <w:rPr>
                <w:color w:val="1155CC"/>
                <w:u w:val="single"/>
              </w:rPr>
              <w:t>3.2 Portugal</w:t>
            </w:r>
            <w:r>
              <w:rPr>
                <w:color w:val="1155CC"/>
                <w:u w:val="single"/>
              </w:rPr>
              <w:tab/>
              <w:t>8</w:t>
            </w:r>
          </w:hyperlink>
        </w:p>
        <w:p w14:paraId="2F6A336C" w14:textId="77777777" w:rsidR="00F34566" w:rsidRDefault="00F34566">
          <w:pPr>
            <w:widowControl w:val="0"/>
            <w:tabs>
              <w:tab w:val="right" w:pos="12000"/>
            </w:tabs>
            <w:spacing w:before="60"/>
            <w:ind w:left="360"/>
            <w:rPr>
              <w:rFonts w:ascii="Arial" w:eastAsia="Arial" w:hAnsi="Arial" w:cs="Arial"/>
              <w:color w:val="000000"/>
              <w:sz w:val="22"/>
              <w:szCs w:val="22"/>
            </w:rPr>
          </w:pPr>
          <w:hyperlink w:anchor="_heading=h.nogr1wwlen9i">
            <w:r>
              <w:rPr>
                <w:color w:val="1155CC"/>
                <w:u w:val="single"/>
              </w:rPr>
              <w:t>3.3 Colombia</w:t>
            </w:r>
            <w:r>
              <w:rPr>
                <w:color w:val="1155CC"/>
                <w:u w:val="single"/>
              </w:rPr>
              <w:tab/>
              <w:t>17</w:t>
            </w:r>
          </w:hyperlink>
          <w:r>
            <w:fldChar w:fldCharType="end"/>
          </w:r>
        </w:p>
      </w:sdtContent>
    </w:sdt>
    <w:p w14:paraId="18437FBE" w14:textId="77777777" w:rsidR="00F34566" w:rsidRDefault="00F34566">
      <w:pPr>
        <w:widowControl w:val="0"/>
        <w:pBdr>
          <w:top w:val="nil"/>
          <w:left w:val="nil"/>
          <w:bottom w:val="nil"/>
          <w:right w:val="nil"/>
          <w:between w:val="nil"/>
        </w:pBdr>
        <w:tabs>
          <w:tab w:val="right" w:pos="12000"/>
        </w:tabs>
        <w:spacing w:before="60"/>
        <w:ind w:left="720"/>
        <w:rPr>
          <w:color w:val="1155CC"/>
          <w:u w:val="single"/>
        </w:rPr>
      </w:pPr>
    </w:p>
    <w:p w14:paraId="708856C4" w14:textId="77777777" w:rsidR="00F34566" w:rsidRDefault="00F34566">
      <w:pPr>
        <w:pBdr>
          <w:top w:val="nil"/>
          <w:left w:val="nil"/>
          <w:bottom w:val="nil"/>
          <w:right w:val="nil"/>
          <w:between w:val="nil"/>
        </w:pBdr>
        <w:rPr>
          <w:color w:val="000000"/>
        </w:rPr>
      </w:pPr>
    </w:p>
    <w:p w14:paraId="397586A1" w14:textId="77777777" w:rsidR="00F34566" w:rsidRDefault="00F34566">
      <w:pPr>
        <w:pBdr>
          <w:top w:val="nil"/>
          <w:left w:val="nil"/>
          <w:bottom w:val="nil"/>
          <w:right w:val="nil"/>
          <w:between w:val="nil"/>
        </w:pBdr>
        <w:rPr>
          <w:b/>
          <w:bCs/>
          <w:color w:val="000000"/>
        </w:rPr>
      </w:pPr>
    </w:p>
    <w:p w14:paraId="6CBA97D7" w14:textId="77777777" w:rsidR="00F34566" w:rsidRDefault="00000000">
      <w:pPr>
        <w:pStyle w:val="Ttulo1"/>
      </w:pPr>
      <w:bookmarkStart w:id="0" w:name="_heading=h.ofbsld6qtk90" w:colFirst="0" w:colLast="0"/>
      <w:bookmarkEnd w:id="0"/>
      <w:r>
        <w:lastRenderedPageBreak/>
        <w:t>Resumen ejecutivo</w:t>
      </w:r>
    </w:p>
    <w:p w14:paraId="4D600CA4" w14:textId="77777777" w:rsidR="00F34566" w:rsidRDefault="00F34566">
      <w:pPr>
        <w:jc w:val="both"/>
      </w:pPr>
    </w:p>
    <w:p w14:paraId="78D1BB07" w14:textId="77777777" w:rsidR="00F34566" w:rsidRDefault="00000000">
      <w:pPr>
        <w:jc w:val="both"/>
      </w:pPr>
      <w:r>
        <w:t>L</w:t>
      </w:r>
    </w:p>
    <w:p w14:paraId="2100F860" w14:textId="77777777" w:rsidR="00F34566" w:rsidRDefault="00000000">
      <w:pPr>
        <w:pStyle w:val="Ttulo1"/>
        <w:numPr>
          <w:ilvl w:val="0"/>
          <w:numId w:val="5"/>
        </w:numPr>
      </w:pPr>
      <w:bookmarkStart w:id="1" w:name="_heading=h.y0owo5kw7354" w:colFirst="0" w:colLast="0"/>
      <w:bookmarkEnd w:id="1"/>
      <w:r>
        <w:lastRenderedPageBreak/>
        <w:t>Búsqueda de una Definición Consensuada de Comunidad Energética</w:t>
      </w:r>
    </w:p>
    <w:p w14:paraId="3D454607" w14:textId="77777777" w:rsidR="00F34566" w:rsidRDefault="00F34566">
      <w:pPr>
        <w:jc w:val="both"/>
      </w:pPr>
    </w:p>
    <w:p w14:paraId="259C5B81" w14:textId="77777777" w:rsidR="00F34566" w:rsidRDefault="00000000">
      <w:pPr>
        <w:jc w:val="both"/>
      </w:pPr>
      <w:r>
        <w:t>El concepto de Comunidad Energética Local (CEL) es central para la labor de la Red RIPCEL. No existe una definición única y universal, lo que resalta la importancia de establecer un marco conceptual consensuado para la red. La revisión de la literatura y la legislación internacional revela elementos comunes que deben considerarse para una definición adecuada al contexto iberoamericano.</w:t>
      </w:r>
    </w:p>
    <w:p w14:paraId="7A6F18FC" w14:textId="77777777" w:rsidR="00F34566" w:rsidRDefault="00F34566">
      <w:pPr>
        <w:jc w:val="both"/>
      </w:pPr>
    </w:p>
    <w:p w14:paraId="131E736F" w14:textId="77777777" w:rsidR="00F34566" w:rsidRDefault="00F34566">
      <w:pPr>
        <w:jc w:val="both"/>
      </w:pPr>
    </w:p>
    <w:p w14:paraId="123F34C8" w14:textId="77777777" w:rsidR="00F34566" w:rsidRDefault="00000000">
      <w:pPr>
        <w:pStyle w:val="Ttulo2"/>
        <w:numPr>
          <w:ilvl w:val="1"/>
          <w:numId w:val="5"/>
        </w:numPr>
      </w:pPr>
      <w:r>
        <w:t>Definiciones de Referencia</w:t>
      </w:r>
    </w:p>
    <w:p w14:paraId="1DD88CC3" w14:textId="77777777" w:rsidR="00F34566" w:rsidRDefault="00F34566">
      <w:pPr>
        <w:jc w:val="both"/>
        <w:rPr>
          <w:b/>
          <w:bCs/>
          <w:color w:val="222222"/>
        </w:rPr>
      </w:pPr>
    </w:p>
    <w:p w14:paraId="179CDFD9" w14:textId="77777777" w:rsidR="00F34566" w:rsidRDefault="00000000">
      <w:pPr>
        <w:jc w:val="both"/>
        <w:rPr>
          <w:b/>
          <w:bCs/>
          <w:color w:val="222222"/>
        </w:rPr>
      </w:pPr>
      <w:r>
        <w:t>A continuación, se presentan definiciones clave en la legislación y la literatura académica, que han servido como base para la discusión:</w:t>
      </w:r>
    </w:p>
    <w:p w14:paraId="7844347C" w14:textId="77777777" w:rsidR="00F34566" w:rsidRDefault="00F34566">
      <w:pPr>
        <w:jc w:val="both"/>
        <w:rPr>
          <w:b/>
          <w:bCs/>
          <w:color w:val="222222"/>
        </w:rPr>
      </w:pPr>
    </w:p>
    <w:p w14:paraId="6B9E8323" w14:textId="77777777" w:rsidR="00F34566" w:rsidRDefault="00000000">
      <w:pPr>
        <w:pStyle w:val="Ttulo3"/>
      </w:pPr>
      <w:bookmarkStart w:id="3" w:name="_heading=h.4t502l5c1skg" w:colFirst="0" w:colLast="0"/>
      <w:bookmarkEnd w:id="3"/>
      <w:r>
        <w:t>1.1.1. Definición Legal – Unión Europea</w:t>
      </w:r>
    </w:p>
    <w:p w14:paraId="3B19CCED" w14:textId="77777777" w:rsidR="00F34566" w:rsidRDefault="00000000">
      <w:pPr>
        <w:pBdr>
          <w:top w:val="nil"/>
          <w:left w:val="nil"/>
          <w:bottom w:val="nil"/>
          <w:right w:val="nil"/>
          <w:between w:val="nil"/>
        </w:pBdr>
        <w:jc w:val="both"/>
      </w:pPr>
      <w:r>
        <w:t>La legislación europea define una comunidad energética como: “Una entidad legal basada en participación abierta y voluntaria, controlada por ciudadanos, autoridades locales o pequeñas empresas, cuyo objetivo principal es generar beneficios ambientales, económicos o sociales para sus miembros o para el territorio donde opera, más que obtener beneficios financieros.”</w:t>
      </w:r>
    </w:p>
    <w:p w14:paraId="67D779A3" w14:textId="77777777" w:rsidR="00F34566" w:rsidRDefault="00F34566">
      <w:pPr>
        <w:pBdr>
          <w:top w:val="nil"/>
          <w:left w:val="nil"/>
          <w:bottom w:val="nil"/>
          <w:right w:val="nil"/>
          <w:between w:val="nil"/>
        </w:pBdr>
        <w:jc w:val="both"/>
      </w:pPr>
    </w:p>
    <w:p w14:paraId="50623E60" w14:textId="77777777" w:rsidR="00F34566" w:rsidRDefault="00000000">
      <w:pPr>
        <w:pBdr>
          <w:top w:val="nil"/>
          <w:left w:val="nil"/>
          <w:bottom w:val="nil"/>
          <w:right w:val="nil"/>
          <w:between w:val="nil"/>
        </w:pBdr>
        <w:jc w:val="both"/>
        <w:rPr>
          <w:rFonts w:ascii="Roboto" w:eastAsia="Roboto" w:hAnsi="Roboto" w:cs="Roboto"/>
          <w:color w:val="1F1F1F"/>
          <w:sz w:val="21"/>
          <w:szCs w:val="21"/>
        </w:rPr>
      </w:pPr>
      <w:r>
        <w:t>Las actividades que pueden realizar son: generación, consumo, almacenamiento, distribución y prestación de servicios energéticos de forma colectiva.</w:t>
      </w:r>
    </w:p>
    <w:p w14:paraId="63FFD2BF" w14:textId="77777777" w:rsidR="00F34566" w:rsidRDefault="00F34566">
      <w:pPr>
        <w:pBdr>
          <w:top w:val="nil"/>
          <w:left w:val="nil"/>
          <w:bottom w:val="nil"/>
          <w:right w:val="nil"/>
          <w:between w:val="nil"/>
        </w:pBdr>
        <w:jc w:val="both"/>
      </w:pPr>
    </w:p>
    <w:p w14:paraId="6844DC79" w14:textId="77777777" w:rsidR="00F34566" w:rsidRDefault="00000000">
      <w:pPr>
        <w:pBdr>
          <w:top w:val="nil"/>
          <w:left w:val="nil"/>
          <w:bottom w:val="nil"/>
          <w:right w:val="nil"/>
          <w:between w:val="nil"/>
        </w:pBdr>
        <w:jc w:val="both"/>
        <w:rPr>
          <w:rFonts w:ascii="Roboto" w:eastAsia="Roboto" w:hAnsi="Roboto" w:cs="Roboto"/>
          <w:color w:val="1F1F1F"/>
          <w:sz w:val="21"/>
          <w:szCs w:val="21"/>
          <w:highlight w:val="white"/>
        </w:rPr>
      </w:pPr>
      <w:r>
        <w:t>Referencia: Directiva (UE) 2018/2001 y Directiva (UE) 2019/944.1.1.2. Definición Institucional – Comisión Europea</w:t>
      </w:r>
    </w:p>
    <w:p w14:paraId="34CB0E29" w14:textId="77777777" w:rsidR="00F34566" w:rsidRDefault="00F34566">
      <w:pPr>
        <w:pBdr>
          <w:top w:val="nil"/>
          <w:left w:val="nil"/>
          <w:bottom w:val="nil"/>
          <w:right w:val="nil"/>
          <w:between w:val="nil"/>
        </w:pBdr>
        <w:jc w:val="both"/>
        <w:rPr>
          <w:rFonts w:ascii="Roboto" w:eastAsia="Roboto" w:hAnsi="Roboto" w:cs="Roboto"/>
          <w:color w:val="1F1F1F"/>
          <w:sz w:val="21"/>
          <w:szCs w:val="21"/>
          <w:highlight w:val="white"/>
        </w:rPr>
      </w:pPr>
    </w:p>
    <w:p w14:paraId="6CEB0C90" w14:textId="77777777" w:rsidR="00F34566" w:rsidRDefault="00000000">
      <w:pPr>
        <w:pStyle w:val="Ttulo3"/>
      </w:pPr>
      <w:bookmarkStart w:id="4" w:name="_heading=h.6co27482wwoj" w:colFirst="0" w:colLast="0"/>
      <w:bookmarkEnd w:id="4"/>
      <w:r>
        <w:t>1.1.2. Definición Institucional – Comisión Europea</w:t>
      </w:r>
    </w:p>
    <w:p w14:paraId="104DF012" w14:textId="77777777" w:rsidR="00F34566" w:rsidRDefault="00F34566">
      <w:pPr>
        <w:shd w:val="clear" w:color="auto" w:fill="FFFFFF"/>
        <w:jc w:val="both"/>
        <w:rPr>
          <w:rFonts w:ascii="Roboto" w:eastAsia="Roboto" w:hAnsi="Roboto" w:cs="Roboto"/>
          <w:color w:val="1F1F1F"/>
          <w:sz w:val="21"/>
          <w:szCs w:val="21"/>
          <w:highlight w:val="white"/>
        </w:rPr>
      </w:pPr>
    </w:p>
    <w:p w14:paraId="18FF8A7B" w14:textId="77777777" w:rsidR="00F34566" w:rsidRDefault="00000000">
      <w:pPr>
        <w:pBdr>
          <w:top w:val="nil"/>
          <w:left w:val="nil"/>
          <w:bottom w:val="nil"/>
          <w:right w:val="nil"/>
          <w:between w:val="nil"/>
        </w:pBdr>
        <w:jc w:val="both"/>
      </w:pPr>
      <w:r>
        <w:t>La Comisión Europea describe las comunidades energéticas como: “Entidades que permiten a ciudadanos, pequeñas empresas y autoridades locales producir, gestionar y consumir energía de forma colectiva, participando en distintas etapas de la cadena energética.”</w:t>
      </w:r>
    </w:p>
    <w:p w14:paraId="1E703D0B" w14:textId="77777777" w:rsidR="00F34566" w:rsidRDefault="00F34566">
      <w:pPr>
        <w:shd w:val="clear" w:color="auto" w:fill="FFFFFF"/>
        <w:jc w:val="both"/>
        <w:rPr>
          <w:rFonts w:ascii="Roboto" w:eastAsia="Roboto" w:hAnsi="Roboto" w:cs="Roboto"/>
          <w:color w:val="1F1F1F"/>
          <w:sz w:val="21"/>
          <w:szCs w:val="21"/>
          <w:highlight w:val="white"/>
        </w:rPr>
      </w:pPr>
    </w:p>
    <w:p w14:paraId="52E296DA" w14:textId="77777777" w:rsidR="00F34566" w:rsidRDefault="00000000">
      <w:pPr>
        <w:jc w:val="both"/>
      </w:pPr>
      <w:r>
        <w:t>Las actividades que pueden realizar son: Producción, Distribución, Consumo, Almacenamiento y Agregación de energía.</w:t>
      </w:r>
    </w:p>
    <w:p w14:paraId="59C20A73" w14:textId="77777777" w:rsidR="00F34566" w:rsidRDefault="00F34566">
      <w:pPr>
        <w:jc w:val="both"/>
      </w:pPr>
    </w:p>
    <w:p w14:paraId="0417D524" w14:textId="77777777" w:rsidR="00F34566" w:rsidRDefault="00000000">
      <w:pPr>
        <w:pStyle w:val="Ttulo3"/>
      </w:pPr>
      <w:bookmarkStart w:id="5" w:name="_heading=h.nr5kziz615rd" w:colFirst="0" w:colLast="0"/>
      <w:bookmarkEnd w:id="5"/>
      <w:r>
        <w:t>1.1.3 Definición del Instituto para la Diversificación y el Ahorro de Energía (IDAE),</w:t>
      </w:r>
    </w:p>
    <w:p w14:paraId="2158871E" w14:textId="77777777" w:rsidR="00F34566" w:rsidRDefault="00000000">
      <w:pPr>
        <w:jc w:val="both"/>
      </w:pPr>
      <w:r>
        <w:t>Una comunidad energética es una entidad jurídica formada por socios que pueden ser tanto personas físicas como otras asociaciones, pequeñas y medianas empresas (pymes) o, incluso, administraciones públicas. Esta sociedad, de forma cooperativa, establece una serie de objetivos de obtención de energía para sí misma, una comunidad o terceros beneficiarios. Su objetivo principal será ofrecer beneficios energéticos, de los que se derivan los medioambientales, económicos y sociales.</w:t>
      </w:r>
    </w:p>
    <w:p w14:paraId="5C4456D9" w14:textId="77777777" w:rsidR="00F34566" w:rsidRDefault="00000000">
      <w:pPr>
        <w:jc w:val="both"/>
      </w:pPr>
      <w:r>
        <w:t>La definición de comunidad energética engloba dos conceptos:</w:t>
      </w:r>
    </w:p>
    <w:p w14:paraId="44C4B193" w14:textId="77777777" w:rsidR="00F34566" w:rsidRDefault="00F34566">
      <w:pPr>
        <w:jc w:val="both"/>
      </w:pPr>
    </w:p>
    <w:p w14:paraId="48DD4013" w14:textId="77777777" w:rsidR="00F34566" w:rsidRDefault="00000000">
      <w:pPr>
        <w:jc w:val="both"/>
      </w:pPr>
      <w:r>
        <w:t>-</w:t>
      </w:r>
      <w:r>
        <w:rPr>
          <w:i/>
          <w:iCs/>
        </w:rPr>
        <w:t>Comunidad de energías renovables.</w:t>
      </w:r>
      <w:r>
        <w:t xml:space="preserve"> Enfocada a cualquier proyecto comunitario energético que implique el uso de fuentes renovables como la eólica o la fotovoltaica.</w:t>
      </w:r>
    </w:p>
    <w:p w14:paraId="6AEFF36A" w14:textId="77777777" w:rsidR="00F34566" w:rsidRDefault="00F34566">
      <w:pPr>
        <w:jc w:val="both"/>
      </w:pPr>
    </w:p>
    <w:p w14:paraId="125A1389" w14:textId="77777777" w:rsidR="00F34566" w:rsidRDefault="00000000">
      <w:pPr>
        <w:jc w:val="both"/>
      </w:pPr>
      <w:r>
        <w:t>-</w:t>
      </w:r>
      <w:r>
        <w:rPr>
          <w:i/>
          <w:iCs/>
        </w:rPr>
        <w:t>Comunidad ciudadana de energía.</w:t>
      </w:r>
      <w:r>
        <w:t xml:space="preserve"> Está pensada para abarcar cualquier proyecto del sector eléctrico destinado a sus miembros, incluyendo distribución, suministro, consumo, agregación, almacenamiento y prestación de servicios energéticos (como renovación de edificios) o servicios de recarga para vehículos eléctricos.</w:t>
      </w:r>
    </w:p>
    <w:p w14:paraId="24AC2325" w14:textId="77777777" w:rsidR="00F34566" w:rsidRDefault="00F34566">
      <w:pPr>
        <w:pBdr>
          <w:top w:val="nil"/>
          <w:left w:val="nil"/>
          <w:bottom w:val="nil"/>
          <w:right w:val="nil"/>
          <w:between w:val="nil"/>
        </w:pBdr>
        <w:jc w:val="both"/>
        <w:rPr>
          <w:rFonts w:ascii="Roboto" w:eastAsia="Roboto" w:hAnsi="Roboto" w:cs="Roboto"/>
          <w:color w:val="1F1F1F"/>
          <w:sz w:val="21"/>
          <w:szCs w:val="21"/>
          <w:highlight w:val="white"/>
        </w:rPr>
      </w:pPr>
    </w:p>
    <w:p w14:paraId="7ACD1B01" w14:textId="77777777" w:rsidR="00F34566" w:rsidRDefault="00000000">
      <w:pPr>
        <w:pStyle w:val="Ttulo3"/>
      </w:pPr>
      <w:bookmarkStart w:id="6" w:name="_heading=h.8xw65kewwdrn" w:colFirst="0" w:colLast="0"/>
      <w:bookmarkEnd w:id="6"/>
      <w:r>
        <w:t>1.1.4. Definición en Literatura Académica</w:t>
      </w:r>
    </w:p>
    <w:p w14:paraId="2991EA07" w14:textId="77777777" w:rsidR="00F34566" w:rsidRDefault="00F34566">
      <w:pPr>
        <w:shd w:val="clear" w:color="auto" w:fill="FFFFFF"/>
        <w:jc w:val="both"/>
        <w:rPr>
          <w:rFonts w:ascii="Roboto" w:eastAsia="Roboto" w:hAnsi="Roboto" w:cs="Roboto"/>
          <w:color w:val="1F1F1F"/>
          <w:sz w:val="21"/>
          <w:szCs w:val="21"/>
          <w:highlight w:val="white"/>
        </w:rPr>
      </w:pPr>
    </w:p>
    <w:p w14:paraId="74B2876F" w14:textId="0B88F913" w:rsidR="0069223F" w:rsidRDefault="0069223F" w:rsidP="0069223F">
      <w:pPr>
        <w:pBdr>
          <w:top w:val="nil"/>
          <w:left w:val="nil"/>
          <w:bottom w:val="nil"/>
          <w:right w:val="nil"/>
          <w:between w:val="nil"/>
        </w:pBdr>
        <w:jc w:val="both"/>
      </w:pPr>
      <w:r>
        <w:t>En el ámbito académico, el concepto de CEL ha evolucionado de una noción puramente técnica hacia un marco interdisciplinario que abarca dimensiones sociales, organizativas y tecnológicas. La literatura especializada aporta los siguientes enfoques fundamentales para su definición:</w:t>
      </w:r>
    </w:p>
    <w:p w14:paraId="252734A7" w14:textId="77777777" w:rsidR="0069223F" w:rsidRDefault="0069223F" w:rsidP="0069223F">
      <w:pPr>
        <w:pBdr>
          <w:top w:val="nil"/>
          <w:left w:val="nil"/>
          <w:bottom w:val="nil"/>
          <w:right w:val="nil"/>
          <w:between w:val="nil"/>
        </w:pBdr>
        <w:jc w:val="both"/>
      </w:pPr>
    </w:p>
    <w:p w14:paraId="0002993A" w14:textId="5BE190C0" w:rsidR="0069223F" w:rsidRDefault="0069223F" w:rsidP="0069223F">
      <w:pPr>
        <w:pBdr>
          <w:top w:val="nil"/>
          <w:left w:val="nil"/>
          <w:bottom w:val="nil"/>
          <w:right w:val="nil"/>
          <w:between w:val="nil"/>
        </w:pBdr>
        <w:jc w:val="both"/>
      </w:pPr>
      <w:r w:rsidRPr="0069223F">
        <w:rPr>
          <w:i/>
          <w:iCs/>
        </w:rPr>
        <w:t xml:space="preserve">Dimensión de Proceso y Resultado: </w:t>
      </w:r>
      <w:r w:rsidRPr="0069223F">
        <w:t>Un</w:t>
      </w:r>
      <w:r>
        <w:t xml:space="preserve"> marco de referencia ampliamente aceptado define las iniciativas de energía comunitaria a través de dos dimensiones: el proceso (quién organiza y participa, enfatizando una gobernanza abierta y participativa) y el resultado (quién se beneficia, enfocándose en beneficios para el colectivo local en lugar de la maximización de beneficios financieros)</w:t>
      </w:r>
      <w:r w:rsidR="002F3DDD">
        <w:t xml:space="preserve">, </w:t>
      </w:r>
      <w:sdt>
        <w:sdtPr>
          <w:rPr>
            <w:color w:val="000000"/>
          </w:rPr>
          <w:tag w:val="MENDELEY_CITATION_v3_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"/>
          <w:id w:val="-136028237"/>
          <w:placeholder>
            <w:docPart w:val="DefaultPlaceholder_-1854013440"/>
          </w:placeholder>
        </w:sdtPr>
        <w:sdtContent>
          <w:r w:rsidR="0097235E" w:rsidRPr="0097235E">
            <w:rPr>
              <w:color w:val="000000"/>
            </w:rPr>
            <w:t>[1], [2]</w:t>
          </w:r>
        </w:sdtContent>
      </w:sdt>
    </w:p>
    <w:p w14:paraId="7EBCE8C2" w14:textId="77777777" w:rsidR="0069223F" w:rsidRDefault="0069223F" w:rsidP="0069223F">
      <w:pPr>
        <w:pBdr>
          <w:top w:val="nil"/>
          <w:left w:val="nil"/>
          <w:bottom w:val="nil"/>
          <w:right w:val="nil"/>
          <w:between w:val="nil"/>
        </w:pBdr>
        <w:jc w:val="both"/>
      </w:pPr>
      <w:r>
        <w:t>.</w:t>
      </w:r>
    </w:p>
    <w:p w14:paraId="4A483E39" w14:textId="2A3A2218" w:rsidR="0069223F" w:rsidRDefault="0069223F" w:rsidP="0069223F">
      <w:pPr>
        <w:pBdr>
          <w:top w:val="nil"/>
          <w:left w:val="nil"/>
          <w:bottom w:val="nil"/>
          <w:right w:val="nil"/>
          <w:between w:val="nil"/>
        </w:pBdr>
        <w:jc w:val="both"/>
      </w:pPr>
      <w:r w:rsidRPr="0069223F">
        <w:rPr>
          <w:i/>
          <w:iCs/>
        </w:rPr>
        <w:t>Perspectiva de Sistemas Socio-Técnicos</w:t>
      </w:r>
      <w:r>
        <w:t>: Las CEL se conciben como sistemas donde interactúan aspectos tecnológicos (generación distribuida, almacenamiento, redes inteligentes) y sociales (normas, valores, confianza). Se definen como clústeres de energía renovable</w:t>
      </w:r>
      <w:r w:rsidR="001B33C1">
        <w:t>,</w:t>
      </w:r>
      <w:r>
        <w:t xml:space="preserve"> caracterizados por la complementariedad de fuentes, la flexibilidad, la interconectividad entre diversos actores y la bidireccionalidad de los flujos energéticos</w:t>
      </w:r>
      <w:r w:rsidR="001B33C1">
        <w:t>.</w:t>
      </w:r>
    </w:p>
    <w:p w14:paraId="5087F5DC" w14:textId="77777777" w:rsidR="0069223F" w:rsidRDefault="0069223F" w:rsidP="0069223F">
      <w:pPr>
        <w:pBdr>
          <w:top w:val="nil"/>
          <w:left w:val="nil"/>
          <w:bottom w:val="nil"/>
          <w:right w:val="nil"/>
          <w:between w:val="nil"/>
        </w:pBdr>
        <w:jc w:val="both"/>
      </w:pPr>
      <w:r>
        <w:t>.</w:t>
      </w:r>
    </w:p>
    <w:p w14:paraId="2EB1864A" w14:textId="2E6C5FF3" w:rsidR="0069223F" w:rsidRDefault="0069223F" w:rsidP="0069223F">
      <w:pPr>
        <w:pBdr>
          <w:top w:val="nil"/>
          <w:left w:val="nil"/>
          <w:bottom w:val="nil"/>
          <w:right w:val="nil"/>
          <w:between w:val="nil"/>
        </w:pBdr>
        <w:jc w:val="both"/>
      </w:pPr>
      <w:r w:rsidRPr="001B33C1">
        <w:rPr>
          <w:i/>
          <w:iCs/>
        </w:rPr>
        <w:t>Sistemas de Energía Comunitaria Integrados</w:t>
      </w:r>
      <w:r>
        <w:t>: Desde una óptica más técnica, se definen como sistemas energéticos organizados local y colectivamente, capaces de integrar efectivamente la generación local de calor y electricidad, la gestión de la demanda flexible y el almacenamiento de energía</w:t>
      </w:r>
      <w:r w:rsidR="001B33C1">
        <w:t>.</w:t>
      </w:r>
    </w:p>
    <w:p w14:paraId="2003F5B2" w14:textId="77777777" w:rsidR="001B33C1" w:rsidRDefault="001B33C1" w:rsidP="0069223F">
      <w:pPr>
        <w:pBdr>
          <w:top w:val="nil"/>
          <w:left w:val="nil"/>
          <w:bottom w:val="nil"/>
          <w:right w:val="nil"/>
          <w:between w:val="nil"/>
        </w:pBdr>
        <w:jc w:val="both"/>
      </w:pPr>
    </w:p>
    <w:p w14:paraId="66E85FA2" w14:textId="23642EF1" w:rsidR="0069223F" w:rsidRDefault="0069223F" w:rsidP="0069223F">
      <w:pPr>
        <w:pBdr>
          <w:top w:val="nil"/>
          <w:left w:val="nil"/>
          <w:bottom w:val="nil"/>
          <w:right w:val="nil"/>
          <w:between w:val="nil"/>
        </w:pBdr>
        <w:jc w:val="both"/>
      </w:pPr>
      <w:r w:rsidRPr="001B33C1">
        <w:rPr>
          <w:i/>
          <w:iCs/>
        </w:rPr>
        <w:t>Prosumidor Colectivo:</w:t>
      </w:r>
      <w:r>
        <w:t xml:space="preserve"> La literatura enfatiza que las CEL representan un cambio de paradigma desde sistemas centralizados hacia sistemas descentralizados y democratizados</w:t>
      </w:r>
      <w:r w:rsidR="001B33C1">
        <w:t>.</w:t>
      </w:r>
      <w:r>
        <w:t xml:space="preserve"> En este contexto, el consumidor tradicional evoluciona hacia el prosumidor, un actor que no solo consume, sino que participa activamente en la generación, el intercambio de energía y la prestación de servicios de flexibilidad a la red</w:t>
      </w:r>
      <w:r w:rsidR="001B33C1">
        <w:t>.</w:t>
      </w:r>
    </w:p>
    <w:p w14:paraId="50E315DF" w14:textId="77777777" w:rsidR="001B33C1" w:rsidRDefault="001B33C1" w:rsidP="0069223F">
      <w:pPr>
        <w:pBdr>
          <w:top w:val="nil"/>
          <w:left w:val="nil"/>
          <w:bottom w:val="nil"/>
          <w:right w:val="nil"/>
          <w:between w:val="nil"/>
        </w:pBdr>
        <w:jc w:val="both"/>
      </w:pPr>
    </w:p>
    <w:p w14:paraId="3B437210" w14:textId="249D59E8" w:rsidR="0069223F" w:rsidRDefault="0069223F" w:rsidP="0069223F">
      <w:pPr>
        <w:pBdr>
          <w:top w:val="nil"/>
          <w:left w:val="nil"/>
          <w:bottom w:val="nil"/>
          <w:right w:val="nil"/>
          <w:between w:val="nil"/>
        </w:pBdr>
        <w:jc w:val="both"/>
      </w:pPr>
      <w:r w:rsidRPr="001B33C1">
        <w:rPr>
          <w:i/>
          <w:iCs/>
        </w:rPr>
        <w:t>Enfoque de Bienestar y Resiliencia:</w:t>
      </w:r>
      <w:r>
        <w:t xml:space="preserve"> Académicamente, se subraya que las CEL no son solo infraestructuras energéticas, sino acciones impulsadas por ciudadanos para mejorar el bienestar social, aumentar la resiliencia local, reducir la pobreza energética y fomentar el desarrollo económico mediante la creación de empleo local</w:t>
      </w:r>
      <w:r w:rsidR="001B33C1">
        <w:t>.</w:t>
      </w:r>
    </w:p>
    <w:p w14:paraId="5AA7E53F" w14:textId="77777777" w:rsidR="001B33C1" w:rsidRDefault="001B33C1" w:rsidP="0069223F">
      <w:pPr>
        <w:pBdr>
          <w:top w:val="nil"/>
          <w:left w:val="nil"/>
          <w:bottom w:val="nil"/>
          <w:right w:val="nil"/>
          <w:between w:val="nil"/>
        </w:pBdr>
        <w:jc w:val="both"/>
      </w:pPr>
    </w:p>
    <w:p w14:paraId="257B926D" w14:textId="77777777" w:rsidR="0069223F" w:rsidRDefault="0069223F" w:rsidP="0069223F">
      <w:pPr>
        <w:pBdr>
          <w:top w:val="nil"/>
          <w:left w:val="nil"/>
          <w:bottom w:val="nil"/>
          <w:right w:val="nil"/>
          <w:between w:val="nil"/>
        </w:pBdr>
        <w:jc w:val="both"/>
      </w:pPr>
      <w:r w:rsidRPr="001B33C1">
        <w:rPr>
          <w:i/>
          <w:iCs/>
        </w:rPr>
        <w:t>Taxonomía según el Balance Energético</w:t>
      </w:r>
      <w:r>
        <w:t>: Algunos autores proponen definir las comunidades según su "energía neta", distinguiendo entre comunidades homogéneas (todos los miembros tienen superávit o déficit), mixtas (combinan miembros con superávit y déficit para facilitar el intercambio interno) y autosuficientes (donde la generación colectiva supera el consumo total, minimizando la dependencia de la red principal)</w:t>
      </w:r>
    </w:p>
    <w:p w14:paraId="10AD256F" w14:textId="77777777" w:rsidR="0069223F" w:rsidRDefault="0069223F" w:rsidP="0069223F">
      <w:pPr>
        <w:pBdr>
          <w:top w:val="nil"/>
          <w:left w:val="nil"/>
          <w:bottom w:val="nil"/>
          <w:right w:val="nil"/>
          <w:between w:val="nil"/>
        </w:pBdr>
        <w:jc w:val="both"/>
      </w:pPr>
      <w:r>
        <w:t>.</w:t>
      </w:r>
    </w:p>
    <w:p w14:paraId="7190956D" w14:textId="76129473" w:rsidR="00F34566" w:rsidRDefault="0069223F" w:rsidP="0069223F">
      <w:pPr>
        <w:pBdr>
          <w:top w:val="nil"/>
          <w:left w:val="nil"/>
          <w:bottom w:val="nil"/>
          <w:right w:val="nil"/>
          <w:between w:val="nil"/>
        </w:pBdr>
        <w:jc w:val="both"/>
      </w:pPr>
      <w:r>
        <w:t>En resumen, la literatura académica define a las CEL como organizaciones colectivas y descentralizadas que operan en la intersección de la innovación tecnológica y social, cuyo propósito es empoderar a la ciudadanía en la gestión de sus propios recursos energéticos para obtener beneficios socio-ambientales localizados</w:t>
      </w:r>
      <w:r w:rsidR="001B33C1">
        <w:t>.</w:t>
      </w:r>
    </w:p>
    <w:p w14:paraId="483A83D5" w14:textId="77777777" w:rsidR="001B33C1" w:rsidRDefault="001B33C1" w:rsidP="0069223F">
      <w:pPr>
        <w:pBdr>
          <w:top w:val="nil"/>
          <w:left w:val="nil"/>
          <w:bottom w:val="nil"/>
          <w:right w:val="nil"/>
          <w:between w:val="nil"/>
        </w:pBdr>
        <w:jc w:val="both"/>
      </w:pPr>
    </w:p>
    <w:p w14:paraId="52C17A19" w14:textId="77777777" w:rsidR="00F34566" w:rsidRDefault="00000000">
      <w:pPr>
        <w:pStyle w:val="Ttulo3"/>
      </w:pPr>
      <w:bookmarkStart w:id="7" w:name="_heading=h.aw6mkpsgh96n" w:colFirst="0" w:colLast="0"/>
      <w:bookmarkEnd w:id="7"/>
      <w:r>
        <w:t>1.1.5. Definición Basada en Gobernanza Comunitaria</w:t>
      </w:r>
    </w:p>
    <w:p w14:paraId="6375E287" w14:textId="77777777" w:rsidR="00F34566" w:rsidRDefault="00F34566">
      <w:pPr>
        <w:pBdr>
          <w:top w:val="nil"/>
          <w:left w:val="nil"/>
          <w:bottom w:val="nil"/>
          <w:right w:val="nil"/>
          <w:between w:val="nil"/>
        </w:pBdr>
        <w:jc w:val="both"/>
      </w:pPr>
    </w:p>
    <w:p w14:paraId="3C803FE4" w14:textId="77777777" w:rsidR="00F34566" w:rsidRDefault="00000000">
      <w:pPr>
        <w:pBdr>
          <w:top w:val="nil"/>
          <w:left w:val="nil"/>
          <w:bottom w:val="nil"/>
          <w:right w:val="nil"/>
          <w:between w:val="nil"/>
        </w:pBdr>
        <w:jc w:val="both"/>
      </w:pPr>
      <w:r>
        <w:t>Otra perspectiva común en la literatura se centra en el modelo operativo: “Iniciativas colectivas caracterizadas por propiedad compartida de activos energéticos, gobernanza democrática y beneficios distribuidos localmente.”</w:t>
      </w:r>
    </w:p>
    <w:p w14:paraId="1F1FE86B" w14:textId="77777777" w:rsidR="00F34566" w:rsidRDefault="00F34566">
      <w:pPr>
        <w:pBdr>
          <w:top w:val="nil"/>
          <w:left w:val="nil"/>
          <w:bottom w:val="nil"/>
          <w:right w:val="nil"/>
          <w:between w:val="nil"/>
        </w:pBdr>
        <w:jc w:val="both"/>
      </w:pPr>
    </w:p>
    <w:p w14:paraId="26241B80" w14:textId="77777777" w:rsidR="00F34566" w:rsidRDefault="00000000" w:rsidP="00562AE6">
      <w:pPr>
        <w:pStyle w:val="Ttulo2"/>
        <w:pBdr>
          <w:top w:val="nil"/>
          <w:left w:val="nil"/>
          <w:bottom w:val="nil"/>
          <w:right w:val="nil"/>
          <w:between w:val="nil"/>
        </w:pBdr>
        <w:ind w:hanging="1440"/>
        <w:jc w:val="both"/>
      </w:pPr>
      <w:bookmarkStart w:id="8" w:name="_heading=h.kotvynp37wlq" w:colFirst="0" w:colLast="0"/>
      <w:bookmarkEnd w:id="8"/>
      <w:r>
        <w:t>1.2. Elementos Estructurales Comunes</w:t>
      </w:r>
    </w:p>
    <w:p w14:paraId="523FD40B" w14:textId="77777777" w:rsidR="00F34566" w:rsidRDefault="00F34566">
      <w:pPr>
        <w:pBdr>
          <w:top w:val="nil"/>
          <w:left w:val="nil"/>
          <w:bottom w:val="nil"/>
          <w:right w:val="nil"/>
          <w:between w:val="nil"/>
        </w:pBdr>
        <w:jc w:val="both"/>
      </w:pPr>
    </w:p>
    <w:p w14:paraId="75B67BF7" w14:textId="77777777" w:rsidR="00F34566" w:rsidRDefault="00000000">
      <w:pPr>
        <w:pBdr>
          <w:top w:val="nil"/>
          <w:left w:val="nil"/>
          <w:bottom w:val="nil"/>
          <w:right w:val="nil"/>
          <w:between w:val="nil"/>
        </w:pBdr>
        <w:jc w:val="both"/>
      </w:pPr>
      <w:r>
        <w:t>Las definiciones contienen elementos conceptuales que deben considerarse dentro de la definición base para RIPCEL:</w:t>
      </w:r>
    </w:p>
    <w:p w14:paraId="74BEA7FE" w14:textId="77777777" w:rsidR="00F34566" w:rsidRDefault="00000000">
      <w:pPr>
        <w:numPr>
          <w:ilvl w:val="0"/>
          <w:numId w:val="3"/>
        </w:numPr>
        <w:pBdr>
          <w:top w:val="nil"/>
          <w:left w:val="nil"/>
          <w:bottom w:val="nil"/>
          <w:right w:val="nil"/>
          <w:between w:val="nil"/>
        </w:pBdr>
        <w:jc w:val="both"/>
      </w:pPr>
      <w:r>
        <w:t>Participación Colectiva: Involucra a diversos actores locales: ciudadanos, gobiernos locales, pequeñas empresas y organizaciones comunitarias.</w:t>
      </w:r>
    </w:p>
    <w:p w14:paraId="513F9F74" w14:textId="77777777" w:rsidR="00F34566" w:rsidRDefault="00000000">
      <w:pPr>
        <w:numPr>
          <w:ilvl w:val="0"/>
          <w:numId w:val="3"/>
        </w:numPr>
        <w:pBdr>
          <w:top w:val="nil"/>
          <w:left w:val="nil"/>
          <w:bottom w:val="nil"/>
          <w:right w:val="nil"/>
          <w:between w:val="nil"/>
        </w:pBdr>
        <w:jc w:val="both"/>
      </w:pPr>
      <w:r>
        <w:t>Gobernanza Participativa: Se caracteriza por la participación abierta y voluntaria y un control democrático o comunitario de la entidad.</w:t>
      </w:r>
    </w:p>
    <w:p w14:paraId="10D4F970" w14:textId="77777777" w:rsidR="00F34566" w:rsidRDefault="00000000">
      <w:pPr>
        <w:numPr>
          <w:ilvl w:val="0"/>
          <w:numId w:val="3"/>
        </w:numPr>
        <w:pBdr>
          <w:top w:val="nil"/>
          <w:left w:val="nil"/>
          <w:bottom w:val="nil"/>
          <w:right w:val="nil"/>
          <w:between w:val="nil"/>
        </w:pBdr>
        <w:jc w:val="both"/>
      </w:pPr>
      <w:r>
        <w:t>Actividad Energética: La comunidad desarrolla una o varias actividades dentro de la cadena de valor energética: generación, consumo, almacenamiento, gestión energética o servicios energéticos.</w:t>
      </w:r>
    </w:p>
    <w:p w14:paraId="5571FE6D" w14:textId="77777777" w:rsidR="00F34566" w:rsidRDefault="00000000">
      <w:pPr>
        <w:numPr>
          <w:ilvl w:val="0"/>
          <w:numId w:val="3"/>
        </w:numPr>
        <w:pBdr>
          <w:top w:val="nil"/>
          <w:left w:val="nil"/>
          <w:bottom w:val="nil"/>
          <w:right w:val="nil"/>
          <w:between w:val="nil"/>
        </w:pBdr>
        <w:jc w:val="both"/>
      </w:pPr>
      <w:r>
        <w:t>Enfoque Territorial: Existe una clara vinculación o anclaje local/territorial.</w:t>
      </w:r>
    </w:p>
    <w:p w14:paraId="113A730B" w14:textId="77777777" w:rsidR="00F34566" w:rsidRDefault="00000000">
      <w:pPr>
        <w:numPr>
          <w:ilvl w:val="0"/>
          <w:numId w:val="3"/>
        </w:numPr>
        <w:pBdr>
          <w:top w:val="nil"/>
          <w:left w:val="nil"/>
          <w:bottom w:val="nil"/>
          <w:right w:val="nil"/>
          <w:between w:val="nil"/>
        </w:pBdr>
        <w:jc w:val="both"/>
      </w:pPr>
      <w:r>
        <w:t>Propósito Social o Ambiental: El objetivo principal se centra en generar beneficios sociales, ambientales y económicos para la comunidad, priorizando esto sobre la maximización del lucro financiero.</w:t>
      </w:r>
    </w:p>
    <w:p w14:paraId="0A5C1F80" w14:textId="77777777" w:rsidR="00F34566" w:rsidRDefault="00F34566">
      <w:pPr>
        <w:pBdr>
          <w:top w:val="nil"/>
          <w:left w:val="nil"/>
          <w:bottom w:val="nil"/>
          <w:right w:val="nil"/>
          <w:between w:val="nil"/>
        </w:pBdr>
        <w:jc w:val="both"/>
        <w:rPr>
          <w:rFonts w:ascii="Roboto" w:eastAsia="Roboto" w:hAnsi="Roboto" w:cs="Roboto"/>
          <w:color w:val="1F1F1F"/>
          <w:sz w:val="21"/>
          <w:szCs w:val="21"/>
          <w:highlight w:val="white"/>
        </w:rPr>
      </w:pPr>
    </w:p>
    <w:p w14:paraId="0B313550" w14:textId="77777777" w:rsidR="00F34566" w:rsidRDefault="00000000">
      <w:pPr>
        <w:pStyle w:val="Ttulo2"/>
        <w:pBdr>
          <w:top w:val="nil"/>
          <w:left w:val="nil"/>
          <w:bottom w:val="nil"/>
          <w:right w:val="nil"/>
          <w:between w:val="nil"/>
        </w:pBdr>
        <w:ind w:hanging="1440"/>
        <w:jc w:val="both"/>
      </w:pPr>
      <w:bookmarkStart w:id="9" w:name="_heading=h.rzd8a3haf6u6" w:colFirst="0" w:colLast="0"/>
      <w:bookmarkEnd w:id="9"/>
      <w:r>
        <w:t>1.3. Propuesta de Definición para RIPCEL</w:t>
      </w:r>
    </w:p>
    <w:p w14:paraId="79D7004C" w14:textId="77777777" w:rsidR="00F34566" w:rsidRDefault="00F34566">
      <w:pPr>
        <w:shd w:val="clear" w:color="auto" w:fill="FFFFFF"/>
        <w:jc w:val="both"/>
        <w:rPr>
          <w:rFonts w:ascii="Roboto" w:eastAsia="Roboto" w:hAnsi="Roboto" w:cs="Roboto"/>
          <w:color w:val="1F1F1F"/>
          <w:sz w:val="21"/>
          <w:szCs w:val="21"/>
          <w:highlight w:val="white"/>
        </w:rPr>
      </w:pPr>
    </w:p>
    <w:p w14:paraId="48335354" w14:textId="77777777" w:rsidR="00F34566" w:rsidRDefault="00000000">
      <w:pPr>
        <w:jc w:val="both"/>
      </w:pPr>
      <w:r>
        <w:t>Considerando la necesidad de una definición que sea sólida conceptualmente, pero flexible ante los diversos marcos regulatorios de Iberoamérica (donde no todos los países han adoptado aún legislación específica), se propone:</w:t>
      </w:r>
    </w:p>
    <w:p w14:paraId="741090C2" w14:textId="77777777" w:rsidR="00F34566" w:rsidRDefault="00F34566">
      <w:pPr>
        <w:jc w:val="both"/>
      </w:pPr>
    </w:p>
    <w:p w14:paraId="759F39B5" w14:textId="77777777" w:rsidR="003A47B3" w:rsidRDefault="003A47B3">
      <w:pPr>
        <w:jc w:val="both"/>
      </w:pPr>
    </w:p>
    <w:p w14:paraId="57305E19" w14:textId="17106DF4" w:rsidR="003A47B3" w:rsidRDefault="003A47B3">
      <w:pPr>
        <w:jc w:val="both"/>
      </w:pPr>
      <w:r w:rsidRPr="003A47B3">
        <w:rPr>
          <w:b/>
          <w:bCs/>
        </w:rPr>
        <w:t xml:space="preserve">Versión </w:t>
      </w:r>
      <w:r>
        <w:rPr>
          <w:b/>
          <w:bCs/>
        </w:rPr>
        <w:t>corta (público en general)</w:t>
      </w:r>
      <w:r w:rsidRPr="003A47B3">
        <w:rPr>
          <w:b/>
          <w:bCs/>
        </w:rPr>
        <w:t>:</w:t>
      </w:r>
    </w:p>
    <w:p w14:paraId="3A8E5B1D" w14:textId="7875B868" w:rsidR="00F34566" w:rsidRDefault="00000000">
      <w:pPr>
        <w:jc w:val="both"/>
      </w:pPr>
      <w:r>
        <w:lastRenderedPageBreak/>
        <w:t>Una comunidad energética es una organización colectiva formada por ciudadanos, instituciones locales, cooperativas, o pequeñas empresas, que procura producir, gestionar, consumir o compartir energía, generalmente a partir de fuentes renovables, mediante esquemas de gobernanza participativa, con el objetivo de generar beneficios sociales, ambientales y económicos para la comunidad y el territorio donde opera.</w:t>
      </w:r>
    </w:p>
    <w:p w14:paraId="024A2C19" w14:textId="77777777" w:rsidR="00F34566" w:rsidRDefault="00F34566">
      <w:pPr>
        <w:jc w:val="both"/>
      </w:pPr>
    </w:p>
    <w:p w14:paraId="728A7646" w14:textId="46E79643" w:rsidR="00F34566" w:rsidRPr="003A47B3" w:rsidRDefault="007A3344">
      <w:pPr>
        <w:jc w:val="both"/>
        <w:rPr>
          <w:b/>
          <w:bCs/>
        </w:rPr>
      </w:pPr>
      <w:r w:rsidRPr="003A47B3">
        <w:rPr>
          <w:b/>
          <w:bCs/>
        </w:rPr>
        <w:t xml:space="preserve">Versión </w:t>
      </w:r>
      <w:r w:rsidR="003A47B3">
        <w:rPr>
          <w:b/>
          <w:bCs/>
        </w:rPr>
        <w:t>larga (académica)</w:t>
      </w:r>
      <w:r w:rsidRPr="003A47B3">
        <w:rPr>
          <w:b/>
          <w:bCs/>
        </w:rPr>
        <w:t>:</w:t>
      </w:r>
    </w:p>
    <w:p w14:paraId="6DB74C17" w14:textId="77777777" w:rsidR="007A3344" w:rsidRDefault="007A3344" w:rsidP="007A3344">
      <w:pPr>
        <w:jc w:val="both"/>
      </w:pPr>
    </w:p>
    <w:p w14:paraId="15710A5A" w14:textId="35159107" w:rsidR="007A3344" w:rsidRDefault="007A3344" w:rsidP="007A3344">
      <w:pPr>
        <w:jc w:val="both"/>
      </w:pPr>
      <w:r>
        <w:t>Una Comunidad Energética Local (CEL) es una entidad jurídica de base socio-territorial, constituida mediante la participación abierta, voluntaria y democrática de ciudadanos, autoridades locales, cooperativas y/o pequeñas empresas. Su propósito fundamental es empoderar a estos actores como prosumidores colectivos para producir, gestionar, consumir, almacenar e intercambiar energía, prioritariamente de fuentes renovables, mediante sistemas tecnológicos interconectados y bidireccionales. Esta organización tiene como fin primordial generar beneficios sociales, ambientales y económicos localizados, tales como el fortalecimiento de la resiliencia comunitaria, la lucha contra la pobreza energética y la consecución de la autonomía energética, prevaleciendo estos objetivos de transformación social sobre la obtención de beneficios financieros.</w:t>
      </w:r>
    </w:p>
    <w:p w14:paraId="44E8484E" w14:textId="77777777" w:rsidR="00F34566" w:rsidRDefault="00F34566">
      <w:pPr>
        <w:jc w:val="both"/>
      </w:pPr>
    </w:p>
    <w:p w14:paraId="1E2A9FE5" w14:textId="77777777" w:rsidR="00F34566" w:rsidRDefault="00F34566">
      <w:pPr>
        <w:jc w:val="both"/>
      </w:pPr>
    </w:p>
    <w:p w14:paraId="6444D993" w14:textId="77777777" w:rsidR="00F34566" w:rsidRDefault="00000000">
      <w:pPr>
        <w:jc w:val="both"/>
      </w:pPr>
      <w:r>
        <w:rPr>
          <w:b/>
          <w:bCs/>
        </w:rPr>
        <w:t>Observación:</w:t>
      </w:r>
      <w:r>
        <w:rPr>
          <w:rFonts w:ascii="Roboto" w:eastAsia="Roboto" w:hAnsi="Roboto" w:cs="Roboto"/>
          <w:color w:val="1F1F1F"/>
          <w:sz w:val="21"/>
          <w:szCs w:val="21"/>
          <w:highlight w:val="white"/>
        </w:rPr>
        <w:t xml:space="preserve"> </w:t>
      </w:r>
      <w:r>
        <w:t>Para una definición más completa es necesario consensuar también en conceptos clave para RIPCEL:</w:t>
      </w:r>
    </w:p>
    <w:p w14:paraId="405BBDE2" w14:textId="77777777" w:rsidR="00F34566" w:rsidRDefault="00F34566">
      <w:pPr>
        <w:pBdr>
          <w:top w:val="nil"/>
          <w:left w:val="nil"/>
          <w:bottom w:val="nil"/>
          <w:right w:val="nil"/>
          <w:between w:val="nil"/>
        </w:pBdr>
        <w:jc w:val="both"/>
      </w:pPr>
    </w:p>
    <w:p w14:paraId="1A906D02" w14:textId="77777777" w:rsidR="00F34566" w:rsidRDefault="00000000">
      <w:pPr>
        <w:pBdr>
          <w:top w:val="nil"/>
          <w:left w:val="nil"/>
          <w:bottom w:val="nil"/>
          <w:right w:val="nil"/>
          <w:between w:val="nil"/>
        </w:pBdr>
        <w:jc w:val="both"/>
      </w:pPr>
      <w:r>
        <w:t>Justicia Energética</w:t>
      </w:r>
    </w:p>
    <w:p w14:paraId="31B29A67" w14:textId="77777777" w:rsidR="00F34566" w:rsidRDefault="00000000">
      <w:pPr>
        <w:pBdr>
          <w:top w:val="nil"/>
          <w:left w:val="nil"/>
          <w:bottom w:val="nil"/>
          <w:right w:val="nil"/>
          <w:between w:val="nil"/>
        </w:pBdr>
        <w:jc w:val="both"/>
      </w:pPr>
      <w:r>
        <w:t>Transición energética</w:t>
      </w:r>
    </w:p>
    <w:p w14:paraId="2BDA2F7F" w14:textId="77777777" w:rsidR="00F34566" w:rsidRDefault="00000000">
      <w:pPr>
        <w:pBdr>
          <w:top w:val="nil"/>
          <w:left w:val="nil"/>
          <w:bottom w:val="nil"/>
          <w:right w:val="nil"/>
          <w:between w:val="nil"/>
        </w:pBdr>
        <w:jc w:val="both"/>
      </w:pPr>
      <w:r>
        <w:t>Participación social</w:t>
      </w:r>
    </w:p>
    <w:p w14:paraId="6C5CD8F3" w14:textId="77777777" w:rsidR="00F34566" w:rsidRDefault="00000000">
      <w:pPr>
        <w:pBdr>
          <w:top w:val="nil"/>
          <w:left w:val="nil"/>
          <w:bottom w:val="nil"/>
          <w:right w:val="nil"/>
          <w:between w:val="nil"/>
        </w:pBdr>
        <w:jc w:val="both"/>
      </w:pPr>
      <w:r>
        <w:t>Resiliencia territorial</w:t>
      </w:r>
    </w:p>
    <w:p w14:paraId="40FBDCDC" w14:textId="77777777" w:rsidR="00F34566" w:rsidRDefault="00F34566">
      <w:pPr>
        <w:pBdr>
          <w:top w:val="nil"/>
          <w:left w:val="nil"/>
          <w:bottom w:val="nil"/>
          <w:right w:val="nil"/>
          <w:between w:val="nil"/>
        </w:pBdr>
        <w:jc w:val="both"/>
      </w:pPr>
    </w:p>
    <w:p w14:paraId="1954C40F" w14:textId="77777777" w:rsidR="00F34566" w:rsidRDefault="00000000">
      <w:pPr>
        <w:spacing w:before="240" w:after="240"/>
        <w:jc w:val="both"/>
        <w:rPr>
          <w:b/>
          <w:bCs/>
        </w:rPr>
      </w:pPr>
      <w:r>
        <w:rPr>
          <w:b/>
          <w:bCs/>
        </w:rPr>
        <w:t>La Justicia Energética en sistemas de Poligeneracion</w:t>
      </w:r>
    </w:p>
    <w:p w14:paraId="63F228A5" w14:textId="77777777" w:rsidR="00F34566" w:rsidRDefault="00000000">
      <w:pPr>
        <w:spacing w:before="240" w:after="240"/>
        <w:jc w:val="both"/>
      </w:pPr>
      <w:r>
        <w:t>Las ciencias sociales han desarrollado un marco conceptual robusto para analizar las implicaciones éticas y de equidad de los sistemas energéticos: la Justicia Energética. Este campo interdisciplinario busca aplicar principios de justicia a la producción, distribución y consumo de energía [13], [29]. La literatura seminal en este campo, como la de [13], [30], [29], ha consolidado el marco en torno a tres principios fundamentales:</w:t>
      </w:r>
    </w:p>
    <w:p w14:paraId="5C0E40CB" w14:textId="77777777" w:rsidR="00F34566" w:rsidRDefault="00000000">
      <w:pPr>
        <w:spacing w:before="240" w:after="240"/>
        <w:jc w:val="both"/>
      </w:pPr>
      <w:r>
        <w:t>·</w:t>
      </w:r>
      <w:r>
        <w:rPr>
          <w:sz w:val="14"/>
          <w:szCs w:val="14"/>
        </w:rPr>
        <w:t xml:space="preserve">          </w:t>
      </w:r>
      <w:r>
        <w:t>Justicia Distributiva: Se refiere a la asignación equitativa de los beneficios (p. ej., acceso a energía limpia, empleos, aire limpio) y las cargas (p. ej., exposición a la contaminación, altos costos, pobreza energética) del sistema energético entre todos los grupos sociales [13],[31].</w:t>
      </w:r>
    </w:p>
    <w:p w14:paraId="29D89971" w14:textId="77777777" w:rsidR="00F34566" w:rsidRDefault="00000000">
      <w:pPr>
        <w:spacing w:before="240" w:after="240"/>
        <w:jc w:val="both"/>
      </w:pPr>
      <w:r>
        <w:lastRenderedPageBreak/>
        <w:t>·</w:t>
      </w:r>
      <w:r>
        <w:rPr>
          <w:sz w:val="14"/>
          <w:szCs w:val="14"/>
        </w:rPr>
        <w:t xml:space="preserve">          </w:t>
      </w:r>
      <w:r>
        <w:t>Justicia Procedimental: Se centra en la equidad y la inclusión en los procesos de toma de decisiones, asegurando que todas las comunidades afectadas, especialmente las marginadas, tengan una voz significativa y acceso a la información [13], [32],[33].</w:t>
      </w:r>
    </w:p>
    <w:p w14:paraId="75835AE4" w14:textId="77777777" w:rsidR="00F34566" w:rsidRDefault="00000000">
      <w:pPr>
        <w:spacing w:before="240" w:after="240"/>
        <w:jc w:val="both"/>
      </w:pPr>
      <w:r>
        <w:t>·</w:t>
      </w:r>
      <w:r>
        <w:rPr>
          <w:sz w:val="14"/>
          <w:szCs w:val="14"/>
        </w:rPr>
        <w:t xml:space="preserve">          </w:t>
      </w:r>
      <w:r>
        <w:t>Justicia de Reconocimiento: Implica el reconocimiento y el respeto de los derechos, la cultura y las diversas necesidades de los diferentes grupos sociales, evitando la invisibilización de las injusticias históricas y presentes que han afectado a ciertas comunidades [13],[34].</w:t>
      </w:r>
    </w:p>
    <w:p w14:paraId="4B42CAAC" w14:textId="77777777" w:rsidR="00F34566" w:rsidRDefault="00000000">
      <w:pPr>
        <w:spacing w:before="240" w:after="240"/>
        <w:jc w:val="both"/>
      </w:pPr>
      <w:r>
        <w:t>Este marco ha sido influyente en el análisis de políticas y en estudios de caso cualitativos, especialmente en contextos de transición energética como el de Colombia, donde la expansión de proyectos renovables en territorios con poblaciones vulnerables ha generado conflictos sociotécnicos [35], [36], [37]. Sin embargo, la integración de estos principios en modelos de optimización cuantitativos sigue siendo un desafío significativo y un área de investigación emergente [30], [31] sobre todo en poder lograr que la “justicia” o la “equidad” se conviertan en un criterio optimizable donde deben ser traducidas a métricas cuantitativas.</w:t>
      </w:r>
    </w:p>
    <w:p w14:paraId="5C660D69" w14:textId="77777777" w:rsidR="00F34566" w:rsidRDefault="00000000">
      <w:pPr>
        <w:spacing w:before="240" w:after="240"/>
        <w:jc w:val="both"/>
      </w:pPr>
      <w:r>
        <w:t>Una de las vías más desarrolladas para cuantificar una externalidad social es la monetización de los impactos en la salud derivados de la contaminación del aire. El Enfoque de la Vía de Impacto (IPA, por sus siglas en inglés) es la metodología estándar, que sigue una cadena causal: 1) cuantificación de emisiones de contaminantes (PM2.5, NOx, SOx) de cada planta; 2) modelado de la dispersión atmosférica para determinar el cambio en la concentración ambiental; 3) aplicación de funciones de concentración-respuesta para estimar los impactos en la salud (p. ej., mortalidad prematura, casos de asma); y 4) asignación de un valor monetario a estos impactos utilizando métricas como el Valor de una Vida Estadística (VSL) [99], [125]. Aunque esta metodología es robusta, su aplicación en modelos de despacho horario es computacionalmente intensiva y rara vez se realiza, siendo más común en análisis de políticas a largo plazo [137],[171].</w:t>
      </w:r>
    </w:p>
    <w:p w14:paraId="521D68AF" w14:textId="77777777" w:rsidR="00F34566" w:rsidRDefault="00000000">
      <w:pPr>
        <w:spacing w:before="240" w:after="240"/>
        <w:jc w:val="both"/>
      </w:pPr>
      <w:r>
        <w:t>Otro aspecto de la justicia distributiva es la creación de empleo. Informes de agencias como la Agencia Internacional de Energías Renovables (IRENA) y la Organización Internacional del Trabajo (OIT) proporcionan estimaciones de “empleos por MWh” o “empleos por MW instalado” para diferentes tecnologías energéticas [90]. Estos factores permiten diferenciar las tecnologías no solo por su costo o emisiones, sino también por su potencial para generar beneficios económicos locales. Sin embargo, estos son indicadores macroeconómicos y su aplicación a la operación de un sistema específico requiere supuestos cuidadosos, ya que no capturan la calidad, la duración o la distribución geográfica precisa de dichos empleos [35].</w:t>
      </w:r>
    </w:p>
    <w:p w14:paraId="4D45DEDC" w14:textId="77777777" w:rsidR="00F34566" w:rsidRDefault="00000000">
      <w:pPr>
        <w:spacing w:before="240" w:after="240"/>
        <w:jc w:val="both"/>
      </w:pPr>
      <w:r>
        <w:t xml:space="preserve">La justicia procedimental y de reconocimiento están estrechamente ligadas a la aceptación social de los proyectos energéticos. La literatura ha explorado este concepto a través de métodos de encuestas, como la Valoración Contingente (CVM, por sus siglas en inglés), para medir la “disposición a pagar” (WTP, por sus siglas en inglés) del público por proyectos de energía renovable o para evitar la proximidad a infraestructuras energéticas no deseadas [116], [148]. Estos estudios demuestran que factores como la educación, los ingresos y la </w:t>
      </w:r>
      <w:r>
        <w:lastRenderedPageBreak/>
        <w:t>conciencia ambiental influyen en la aceptación [148]. Sin embargo, traducir una métrica de WTP o un índice de aceptación en una restricción operativa “dura” o en un costo marginal para el despacho horario es metodológicamente complejo y un área de investigación activa [35],[38].</w:t>
      </w:r>
    </w:p>
    <w:p w14:paraId="0C837D3C" w14:textId="77777777" w:rsidR="00F34566" w:rsidRDefault="00000000">
      <w:pPr>
        <w:pBdr>
          <w:top w:val="nil"/>
          <w:left w:val="nil"/>
          <w:bottom w:val="nil"/>
          <w:right w:val="nil"/>
          <w:between w:val="nil"/>
        </w:pBdr>
        <w:jc w:val="both"/>
        <w:rPr>
          <w:i/>
          <w:iCs/>
        </w:rPr>
      </w:pPr>
      <w:r>
        <w:rPr>
          <w:i/>
          <w:iCs/>
        </w:rPr>
        <w:t>Tesis MSC en Ingeniería Eléctrica, Modelo Multiobjetivo de Despacho Económico, Ambiental y Social para Sistemas de Poligeneración con Fuentes Renovables y Almacenamiento, Ing Jhonatan Alexander Chicacausa Niño, Facultad de Ingeniería, Universidad Nacional de Colombia.</w:t>
      </w:r>
    </w:p>
    <w:p w14:paraId="2B681C13" w14:textId="77777777" w:rsidR="00F34566" w:rsidRDefault="00F34566">
      <w:pPr>
        <w:pBdr>
          <w:top w:val="nil"/>
          <w:left w:val="nil"/>
          <w:bottom w:val="nil"/>
          <w:right w:val="nil"/>
          <w:between w:val="nil"/>
        </w:pBdr>
        <w:jc w:val="both"/>
        <w:rPr>
          <w:i/>
          <w:iCs/>
        </w:rPr>
      </w:pPr>
    </w:p>
    <w:p w14:paraId="5409BDFF" w14:textId="77777777" w:rsidR="00F34566" w:rsidRPr="0009754D" w:rsidRDefault="00000000">
      <w:pPr>
        <w:pBdr>
          <w:top w:val="nil"/>
          <w:left w:val="nil"/>
          <w:bottom w:val="nil"/>
          <w:right w:val="nil"/>
          <w:between w:val="nil"/>
        </w:pBdr>
        <w:jc w:val="both"/>
        <w:rPr>
          <w:i/>
          <w:iCs/>
          <w:lang w:val="en-US"/>
        </w:rPr>
      </w:pPr>
      <w:r w:rsidRPr="0009754D">
        <w:rPr>
          <w:i/>
          <w:iCs/>
          <w:lang w:val="en-US"/>
        </w:rPr>
        <w:t>13.</w:t>
      </w:r>
      <w:r w:rsidRPr="0009754D">
        <w:rPr>
          <w:i/>
          <w:iCs/>
          <w:lang w:val="en-US"/>
        </w:rPr>
        <w:tab/>
        <w:t>K. Jenkins, D. McCauley, R. Heffron, H. Stephan, and R. Rehner, “Energy justice: A conceptual review,” Energy Research &amp; Social Science, vol. 11, pp. 174–182, 2016, doi: 10.1016/j.erss.2015.10.004.</w:t>
      </w:r>
    </w:p>
    <w:p w14:paraId="14CAC937" w14:textId="77777777" w:rsidR="00F34566" w:rsidRPr="0009754D" w:rsidRDefault="00000000">
      <w:pPr>
        <w:pBdr>
          <w:top w:val="nil"/>
          <w:left w:val="nil"/>
          <w:bottom w:val="nil"/>
          <w:right w:val="nil"/>
          <w:between w:val="nil"/>
        </w:pBdr>
        <w:jc w:val="both"/>
        <w:rPr>
          <w:i/>
          <w:iCs/>
          <w:lang w:val="en-US"/>
        </w:rPr>
      </w:pPr>
      <w:r w:rsidRPr="0009754D">
        <w:rPr>
          <w:i/>
          <w:iCs/>
          <w:lang w:val="en-US"/>
        </w:rPr>
        <w:t>29.</w:t>
      </w:r>
      <w:r w:rsidRPr="0009754D">
        <w:rPr>
          <w:i/>
          <w:iCs/>
          <w:lang w:val="en-US"/>
        </w:rPr>
        <w:tab/>
        <w:t>B. K. Sovacool, J. Jewell, and M. Bazilian, “A justice perspective on energy efficiency policies: Implications for addressing energy poverty in the Global South,” Global Environmental Change, vol. 75, p. 102540, 2022, doi: 10.1016/j.gloenvcha.2022.102540.</w:t>
      </w:r>
    </w:p>
    <w:p w14:paraId="4295F3D5" w14:textId="77777777" w:rsidR="00F34566" w:rsidRPr="0009754D" w:rsidRDefault="00000000">
      <w:pPr>
        <w:pBdr>
          <w:top w:val="nil"/>
          <w:left w:val="nil"/>
          <w:bottom w:val="nil"/>
          <w:right w:val="nil"/>
          <w:between w:val="nil"/>
        </w:pBdr>
        <w:jc w:val="both"/>
        <w:rPr>
          <w:i/>
          <w:iCs/>
          <w:lang w:val="en-US"/>
        </w:rPr>
      </w:pPr>
      <w:r w:rsidRPr="0009754D">
        <w:rPr>
          <w:i/>
          <w:iCs/>
          <w:lang w:val="en-US"/>
        </w:rPr>
        <w:t>30.</w:t>
      </w:r>
      <w:r w:rsidRPr="0009754D">
        <w:rPr>
          <w:i/>
          <w:iCs/>
          <w:lang w:val="en-US"/>
        </w:rPr>
        <w:tab/>
        <w:t>B. K. Sovacool and M. H. Dworkin, “Energy justice: Conceptual insights and practical applications,” Applied Energy, vol. 142, pp. 435–444, 2015, doi: 10.1016/j.apenergy.2015.01.002.</w:t>
      </w:r>
    </w:p>
    <w:p w14:paraId="0DB81CB5" w14:textId="77777777" w:rsidR="00F34566" w:rsidRPr="0009754D" w:rsidRDefault="00000000">
      <w:pPr>
        <w:pBdr>
          <w:top w:val="nil"/>
          <w:left w:val="nil"/>
          <w:bottom w:val="nil"/>
          <w:right w:val="nil"/>
          <w:between w:val="nil"/>
        </w:pBdr>
        <w:jc w:val="both"/>
        <w:rPr>
          <w:i/>
          <w:iCs/>
          <w:lang w:val="en-US"/>
        </w:rPr>
      </w:pPr>
      <w:r w:rsidRPr="0009754D">
        <w:rPr>
          <w:i/>
          <w:iCs/>
          <w:lang w:val="en-US"/>
        </w:rPr>
        <w:t>31.</w:t>
      </w:r>
      <w:r w:rsidRPr="0009754D">
        <w:rPr>
          <w:i/>
          <w:iCs/>
          <w:lang w:val="en-US"/>
        </w:rPr>
        <w:tab/>
        <w:t>S. Shan, Y. Li, Y. Yang, H. Zhang, and J. Li, “Quantifying social justice in energy transition: A policy‑driven assessment framework for China,” Systems, vol. 13, no. 3, p. 201, 2025, doi: 10.3390/systems13030201.</w:t>
      </w:r>
    </w:p>
    <w:p w14:paraId="6B31F590" w14:textId="77777777" w:rsidR="00F34566" w:rsidRPr="0009754D" w:rsidRDefault="00000000">
      <w:pPr>
        <w:pBdr>
          <w:top w:val="nil"/>
          <w:left w:val="nil"/>
          <w:bottom w:val="nil"/>
          <w:right w:val="nil"/>
          <w:between w:val="nil"/>
        </w:pBdr>
        <w:jc w:val="both"/>
        <w:rPr>
          <w:i/>
          <w:iCs/>
          <w:lang w:val="en-US"/>
        </w:rPr>
      </w:pPr>
      <w:r w:rsidRPr="0009754D">
        <w:rPr>
          <w:i/>
          <w:iCs/>
          <w:lang w:val="en-US"/>
        </w:rPr>
        <w:t>32.</w:t>
      </w:r>
      <w:r w:rsidRPr="0009754D">
        <w:rPr>
          <w:i/>
          <w:iCs/>
          <w:lang w:val="en-US"/>
        </w:rPr>
        <w:tab/>
        <w:t>E. van de Grift and E. Cuppen, “Beyond the public in controversies: A systematic review on social opposition and renewable energy actors,” Energy Research &amp; Social Science, vol. 91, p. 102749, 2022, doi: 10.1016/j.erss.2022.102749.</w:t>
      </w:r>
    </w:p>
    <w:p w14:paraId="76A67CC9" w14:textId="77777777" w:rsidR="00F34566" w:rsidRDefault="00000000">
      <w:pPr>
        <w:pBdr>
          <w:top w:val="nil"/>
          <w:left w:val="nil"/>
          <w:bottom w:val="nil"/>
          <w:right w:val="nil"/>
          <w:between w:val="nil"/>
        </w:pBdr>
        <w:jc w:val="both"/>
        <w:rPr>
          <w:i/>
          <w:iCs/>
        </w:rPr>
      </w:pPr>
      <w:r>
        <w:rPr>
          <w:i/>
          <w:iCs/>
        </w:rPr>
        <w:t>33.</w:t>
      </w:r>
      <w:r>
        <w:rPr>
          <w:i/>
          <w:iCs/>
        </w:rPr>
        <w:tab/>
        <w:t>Autoridad Nacional de Licencias Ambientales (ANLA), Manual de compensaciones del componente biótico. Bogotá, Colombia: ANLA, 2018I</w:t>
      </w:r>
    </w:p>
    <w:p w14:paraId="6C0E2560" w14:textId="77777777" w:rsidR="00F34566" w:rsidRDefault="00000000">
      <w:pPr>
        <w:pBdr>
          <w:top w:val="nil"/>
          <w:left w:val="nil"/>
          <w:bottom w:val="nil"/>
          <w:right w:val="nil"/>
          <w:between w:val="nil"/>
        </w:pBdr>
        <w:jc w:val="both"/>
        <w:rPr>
          <w:i/>
          <w:iCs/>
        </w:rPr>
      </w:pPr>
      <w:r>
        <w:rPr>
          <w:i/>
          <w:iCs/>
        </w:rPr>
        <w:t>34.</w:t>
      </w:r>
      <w:r>
        <w:rPr>
          <w:i/>
          <w:iCs/>
        </w:rPr>
        <w:tab/>
        <w:t>K. A. Alfaro and L. Alfaro García, “Análisis del abordaje social en la incorporación de proyectos de energías renovables: una revisión documental,” Revista Nuevo Humanismo, vol. 11, no. 1, pp. 107–135, 2023, doi: 10.15359/rnh.11-1.5.</w:t>
      </w:r>
    </w:p>
    <w:p w14:paraId="75BCC58A" w14:textId="77777777" w:rsidR="00F34566" w:rsidRPr="0009754D" w:rsidRDefault="00000000">
      <w:pPr>
        <w:pBdr>
          <w:top w:val="nil"/>
          <w:left w:val="nil"/>
          <w:bottom w:val="nil"/>
          <w:right w:val="nil"/>
          <w:between w:val="nil"/>
        </w:pBdr>
        <w:jc w:val="both"/>
        <w:rPr>
          <w:i/>
          <w:iCs/>
          <w:lang w:val="en-US"/>
        </w:rPr>
      </w:pPr>
      <w:r w:rsidRPr="0009754D">
        <w:rPr>
          <w:i/>
          <w:iCs/>
          <w:lang w:val="en-US"/>
        </w:rPr>
        <w:t>35.</w:t>
      </w:r>
      <w:r w:rsidRPr="0009754D">
        <w:rPr>
          <w:i/>
          <w:iCs/>
          <w:lang w:val="en-US"/>
        </w:rPr>
        <w:tab/>
        <w:t>The University of Queensland, “Intro to predicting and monetising intangible and non‑market impacts,” 2022. [Online]. Available: https://uq.pressbooks.pub/socialcba/chapter/intro-to-predicting-and-monetizing-intangible-and-non-market-impacts/</w:t>
      </w:r>
    </w:p>
    <w:p w14:paraId="65F32E1A" w14:textId="77777777" w:rsidR="00F34566" w:rsidRDefault="00000000">
      <w:pPr>
        <w:pBdr>
          <w:top w:val="nil"/>
          <w:left w:val="nil"/>
          <w:bottom w:val="nil"/>
          <w:right w:val="nil"/>
          <w:between w:val="nil"/>
        </w:pBdr>
        <w:jc w:val="both"/>
        <w:rPr>
          <w:i/>
          <w:iCs/>
        </w:rPr>
      </w:pPr>
      <w:r>
        <w:rPr>
          <w:i/>
          <w:iCs/>
        </w:rPr>
        <w:t>36.</w:t>
      </w:r>
      <w:r>
        <w:rPr>
          <w:i/>
          <w:iCs/>
        </w:rPr>
        <w:tab/>
        <w:t>A. N. Figueroa Cuello, “Determinantes de la aceptación social de las tecnologías energéticas renovables desde la perspectiva del usuario líder en La Guajira – Colombia,” M.Sc. thesis, Univ. Pontificia Bolivariana, Medellín, Colombia, 2019. [Online]. Available: https://repository.upb.edu.co/handle/20.500.11912/4174</w:t>
      </w:r>
    </w:p>
    <w:p w14:paraId="3D3C75BC" w14:textId="77777777" w:rsidR="00F34566" w:rsidRPr="0009754D" w:rsidRDefault="00000000">
      <w:pPr>
        <w:pBdr>
          <w:top w:val="nil"/>
          <w:left w:val="nil"/>
          <w:bottom w:val="nil"/>
          <w:right w:val="nil"/>
          <w:between w:val="nil"/>
        </w:pBdr>
        <w:jc w:val="both"/>
        <w:rPr>
          <w:i/>
          <w:iCs/>
          <w:lang w:val="en-US"/>
        </w:rPr>
      </w:pPr>
      <w:r>
        <w:rPr>
          <w:i/>
          <w:iCs/>
        </w:rPr>
        <w:t>37.</w:t>
      </w:r>
      <w:r>
        <w:rPr>
          <w:i/>
          <w:iCs/>
        </w:rPr>
        <w:tab/>
        <w:t xml:space="preserve">J. Vega Araújo, M. Muñoz Cabré, Y. Ramirez, and R. Lerma, “Energía eólica y comunidades Wayuu: Retos en La Guajira,” SEI Feature Article, 2023. </w:t>
      </w:r>
      <w:r w:rsidRPr="0009754D">
        <w:rPr>
          <w:i/>
          <w:iCs/>
          <w:lang w:val="en-US"/>
        </w:rPr>
        <w:t>[Online]. Available: https://www.sei.org/features/energia-eolica-y-comunidades-wayuu-retos-en-la-guajira/</w:t>
      </w:r>
    </w:p>
    <w:p w14:paraId="537D826A" w14:textId="77777777" w:rsidR="00F34566" w:rsidRPr="0009754D" w:rsidRDefault="00000000">
      <w:pPr>
        <w:pBdr>
          <w:top w:val="nil"/>
          <w:left w:val="nil"/>
          <w:bottom w:val="nil"/>
          <w:right w:val="nil"/>
          <w:between w:val="nil"/>
        </w:pBdr>
        <w:jc w:val="both"/>
        <w:rPr>
          <w:i/>
          <w:iCs/>
          <w:lang w:val="en-US"/>
        </w:rPr>
      </w:pPr>
      <w:r w:rsidRPr="0009754D">
        <w:rPr>
          <w:i/>
          <w:iCs/>
          <w:lang w:val="en-US"/>
        </w:rPr>
        <w:lastRenderedPageBreak/>
        <w:t>38.</w:t>
      </w:r>
      <w:r w:rsidRPr="0009754D">
        <w:rPr>
          <w:i/>
          <w:iCs/>
          <w:lang w:val="en-US"/>
        </w:rPr>
        <w:tab/>
        <w:t>I. Dike, “Social acceptance of renewable energy technologies: A review of the literature,” Renewable and Sustainable Energy Reviews, vol. 112, pp. 391–400, 2019, doi: 10.1016/j.rser.2019.05.006.</w:t>
      </w:r>
    </w:p>
    <w:p w14:paraId="1101038A" w14:textId="77777777" w:rsidR="00F34566" w:rsidRPr="0009754D" w:rsidRDefault="00000000">
      <w:pPr>
        <w:pBdr>
          <w:top w:val="nil"/>
          <w:left w:val="nil"/>
          <w:bottom w:val="nil"/>
          <w:right w:val="nil"/>
          <w:between w:val="nil"/>
        </w:pBdr>
        <w:jc w:val="both"/>
        <w:rPr>
          <w:i/>
          <w:iCs/>
          <w:lang w:val="en-US"/>
        </w:rPr>
      </w:pPr>
      <w:r w:rsidRPr="0009754D">
        <w:rPr>
          <w:i/>
          <w:iCs/>
          <w:lang w:val="en-US"/>
        </w:rPr>
        <w:t>99.</w:t>
      </w:r>
      <w:r w:rsidRPr="0009754D">
        <w:rPr>
          <w:i/>
          <w:iCs/>
          <w:lang w:val="en-US"/>
        </w:rPr>
        <w:tab/>
        <w:t>D. Krewski et al., “Extended follow‑up and spatial analysis of the American Cancer Society study linking particulate air pol-lution and mortality,” Environmental Health Perspectives, vol. 117, no. 10, pp. 1681–1686, 2009, doi: 10.1289/ehp.0900914.</w:t>
      </w:r>
    </w:p>
    <w:p w14:paraId="6EF16F3D" w14:textId="77777777" w:rsidR="00F34566" w:rsidRPr="0067371E" w:rsidRDefault="00000000">
      <w:pPr>
        <w:pBdr>
          <w:top w:val="nil"/>
          <w:left w:val="nil"/>
          <w:bottom w:val="nil"/>
          <w:right w:val="nil"/>
          <w:between w:val="nil"/>
        </w:pBdr>
        <w:jc w:val="both"/>
        <w:rPr>
          <w:i/>
          <w:iCs/>
          <w:lang w:val="en-US"/>
        </w:rPr>
      </w:pPr>
      <w:r>
        <w:rPr>
          <w:i/>
          <w:iCs/>
        </w:rPr>
        <w:t>116.</w:t>
      </w:r>
      <w:r>
        <w:rPr>
          <w:i/>
          <w:iCs/>
        </w:rPr>
        <w:tab/>
        <w:t xml:space="preserve">E. P. Morán Meza, “Estudio de aceptación social y las nuevas fuentes de energías renovables,” Trabajo de titulación, Univ. </w:t>
      </w:r>
      <w:r w:rsidRPr="0067371E">
        <w:rPr>
          <w:i/>
          <w:iCs/>
          <w:lang w:val="en-US"/>
        </w:rPr>
        <w:t>Politécnica Salesiana, Guayaquil, Ecuador, 2022.</w:t>
      </w:r>
    </w:p>
    <w:p w14:paraId="3F457A83" w14:textId="77777777" w:rsidR="00F34566" w:rsidRPr="0009754D" w:rsidRDefault="00000000">
      <w:pPr>
        <w:pBdr>
          <w:top w:val="nil"/>
          <w:left w:val="nil"/>
          <w:bottom w:val="nil"/>
          <w:right w:val="nil"/>
          <w:between w:val="nil"/>
        </w:pBdr>
        <w:jc w:val="both"/>
        <w:rPr>
          <w:i/>
          <w:iCs/>
          <w:lang w:val="en-US"/>
        </w:rPr>
      </w:pPr>
      <w:r w:rsidRPr="0009754D">
        <w:rPr>
          <w:i/>
          <w:iCs/>
          <w:lang w:val="en-US"/>
        </w:rPr>
        <w:t>125.</w:t>
      </w:r>
      <w:r w:rsidRPr="0009754D">
        <w:rPr>
          <w:i/>
          <w:iCs/>
          <w:lang w:val="en-US"/>
        </w:rPr>
        <w:tab/>
        <w:t>B. Ostro, “Air pollution and mortality: Results from a study of Santiago, Chile,” Environmental Health Perspectives, vol. 104, no. 10, pp. 1058–1062, 1996, doi: 10.2307/3432832.</w:t>
      </w:r>
    </w:p>
    <w:p w14:paraId="6779B719" w14:textId="77777777" w:rsidR="00F34566" w:rsidRPr="0009754D" w:rsidRDefault="00000000">
      <w:pPr>
        <w:pBdr>
          <w:top w:val="nil"/>
          <w:left w:val="nil"/>
          <w:bottom w:val="nil"/>
          <w:right w:val="nil"/>
          <w:between w:val="nil"/>
        </w:pBdr>
        <w:jc w:val="both"/>
        <w:rPr>
          <w:i/>
          <w:iCs/>
          <w:lang w:val="en-US"/>
        </w:rPr>
      </w:pPr>
      <w:r w:rsidRPr="0009754D">
        <w:rPr>
          <w:i/>
          <w:iCs/>
          <w:lang w:val="en-US"/>
        </w:rPr>
        <w:t>137.</w:t>
      </w:r>
      <w:r w:rsidRPr="0009754D">
        <w:rPr>
          <w:i/>
          <w:iCs/>
          <w:lang w:val="en-US"/>
        </w:rPr>
        <w:tab/>
        <w:t>S. Samadi, “The social costs of electricity generation – Categorising different types of costs and evaluating their respective relevance,” Energies, vol. 10, no. 3, p. 356, 2017, doi: 10.3390/en10030356.</w:t>
      </w:r>
    </w:p>
    <w:p w14:paraId="43722D2C" w14:textId="77777777" w:rsidR="00F34566" w:rsidRPr="0009754D" w:rsidRDefault="00000000">
      <w:pPr>
        <w:pBdr>
          <w:top w:val="nil"/>
          <w:left w:val="nil"/>
          <w:bottom w:val="nil"/>
          <w:right w:val="nil"/>
          <w:between w:val="nil"/>
        </w:pBdr>
        <w:jc w:val="both"/>
        <w:rPr>
          <w:i/>
          <w:iCs/>
          <w:lang w:val="en-US"/>
        </w:rPr>
      </w:pPr>
      <w:r w:rsidRPr="0009754D">
        <w:rPr>
          <w:i/>
          <w:iCs/>
          <w:lang w:val="en-US"/>
        </w:rPr>
        <w:t>148.</w:t>
      </w:r>
      <w:r w:rsidRPr="0009754D">
        <w:rPr>
          <w:i/>
          <w:iCs/>
          <w:lang w:val="en-US"/>
        </w:rPr>
        <w:tab/>
        <w:t>E. K. Stigka, J. A. Paravantis, and G. K. Mihalakakou, “Social acceptance of renewable energy sources: A review of contingent valuation applications,” Renewable and Sustainable Energy Reviews, vol. 32, pp. 100–106, 2014, doi: 10.1016/j.rser.2013.12.026.</w:t>
      </w:r>
    </w:p>
    <w:p w14:paraId="0E3BCAD4" w14:textId="77777777" w:rsidR="00F34566" w:rsidRPr="0009754D" w:rsidRDefault="00000000">
      <w:pPr>
        <w:pBdr>
          <w:top w:val="nil"/>
          <w:left w:val="nil"/>
          <w:bottom w:val="nil"/>
          <w:right w:val="nil"/>
          <w:between w:val="nil"/>
        </w:pBdr>
        <w:jc w:val="both"/>
        <w:rPr>
          <w:i/>
          <w:iCs/>
          <w:lang w:val="en-US"/>
        </w:rPr>
      </w:pPr>
      <w:r w:rsidRPr="0009754D">
        <w:rPr>
          <w:i/>
          <w:iCs/>
          <w:lang w:val="en-US"/>
        </w:rPr>
        <w:t>171.</w:t>
      </w:r>
      <w:r w:rsidRPr="0009754D">
        <w:rPr>
          <w:i/>
          <w:iCs/>
          <w:lang w:val="en-US"/>
        </w:rPr>
        <w:tab/>
        <w:t>E. D. Fund, ‘‘What is the social cost of carbon?’’ https://www.edf.org/true-cost-carbon-pollution, 2023, consultado en 2025.</w:t>
      </w:r>
    </w:p>
    <w:p w14:paraId="26E0D253" w14:textId="77777777" w:rsidR="00F34566" w:rsidRPr="0009754D" w:rsidRDefault="00F34566">
      <w:pPr>
        <w:pBdr>
          <w:top w:val="nil"/>
          <w:left w:val="nil"/>
          <w:bottom w:val="nil"/>
          <w:right w:val="nil"/>
          <w:between w:val="nil"/>
        </w:pBdr>
        <w:jc w:val="both"/>
        <w:rPr>
          <w:i/>
          <w:iCs/>
          <w:lang w:val="en-US"/>
        </w:rPr>
      </w:pPr>
    </w:p>
    <w:p w14:paraId="19F1938B" w14:textId="77777777" w:rsidR="00F34566" w:rsidRDefault="00000000">
      <w:pPr>
        <w:pStyle w:val="Ttulo1"/>
        <w:numPr>
          <w:ilvl w:val="0"/>
          <w:numId w:val="5"/>
        </w:numPr>
        <w:pBdr>
          <w:top w:val="nil"/>
          <w:left w:val="nil"/>
          <w:bottom w:val="nil"/>
          <w:right w:val="nil"/>
          <w:between w:val="nil"/>
        </w:pBdr>
      </w:pPr>
      <w:bookmarkStart w:id="10" w:name="_heading=h.lpsz2myc4ybm" w:colFirst="0" w:colLast="0"/>
      <w:bookmarkEnd w:id="10"/>
      <w:r>
        <w:lastRenderedPageBreak/>
        <w:t>Justicia Energética</w:t>
      </w:r>
    </w:p>
    <w:p w14:paraId="63B609B8" w14:textId="77777777" w:rsidR="00F34566" w:rsidRDefault="00F34566">
      <w:pPr>
        <w:pBdr>
          <w:top w:val="nil"/>
          <w:left w:val="nil"/>
          <w:bottom w:val="nil"/>
          <w:right w:val="nil"/>
          <w:between w:val="nil"/>
        </w:pBdr>
        <w:jc w:val="both"/>
        <w:rPr>
          <w:rFonts w:ascii="Roboto" w:eastAsia="Roboto" w:hAnsi="Roboto" w:cs="Roboto"/>
          <w:color w:val="1F1F1F"/>
          <w:sz w:val="21"/>
          <w:szCs w:val="21"/>
          <w:highlight w:val="white"/>
        </w:rPr>
      </w:pPr>
    </w:p>
    <w:p w14:paraId="599FC9F5" w14:textId="77777777" w:rsidR="00F34566" w:rsidRDefault="00000000">
      <w:pPr>
        <w:jc w:val="both"/>
      </w:pPr>
      <w:r>
        <w:t>La justicia energética se ocupa de cómo se distribuyen los riesgos y beneficios de los sistemas energéticos. Se articula a través de tres ejes principales, conocidos como el "triunvirato de principios":</w:t>
      </w:r>
    </w:p>
    <w:p w14:paraId="6213AE58" w14:textId="77777777" w:rsidR="00F34566" w:rsidRDefault="00000000">
      <w:pPr>
        <w:numPr>
          <w:ilvl w:val="0"/>
          <w:numId w:val="4"/>
        </w:numPr>
        <w:jc w:val="both"/>
      </w:pPr>
      <w:r>
        <w:t xml:space="preserve">Justicia Distributiva: Se enfoca en el reparto equitativo de los costos y beneficios. En el contexto de las CEL, esto se traduce en que los ahorros generados por la generación local se reinviertan en la propia comunidad para reducir la pobreza energética. </w:t>
      </w:r>
    </w:p>
    <w:p w14:paraId="281446DA" w14:textId="77777777" w:rsidR="00F34566" w:rsidRDefault="00F34566">
      <w:pPr>
        <w:ind w:left="720"/>
        <w:jc w:val="both"/>
        <w:rPr>
          <w:color w:val="FF0000"/>
        </w:rPr>
      </w:pPr>
    </w:p>
    <w:p w14:paraId="2CEEEDB7" w14:textId="77777777" w:rsidR="00F34566" w:rsidRDefault="00000000">
      <w:pPr>
        <w:ind w:left="720"/>
        <w:jc w:val="both"/>
        <w:rPr>
          <w:color w:val="FF0000"/>
        </w:rPr>
      </w:pPr>
      <w:r>
        <w:t>En este marco de justicia distributiva, surge una tensión inherente entre la integración de actores privados mercantiles (como pequeñas y medianas empresas) y la priorización de los retornos sociales en la comunidad. Dado que los agentes empresariales buscan rentabilidad financiera directa, la gobernanza participativa de las comunidades debe actuar como un mecanismo de equilibrio, limitando contractualmente el reparto de dividendos y subordinando las ganancias financieras a la reinversión de los excedentes en el tejido social local para combatir la pobreza energética y asegurar la equidad territorial.</w:t>
      </w:r>
    </w:p>
    <w:p w14:paraId="65225B1F" w14:textId="77777777" w:rsidR="00F34566" w:rsidRDefault="00F34566">
      <w:pPr>
        <w:ind w:left="720"/>
        <w:jc w:val="both"/>
        <w:rPr>
          <w:color w:val="FF0000"/>
        </w:rPr>
      </w:pPr>
    </w:p>
    <w:p w14:paraId="720EA5B3" w14:textId="77777777" w:rsidR="00F34566" w:rsidRDefault="00000000">
      <w:pPr>
        <w:ind w:left="720"/>
        <w:jc w:val="both"/>
        <w:rPr>
          <w:color w:val="FF0000"/>
        </w:rPr>
      </w:pPr>
      <w:r>
        <w:t>Por consiguiente, el acuerdo fundacional y las cláusulas de gobernanza adquieren un rol crítico en la constitución de la entidad. Al asociarse y agrupar recursos e infraestructuras individuales, el beneficio agregado total se incrementa; bajo este escenario de prosumidores colectivos, resulta indispensable establecer formalmente factores y coeficientes de reparto de energía claros, garantizando una distribución equitativa y transparente que minimice conflictos internos.</w:t>
      </w:r>
    </w:p>
    <w:p w14:paraId="36F7C461" w14:textId="77777777" w:rsidR="00F34566" w:rsidRDefault="00F34566">
      <w:pPr>
        <w:ind w:left="720"/>
        <w:jc w:val="both"/>
        <w:rPr>
          <w:color w:val="FF0000"/>
        </w:rPr>
      </w:pPr>
    </w:p>
    <w:p w14:paraId="5A359CEC" w14:textId="77777777" w:rsidR="00F34566" w:rsidRDefault="00000000">
      <w:pPr>
        <w:numPr>
          <w:ilvl w:val="0"/>
          <w:numId w:val="4"/>
        </w:numPr>
        <w:jc w:val="both"/>
      </w:pPr>
      <w:r>
        <w:t>Justicia Procedimental: Garantiza que los procesos de toma de decisiones sean inclusivos y transparentes. Las CEL deben permitir que los ciudadanos participen activamente en el diseño de su futuro energético, evitando consultas simbólicas que no transfieren poder real.</w:t>
      </w:r>
    </w:p>
    <w:p w14:paraId="55D1E1D9" w14:textId="77777777" w:rsidR="00F34566" w:rsidRDefault="00F34566">
      <w:pPr>
        <w:ind w:left="720"/>
        <w:jc w:val="both"/>
      </w:pPr>
    </w:p>
    <w:p w14:paraId="6FD2330C" w14:textId="77777777" w:rsidR="00F34566" w:rsidRDefault="00000000">
      <w:pPr>
        <w:numPr>
          <w:ilvl w:val="0"/>
          <w:numId w:val="4"/>
        </w:numPr>
        <w:jc w:val="both"/>
      </w:pPr>
      <w:r>
        <w:t xml:space="preserve">Justicia de Reconocimiento: Exige identificar y respetar las necesidades de los grupos marginados. En Iberoamérica, esto incluye reconocer los derechos territoriales de los pueblos indígenas, afromericanos y la dimensión de género en el acceso a la energía. </w:t>
      </w:r>
    </w:p>
    <w:p w14:paraId="6DFD3ECE" w14:textId="77777777" w:rsidR="00F34566" w:rsidRDefault="00F34566">
      <w:pPr>
        <w:jc w:val="both"/>
      </w:pPr>
    </w:p>
    <w:p w14:paraId="275F50F6" w14:textId="77777777" w:rsidR="00F34566" w:rsidRDefault="00F34566">
      <w:pPr>
        <w:jc w:val="both"/>
      </w:pPr>
    </w:p>
    <w:p w14:paraId="0EB1A50B" w14:textId="77777777" w:rsidR="00F34566" w:rsidRDefault="00000000">
      <w:pPr>
        <w:pStyle w:val="Ttulo1"/>
        <w:numPr>
          <w:ilvl w:val="0"/>
          <w:numId w:val="5"/>
        </w:numPr>
        <w:pBdr>
          <w:top w:val="nil"/>
          <w:left w:val="nil"/>
          <w:bottom w:val="nil"/>
          <w:right w:val="nil"/>
          <w:between w:val="nil"/>
        </w:pBdr>
      </w:pPr>
      <w:bookmarkStart w:id="11" w:name="_heading=h.cnv3hxqmfd1" w:colFirst="0" w:colLast="0"/>
      <w:bookmarkEnd w:id="11"/>
      <w:r>
        <w:lastRenderedPageBreak/>
        <w:t>Análisis del Marco Jurídico en torno a las CEL</w:t>
      </w:r>
    </w:p>
    <w:p w14:paraId="501548E6" w14:textId="77777777" w:rsidR="00F34566" w:rsidRDefault="00F34566">
      <w:pPr>
        <w:jc w:val="both"/>
      </w:pPr>
    </w:p>
    <w:p w14:paraId="5B9A7858" w14:textId="77777777" w:rsidR="00F34566" w:rsidRDefault="00000000">
      <w:pPr>
        <w:jc w:val="both"/>
      </w:pPr>
      <w:r>
        <w:t>La construcción de una definición consensuada de CEL requiere analizar cómo se han codificado estos principios en las legislaciones nacionales de Iberoamérica. Existe un espectro que va desde modelos altamente regulados y alineados con directivas europeas hasta marcos emergentes con un fuerte enfoque en la justicia social.</w:t>
      </w:r>
    </w:p>
    <w:p w14:paraId="5007AB2C" w14:textId="77777777" w:rsidR="00F34566" w:rsidRDefault="00F34566">
      <w:pPr>
        <w:jc w:val="both"/>
      </w:pPr>
    </w:p>
    <w:p w14:paraId="513EA3B4" w14:textId="77777777" w:rsidR="00F34566" w:rsidRDefault="00000000">
      <w:pPr>
        <w:pStyle w:val="Ttulo2"/>
        <w:pBdr>
          <w:top w:val="nil"/>
          <w:left w:val="nil"/>
          <w:bottom w:val="nil"/>
          <w:right w:val="nil"/>
          <w:between w:val="nil"/>
        </w:pBdr>
        <w:ind w:hanging="1440"/>
        <w:jc w:val="both"/>
      </w:pPr>
      <w:bookmarkStart w:id="12" w:name="_heading=h.yz8gl5bitdif" w:colFirst="0" w:colLast="0"/>
      <w:bookmarkEnd w:id="12"/>
      <w:r>
        <w:t>3.1 España</w:t>
      </w:r>
    </w:p>
    <w:p w14:paraId="6B1B1FBB" w14:textId="77777777" w:rsidR="00F34566" w:rsidRDefault="00000000">
      <w:pPr>
        <w:jc w:val="both"/>
      </w:pPr>
      <w:r>
        <w:t>España ha sido pionera en la integración de las CEL mediante el Real Decreto-ley 23/2020. Su marco jurídico distingue como figura fundamental:</w:t>
      </w:r>
    </w:p>
    <w:p w14:paraId="0A9D45FE" w14:textId="77777777" w:rsidR="00F34566" w:rsidRDefault="00F34566">
      <w:pPr>
        <w:jc w:val="both"/>
      </w:pPr>
    </w:p>
    <w:p w14:paraId="4E92DAE5" w14:textId="77777777" w:rsidR="00F34566" w:rsidRDefault="00000000">
      <w:pPr>
        <w:jc w:val="both"/>
      </w:pPr>
      <w:r>
        <w:rPr>
          <w:b/>
          <w:bCs/>
          <w:i/>
          <w:iCs/>
        </w:rPr>
        <w:t>Comunidades de Energía Renovable (CER):</w:t>
      </w:r>
      <w:r>
        <w:t xml:space="preserve"> Centradas específicamente en proyectos de generación, consumo y venta de energía renovable con un fuerte enfoque local. Con un alcance más amplio, estas entidades pueden participar en la distribución, el almacenamiento, la agregación y los servicios de eficiencia energética.</w:t>
      </w:r>
    </w:p>
    <w:p w14:paraId="72E450D0" w14:textId="77777777" w:rsidR="00F34566" w:rsidRDefault="00F34566">
      <w:pPr>
        <w:jc w:val="both"/>
      </w:pPr>
    </w:p>
    <w:p w14:paraId="3BFD42A9" w14:textId="77777777" w:rsidR="00F34566" w:rsidRDefault="00000000">
      <w:pPr>
        <w:jc w:val="both"/>
      </w:pPr>
      <w:r>
        <w:t xml:space="preserve"> Esto es incorporado en el epígrafe j, del artículo 6 de la ley del sector eléctrico como sigue textualmente:</w:t>
      </w:r>
    </w:p>
    <w:p w14:paraId="7DF3140C" w14:textId="77777777" w:rsidR="00F34566" w:rsidRDefault="00F34566">
      <w:pPr>
        <w:jc w:val="both"/>
      </w:pPr>
    </w:p>
    <w:p w14:paraId="71551B93" w14:textId="77777777" w:rsidR="00F34566" w:rsidRDefault="00000000">
      <w:pPr>
        <w:jc w:val="both"/>
      </w:pPr>
      <w:r>
        <w:t>j) Las comunidades de energías renovables, que son entidades jurídicas basadas en la participación abierta y voluntaria, autónomas y efectivamente controladas por socios o miembros que están situados en las proximidades de los proyectos de energías renovables que sean propiedad de dichas entidades jurídicas y que estas hayan desarrollado, cuyos socios o miembros sean personas físicas, pymes o autoridades locales, incluidos los municipios y cuya finalidad primordial sea proporcionar beneficios medioambientales, económicos o sociales a sus socios o miembros o a las zonas locales donde operan, en lugar de ganancias financieras.</w:t>
      </w:r>
    </w:p>
    <w:p w14:paraId="690FC31F" w14:textId="77777777" w:rsidR="00F34566" w:rsidRDefault="00F34566">
      <w:pPr>
        <w:jc w:val="both"/>
      </w:pPr>
    </w:p>
    <w:p w14:paraId="1CBD6BAF" w14:textId="77777777" w:rsidR="00F34566" w:rsidRDefault="00000000">
      <w:pPr>
        <w:jc w:val="both"/>
      </w:pPr>
      <w:r>
        <w:t xml:space="preserve">Luego, la regulación española enfatiza que estas comunidades deben estar controladas por socios o miembros que sean personas físicas, pymes o autoridades locales, y cuyo objetivo principal sea proporcionar beneficios medioambientales y sociales más que ganancias financieras. </w:t>
      </w:r>
    </w:p>
    <w:p w14:paraId="29D8CFDF" w14:textId="77777777" w:rsidR="00F34566" w:rsidRDefault="00F34566">
      <w:pPr>
        <w:jc w:val="both"/>
      </w:pPr>
    </w:p>
    <w:p w14:paraId="7DAB79CC" w14:textId="77777777" w:rsidR="00F34566" w:rsidRDefault="00000000">
      <w:pPr>
        <w:jc w:val="both"/>
      </w:pPr>
      <w:r>
        <w:t>Además, se han establecido objetivos ambiciosos dentro del Plan Nacional Integrado de Energía y Clima (PNIEC) para que las renovables representen el 42% del consumo final en 2030, posicionando a las CEL como un actor clave para alcanzar estas metas.</w:t>
      </w:r>
    </w:p>
    <w:p w14:paraId="366C7481" w14:textId="77777777" w:rsidR="00F34566" w:rsidRDefault="00F34566">
      <w:pPr>
        <w:jc w:val="both"/>
      </w:pPr>
    </w:p>
    <w:p w14:paraId="79BE5A31" w14:textId="77777777" w:rsidR="00F34566" w:rsidRDefault="00000000">
      <w:pPr>
        <w:pStyle w:val="Ttulo2"/>
        <w:pBdr>
          <w:top w:val="nil"/>
          <w:left w:val="nil"/>
          <w:bottom w:val="nil"/>
          <w:right w:val="nil"/>
          <w:between w:val="nil"/>
        </w:pBdr>
        <w:ind w:hanging="1440"/>
        <w:jc w:val="both"/>
      </w:pPr>
      <w:bookmarkStart w:id="13" w:name="_heading=h.jgrb96tc8t4q" w:colFirst="0" w:colLast="0"/>
      <w:bookmarkEnd w:id="13"/>
      <w:r>
        <w:t>3.2 Portugal</w:t>
      </w:r>
    </w:p>
    <w:p w14:paraId="16970822" w14:textId="77777777" w:rsidR="00F34566" w:rsidRDefault="00000000">
      <w:pPr>
        <w:jc w:val="both"/>
      </w:pPr>
      <w:r>
        <w:t xml:space="preserve">Portugal ha actualizado su marco regulatorio con el Decreto-Lei 15/2022 y el reciente Decreto-Lei 99/2024. Estos cambios buscan simplificar los procedimientos de producción y aumentar las distancias permitidas para el autoconsumo colectivo y las CER, especialmente en territorios de baja densidad. Una innovación notable en Portugal es el reconocimiento del </w:t>
      </w:r>
      <w:r>
        <w:lastRenderedPageBreak/>
        <w:t>papel de las comunidades en la mitigación de la pobreza energética y su contribución a los Objetivos de Desarrollo Sustentable (ODS).</w:t>
      </w:r>
    </w:p>
    <w:p w14:paraId="3B1FBD6B" w14:textId="77777777" w:rsidR="00F34566" w:rsidRDefault="00F34566">
      <w:pPr>
        <w:jc w:val="both"/>
      </w:pPr>
    </w:p>
    <w:p w14:paraId="4BB28D22" w14:textId="77777777" w:rsidR="00F34566" w:rsidRDefault="00000000">
      <w:pPr>
        <w:jc w:val="both"/>
      </w:pPr>
      <w:r>
        <w:t>La ley portuguesa deja claros tres elementos definitorios de las comunidades energéticas:</w:t>
      </w:r>
    </w:p>
    <w:p w14:paraId="1BDD3456" w14:textId="77777777" w:rsidR="00F34566" w:rsidRDefault="00F34566">
      <w:pPr>
        <w:jc w:val="both"/>
      </w:pPr>
    </w:p>
    <w:p w14:paraId="102D78B3" w14:textId="77777777" w:rsidR="00F34566" w:rsidRDefault="00000000">
      <w:pPr>
        <w:jc w:val="both"/>
      </w:pPr>
      <w:r>
        <w:t>-Entidad jurídica formal</w:t>
      </w:r>
    </w:p>
    <w:p w14:paraId="3B7C1A02" w14:textId="77777777" w:rsidR="00F34566" w:rsidRDefault="00000000">
      <w:pPr>
        <w:jc w:val="both"/>
      </w:pPr>
      <w:r>
        <w:t>-Adhesión abierta y voluntaria</w:t>
      </w:r>
    </w:p>
    <w:p w14:paraId="22FE944C" w14:textId="77777777" w:rsidR="00F34566" w:rsidRDefault="00000000">
      <w:pPr>
        <w:jc w:val="both"/>
      </w:pPr>
      <w:r>
        <w:t>-Objetivo principal no lucrativo (beneficio social, ambiental o local)</w:t>
      </w:r>
    </w:p>
    <w:p w14:paraId="1B8BEBB9" w14:textId="77777777" w:rsidR="00F34566" w:rsidRDefault="00F34566">
      <w:pPr>
        <w:jc w:val="both"/>
      </w:pPr>
    </w:p>
    <w:p w14:paraId="61DECFF4" w14:textId="77777777" w:rsidR="00F34566" w:rsidRDefault="00000000">
      <w:pPr>
        <w:jc w:val="both"/>
      </w:pPr>
      <w:r>
        <w:t>Lo que  coincide casi exactamente con la definición europea.</w:t>
      </w:r>
    </w:p>
    <w:p w14:paraId="3BDCA2E0" w14:textId="77777777" w:rsidR="00F34566" w:rsidRDefault="00F34566">
      <w:pPr>
        <w:jc w:val="both"/>
      </w:pPr>
    </w:p>
    <w:p w14:paraId="1A61400C" w14:textId="77777777" w:rsidR="00F34566" w:rsidRDefault="00000000">
      <w:pPr>
        <w:jc w:val="both"/>
      </w:pPr>
      <w:r>
        <w:t>En particular el artículo 8 del Decreto-Lei 99/2024 define, entre otros, como intervinientes en el Sistema Eléctrico Nacional (SEN):</w:t>
      </w:r>
    </w:p>
    <w:p w14:paraId="1FE2C994" w14:textId="77777777" w:rsidR="00F34566" w:rsidRDefault="00F34566">
      <w:pPr>
        <w:jc w:val="both"/>
      </w:pPr>
    </w:p>
    <w:p w14:paraId="5A5BF59A" w14:textId="77777777" w:rsidR="00F34566" w:rsidRDefault="00000000">
      <w:pPr>
        <w:jc w:val="both"/>
      </w:pPr>
      <w:r>
        <w:t>o) Las comunidades de ciudadanos para la energía;</w:t>
      </w:r>
    </w:p>
    <w:p w14:paraId="14E9EFB0" w14:textId="77777777" w:rsidR="00F34566" w:rsidRDefault="00F34566">
      <w:pPr>
        <w:jc w:val="both"/>
      </w:pPr>
    </w:p>
    <w:p w14:paraId="6D9CE523" w14:textId="77777777" w:rsidR="00F34566" w:rsidRDefault="00000000">
      <w:pPr>
        <w:jc w:val="both"/>
      </w:pPr>
      <w:r>
        <w:t>p) Las comunidades de energía renovable (CER);</w:t>
      </w:r>
    </w:p>
    <w:p w14:paraId="370F6461" w14:textId="77777777" w:rsidR="00F34566" w:rsidRDefault="00F34566">
      <w:pPr>
        <w:jc w:val="both"/>
      </w:pPr>
    </w:p>
    <w:p w14:paraId="648AB008" w14:textId="77777777" w:rsidR="00F34566" w:rsidRDefault="00000000">
      <w:pPr>
        <w:jc w:val="both"/>
      </w:pPr>
      <w:r>
        <w:t>Indicando que los intervinientes del SEN, con excepción de los consumidores de electricidad, están obligados a operar de acuerdo con lo dispuesto en el Reglamento (UE) 2019/943 del Parlamento Europeo y del Consejo, de 5 de junio de 2019, relativo al mercado interior de la electricidad. Además, todos los intervinientes del SEN deben disponer de sistemas de gestión e intercambio de datos seguros e interoperables entre sí y garantizar el acceso a los datos del cliente final conforme a la legislación aplicable.</w:t>
      </w:r>
    </w:p>
    <w:p w14:paraId="37901818" w14:textId="77777777" w:rsidR="00F34566" w:rsidRDefault="00F34566">
      <w:pPr>
        <w:jc w:val="both"/>
      </w:pPr>
    </w:p>
    <w:p w14:paraId="2DF92DDB" w14:textId="77777777" w:rsidR="00F34566" w:rsidRDefault="00000000">
      <w:pPr>
        <w:jc w:val="both"/>
      </w:pPr>
      <w:r>
        <w:t>Posteriormente en la sección II de COMUNIDADES DE ENERGÍA, en el artículo 189, se definen:</w:t>
      </w:r>
    </w:p>
    <w:p w14:paraId="4B60FBEE" w14:textId="77777777" w:rsidR="00F34566" w:rsidRDefault="00F34566">
      <w:pPr>
        <w:jc w:val="both"/>
      </w:pPr>
    </w:p>
    <w:p w14:paraId="62ADBD57" w14:textId="77777777" w:rsidR="00F34566" w:rsidRDefault="00000000">
      <w:pPr>
        <w:jc w:val="both"/>
        <w:rPr>
          <w:b/>
          <w:bCs/>
        </w:rPr>
      </w:pPr>
      <w:r>
        <w:rPr>
          <w:b/>
          <w:bCs/>
        </w:rPr>
        <w:t>Comunidades de energía renovable</w:t>
      </w:r>
    </w:p>
    <w:p w14:paraId="3E459151" w14:textId="77777777" w:rsidR="00F34566" w:rsidRDefault="00F34566">
      <w:pPr>
        <w:jc w:val="both"/>
      </w:pPr>
    </w:p>
    <w:p w14:paraId="0DE49AAF" w14:textId="77777777" w:rsidR="00F34566" w:rsidRDefault="00000000">
      <w:pPr>
        <w:jc w:val="both"/>
      </w:pPr>
      <w:r>
        <w:t>La comunidad de energía renovable (CER) es una persona jurídica constituida conforme al presente decreto-ley, mediante adhesión abierta y voluntaria de sus miembros, socios o accionistas, que pueden ser personas físicas o jurídicas, de naturaleza pública o privada, incluyendo, en particular, pequeñas y medianas empresas o autoridades locales, por ellos controlada y que, simultáneamente:</w:t>
      </w:r>
    </w:p>
    <w:p w14:paraId="160EDF47" w14:textId="77777777" w:rsidR="00F34566" w:rsidRDefault="00F34566">
      <w:pPr>
        <w:jc w:val="both"/>
      </w:pPr>
    </w:p>
    <w:p w14:paraId="53986701" w14:textId="77777777" w:rsidR="00F34566" w:rsidRDefault="00000000">
      <w:pPr>
        <w:jc w:val="both"/>
      </w:pPr>
      <w:r>
        <w:t>a) Sus miembros o participantes estén situados en la proximidad de los proyectos de energía renovable o desarrollen actividades relacionadas con dichos proyectos de la respectiva comunidad energética, incluyendo necesariamente instalaciones de autoconsumo (UPAC);</w:t>
      </w:r>
    </w:p>
    <w:p w14:paraId="18B484C1" w14:textId="77777777" w:rsidR="00F34566" w:rsidRDefault="00F34566">
      <w:pPr>
        <w:jc w:val="both"/>
      </w:pPr>
    </w:p>
    <w:p w14:paraId="6055AF76" w14:textId="77777777" w:rsidR="00F34566" w:rsidRDefault="00000000">
      <w:pPr>
        <w:jc w:val="both"/>
      </w:pPr>
      <w:r>
        <w:t>b) Dichos proyectos sean propiedad y desarrollados por la CER o por terceros, siempre que sea en beneficio y al servicio de la comunidad energética;</w:t>
      </w:r>
    </w:p>
    <w:p w14:paraId="5239296B" w14:textId="77777777" w:rsidR="00F34566" w:rsidRDefault="00F34566">
      <w:pPr>
        <w:jc w:val="both"/>
      </w:pPr>
    </w:p>
    <w:p w14:paraId="75F6C8C2" w14:textId="77777777" w:rsidR="00F34566" w:rsidRDefault="00000000">
      <w:pPr>
        <w:jc w:val="both"/>
      </w:pPr>
      <w:r>
        <w:lastRenderedPageBreak/>
        <w:t>c) La CER tenga como objetivo principal proporcionar a los miembros o a las localidades donde opera beneficios ambientales, económicos y sociales, en lugar de beneficios financieros.</w:t>
      </w:r>
    </w:p>
    <w:p w14:paraId="1780A0FB" w14:textId="77777777" w:rsidR="00F34566" w:rsidRDefault="00F34566">
      <w:pPr>
        <w:jc w:val="both"/>
      </w:pPr>
    </w:p>
    <w:p w14:paraId="3CAC833E" w14:textId="77777777" w:rsidR="00F34566" w:rsidRDefault="00000000">
      <w:pPr>
        <w:jc w:val="both"/>
      </w:pPr>
      <w:r>
        <w:t>Las CER tienen la facultad de:</w:t>
      </w:r>
    </w:p>
    <w:p w14:paraId="4133B4FE" w14:textId="77777777" w:rsidR="00F34566" w:rsidRDefault="00F34566">
      <w:pPr>
        <w:jc w:val="both"/>
      </w:pPr>
    </w:p>
    <w:p w14:paraId="77B35B72" w14:textId="77777777" w:rsidR="00F34566" w:rsidRDefault="00000000">
      <w:pPr>
        <w:jc w:val="both"/>
      </w:pPr>
      <w:r>
        <w:t>a) Producir, consumir, almacenar, comprar y vender energía renovable con sus miembros o con terceros;</w:t>
      </w:r>
    </w:p>
    <w:p w14:paraId="36C82930" w14:textId="77777777" w:rsidR="00F34566" w:rsidRDefault="00F34566">
      <w:pPr>
        <w:jc w:val="both"/>
      </w:pPr>
    </w:p>
    <w:p w14:paraId="37E0EB2F" w14:textId="77777777" w:rsidR="00F34566" w:rsidRDefault="00000000">
      <w:pPr>
        <w:jc w:val="both"/>
      </w:pPr>
      <w:r>
        <w:t>b) Compartir y comercializar entre sus miembros la energía renovable producida por las instalaciones de autoconsumo (UPAC) a su servicio, sin perjuicio de que los miembros mantengan sus derechos y obligaciones como consumidores;</w:t>
      </w:r>
    </w:p>
    <w:p w14:paraId="4AAB2E42" w14:textId="77777777" w:rsidR="00F34566" w:rsidRDefault="00F34566">
      <w:pPr>
        <w:jc w:val="both"/>
      </w:pPr>
    </w:p>
    <w:p w14:paraId="241A7F0F" w14:textId="77777777" w:rsidR="00F34566" w:rsidRDefault="00000000">
      <w:pPr>
        <w:jc w:val="both"/>
      </w:pPr>
      <w:r>
        <w:t>c) Acceder a todos los mercados energéticos, incluidos los mercados de servicios del sistema, tanto directamente como mediante agregación.</w:t>
      </w:r>
    </w:p>
    <w:p w14:paraId="27891733" w14:textId="77777777" w:rsidR="00F34566" w:rsidRDefault="00F34566">
      <w:pPr>
        <w:jc w:val="both"/>
      </w:pPr>
    </w:p>
    <w:p w14:paraId="514BD492" w14:textId="77777777" w:rsidR="00F34566" w:rsidRDefault="00000000">
      <w:pPr>
        <w:jc w:val="both"/>
      </w:pPr>
      <w:r>
        <w:t>El ejercicio de las actividades mencionadas en el apartado anterior se realizará conforme a lo definido en el presente decreto-ley.</w:t>
      </w:r>
    </w:p>
    <w:p w14:paraId="6526C518" w14:textId="77777777" w:rsidR="00F34566" w:rsidRDefault="00F34566">
      <w:pPr>
        <w:jc w:val="both"/>
      </w:pPr>
    </w:p>
    <w:p w14:paraId="1B6424AE" w14:textId="77777777" w:rsidR="00F34566" w:rsidRDefault="00000000">
      <w:pPr>
        <w:jc w:val="both"/>
      </w:pPr>
      <w:r>
        <w:t>Sin perjuicio de lo dispuesto en el apartado 1, la CER es plenamente responsable de los desvíos de programación que provoque en el SEN, según lo definido en el Reglamento de Operación de las Redes, pudiendo transferir dicha responsabilidad a un agregador o a su representante designado.</w:t>
      </w:r>
    </w:p>
    <w:p w14:paraId="6BDFDD75" w14:textId="77777777" w:rsidR="00F34566" w:rsidRDefault="00F34566">
      <w:pPr>
        <w:jc w:val="both"/>
      </w:pPr>
    </w:p>
    <w:p w14:paraId="063FBED4" w14:textId="77777777" w:rsidR="00F34566" w:rsidRDefault="00000000">
      <w:pPr>
        <w:jc w:val="both"/>
      </w:pPr>
      <w:r>
        <w:t>El acceso de los consumidores a una CER no puede estar sujeto a condiciones o procedimientos injustificados o discriminatorios que impidan su participación.</w:t>
      </w:r>
    </w:p>
    <w:p w14:paraId="56887F17" w14:textId="77777777" w:rsidR="00F34566" w:rsidRDefault="00F34566">
      <w:pPr>
        <w:jc w:val="both"/>
      </w:pPr>
    </w:p>
    <w:p w14:paraId="4D807869" w14:textId="77777777" w:rsidR="00F34566" w:rsidRDefault="00000000">
      <w:pPr>
        <w:jc w:val="both"/>
      </w:pPr>
      <w:r>
        <w:t>La CER debe permitir la salida de cualquiera de sus participantes, siempre que se cumplan las obligaciones a las que estén vinculados.</w:t>
      </w:r>
    </w:p>
    <w:p w14:paraId="549832EE" w14:textId="77777777" w:rsidR="00F34566" w:rsidRDefault="00F34566">
      <w:pPr>
        <w:jc w:val="both"/>
      </w:pPr>
    </w:p>
    <w:p w14:paraId="6DE6A5AE" w14:textId="77777777" w:rsidR="00F34566" w:rsidRDefault="00000000">
      <w:pPr>
        <w:jc w:val="both"/>
      </w:pPr>
      <w:r>
        <w:t>Las CER pueden, además de los modos de compartición previstos en el artículo 87, compartir energía mediante sistemas específicos de gestión dinámica.</w:t>
      </w:r>
    </w:p>
    <w:p w14:paraId="446F0084" w14:textId="77777777" w:rsidR="00F34566" w:rsidRDefault="00F34566">
      <w:pPr>
        <w:jc w:val="both"/>
      </w:pPr>
    </w:p>
    <w:p w14:paraId="7173AEFA" w14:textId="77777777" w:rsidR="00F34566" w:rsidRDefault="00000000">
      <w:pPr>
        <w:jc w:val="both"/>
        <w:rPr>
          <w:b/>
          <w:bCs/>
        </w:rPr>
      </w:pPr>
      <w:r>
        <w:rPr>
          <w:b/>
          <w:bCs/>
        </w:rPr>
        <w:t>Artículo 190</w:t>
      </w:r>
    </w:p>
    <w:p w14:paraId="7E0CA3A7" w14:textId="77777777" w:rsidR="00F34566" w:rsidRDefault="00000000">
      <w:pPr>
        <w:jc w:val="both"/>
      </w:pPr>
      <w:r>
        <w:t>Régimen aplicable a las comunidades de energía renovable</w:t>
      </w:r>
    </w:p>
    <w:p w14:paraId="45EF412B" w14:textId="77777777" w:rsidR="00F34566" w:rsidRDefault="00F34566">
      <w:pPr>
        <w:jc w:val="both"/>
      </w:pPr>
    </w:p>
    <w:p w14:paraId="06A3E012" w14:textId="77777777" w:rsidR="00F34566" w:rsidRDefault="00000000">
      <w:pPr>
        <w:jc w:val="both"/>
      </w:pPr>
      <w:r>
        <w:t>En materia de derechos, deberes, contabilización de la energía producida en la CER y relaciones comerciales, se aplican, con las adaptaciones necesarias, las normas del ACC (Autoconsumo Colectivo).</w:t>
      </w:r>
    </w:p>
    <w:p w14:paraId="57D7D706" w14:textId="77777777" w:rsidR="00F34566" w:rsidRDefault="00F34566">
      <w:pPr>
        <w:jc w:val="both"/>
      </w:pPr>
    </w:p>
    <w:p w14:paraId="0E60DBC5" w14:textId="77777777" w:rsidR="00F34566" w:rsidRDefault="00000000">
      <w:pPr>
        <w:jc w:val="both"/>
        <w:rPr>
          <w:b/>
          <w:bCs/>
        </w:rPr>
      </w:pPr>
      <w:r>
        <w:rPr>
          <w:b/>
          <w:bCs/>
        </w:rPr>
        <w:t>Artículo 191</w:t>
      </w:r>
    </w:p>
    <w:p w14:paraId="34DBDF32" w14:textId="77777777" w:rsidR="00F34566" w:rsidRDefault="00000000">
      <w:pPr>
        <w:jc w:val="both"/>
        <w:rPr>
          <w:b/>
          <w:bCs/>
        </w:rPr>
      </w:pPr>
      <w:r>
        <w:rPr>
          <w:b/>
          <w:bCs/>
        </w:rPr>
        <w:t>Comunidades de ciudadanos para la energía</w:t>
      </w:r>
    </w:p>
    <w:p w14:paraId="720E57B4" w14:textId="77777777" w:rsidR="00F34566" w:rsidRDefault="00F34566">
      <w:pPr>
        <w:jc w:val="both"/>
      </w:pPr>
    </w:p>
    <w:p w14:paraId="2B478CBA" w14:textId="77777777" w:rsidR="00F34566" w:rsidRDefault="00000000">
      <w:pPr>
        <w:jc w:val="both"/>
      </w:pPr>
      <w:r>
        <w:lastRenderedPageBreak/>
        <w:t>La comunidad de ciudadanos para la energía es una persona jurídica constituida conforme al presente decreto-ley mediante adhesión abierta y voluntaria de sus miembros, socios o accionistas, que pueden ser personas físicas o jurídicas, públicas o privadas, incluyendo pequeñas y medianas empresas o autoridades locales, y que:</w:t>
      </w:r>
    </w:p>
    <w:p w14:paraId="72EE8A9E" w14:textId="77777777" w:rsidR="00F34566" w:rsidRDefault="00F34566">
      <w:pPr>
        <w:jc w:val="both"/>
      </w:pPr>
    </w:p>
    <w:p w14:paraId="4448C170" w14:textId="77777777" w:rsidR="00F34566" w:rsidRDefault="00000000">
      <w:pPr>
        <w:jc w:val="both"/>
      </w:pPr>
      <w:r>
        <w:t>a) Tiene como objetivo proporcionar beneficios ambientales, económicos o sociales a sus miembros o a las zonas locales donde opera, y no puede tener como objetivo principal la obtención de beneficios financieros;</w:t>
      </w:r>
    </w:p>
    <w:p w14:paraId="3631D136" w14:textId="77777777" w:rsidR="00F34566" w:rsidRDefault="00F34566">
      <w:pPr>
        <w:jc w:val="both"/>
      </w:pPr>
    </w:p>
    <w:p w14:paraId="3033D132" w14:textId="77777777" w:rsidR="00F34566" w:rsidRDefault="00000000">
      <w:pPr>
        <w:jc w:val="both"/>
      </w:pPr>
      <w:r>
        <w:t>b) Puede participar en actividades de:</w:t>
      </w:r>
    </w:p>
    <w:p w14:paraId="4EED3711" w14:textId="77777777" w:rsidR="00F34566" w:rsidRDefault="00F34566">
      <w:pPr>
        <w:jc w:val="both"/>
      </w:pPr>
    </w:p>
    <w:p w14:paraId="7D666116" w14:textId="77777777" w:rsidR="00F34566" w:rsidRDefault="00000000">
      <w:pPr>
        <w:jc w:val="both"/>
      </w:pPr>
      <w:r>
        <w:t>producción (incluida energía renovable),</w:t>
      </w:r>
    </w:p>
    <w:p w14:paraId="5BA787FF" w14:textId="77777777" w:rsidR="00F34566" w:rsidRDefault="00F34566">
      <w:pPr>
        <w:jc w:val="both"/>
      </w:pPr>
    </w:p>
    <w:p w14:paraId="451916FB" w14:textId="77777777" w:rsidR="00F34566" w:rsidRDefault="00000000">
      <w:pPr>
        <w:jc w:val="both"/>
      </w:pPr>
      <w:r>
        <w:t>distribución,</w:t>
      </w:r>
    </w:p>
    <w:p w14:paraId="6E9370C0" w14:textId="77777777" w:rsidR="00F34566" w:rsidRDefault="00F34566">
      <w:pPr>
        <w:jc w:val="both"/>
      </w:pPr>
    </w:p>
    <w:p w14:paraId="2959603A" w14:textId="77777777" w:rsidR="00F34566" w:rsidRDefault="00000000">
      <w:pPr>
        <w:jc w:val="both"/>
      </w:pPr>
      <w:r>
        <w:t>comercialización,</w:t>
      </w:r>
    </w:p>
    <w:p w14:paraId="64CD48E4" w14:textId="77777777" w:rsidR="00F34566" w:rsidRDefault="00F34566">
      <w:pPr>
        <w:jc w:val="both"/>
      </w:pPr>
    </w:p>
    <w:p w14:paraId="32723908" w14:textId="77777777" w:rsidR="00F34566" w:rsidRDefault="00000000">
      <w:pPr>
        <w:jc w:val="both"/>
      </w:pPr>
      <w:r>
        <w:t>consumo,</w:t>
      </w:r>
    </w:p>
    <w:p w14:paraId="6302B874" w14:textId="77777777" w:rsidR="00F34566" w:rsidRDefault="00F34566">
      <w:pPr>
        <w:jc w:val="both"/>
      </w:pPr>
    </w:p>
    <w:p w14:paraId="7A6B1E17" w14:textId="77777777" w:rsidR="00F34566" w:rsidRDefault="00000000">
      <w:pPr>
        <w:jc w:val="both"/>
      </w:pPr>
      <w:r>
        <w:t>agregación,</w:t>
      </w:r>
    </w:p>
    <w:p w14:paraId="7A6E6465" w14:textId="77777777" w:rsidR="00F34566" w:rsidRDefault="00F34566">
      <w:pPr>
        <w:jc w:val="both"/>
      </w:pPr>
    </w:p>
    <w:p w14:paraId="780E6342" w14:textId="77777777" w:rsidR="00F34566" w:rsidRDefault="00000000">
      <w:pPr>
        <w:jc w:val="both"/>
      </w:pPr>
      <w:r>
        <w:t>almacenamiento de energía,</w:t>
      </w:r>
    </w:p>
    <w:p w14:paraId="5B02E2D2" w14:textId="77777777" w:rsidR="00F34566" w:rsidRDefault="00F34566">
      <w:pPr>
        <w:jc w:val="both"/>
      </w:pPr>
    </w:p>
    <w:p w14:paraId="18C47845" w14:textId="77777777" w:rsidR="00F34566" w:rsidRDefault="00000000">
      <w:pPr>
        <w:jc w:val="both"/>
      </w:pPr>
      <w:r>
        <w:t>servicios de eficiencia energética,</w:t>
      </w:r>
    </w:p>
    <w:p w14:paraId="4446AAB6" w14:textId="77777777" w:rsidR="00F34566" w:rsidRDefault="00F34566">
      <w:pPr>
        <w:jc w:val="both"/>
      </w:pPr>
    </w:p>
    <w:p w14:paraId="660FD212" w14:textId="77777777" w:rsidR="00F34566" w:rsidRDefault="00000000">
      <w:pPr>
        <w:jc w:val="both"/>
      </w:pPr>
      <w:r>
        <w:t>servicios de recarga de vehículos eléctricos,</w:t>
      </w:r>
    </w:p>
    <w:p w14:paraId="07FAE119" w14:textId="77777777" w:rsidR="00F34566" w:rsidRDefault="00F34566">
      <w:pPr>
        <w:jc w:val="both"/>
      </w:pPr>
    </w:p>
    <w:p w14:paraId="3E9A266B" w14:textId="77777777" w:rsidR="00F34566" w:rsidRDefault="00000000">
      <w:pPr>
        <w:jc w:val="both"/>
      </w:pPr>
      <w:r>
        <w:t>u otros servicios energéticos para sus miembros.</w:t>
      </w:r>
    </w:p>
    <w:p w14:paraId="3AC0A266" w14:textId="77777777" w:rsidR="00F34566" w:rsidRDefault="00F34566">
      <w:pPr>
        <w:jc w:val="both"/>
      </w:pPr>
    </w:p>
    <w:p w14:paraId="0B23007E" w14:textId="77777777" w:rsidR="00F34566" w:rsidRDefault="00000000">
      <w:pPr>
        <w:jc w:val="both"/>
      </w:pPr>
      <w:r>
        <w:t>Las comunidades de ciudadanos para la energía se rigen por las disposiciones aplicables a las CER con las siguientes especificidades:</w:t>
      </w:r>
    </w:p>
    <w:p w14:paraId="58D6A8A8" w14:textId="77777777" w:rsidR="00F34566" w:rsidRDefault="00F34566">
      <w:pPr>
        <w:jc w:val="both"/>
      </w:pPr>
    </w:p>
    <w:p w14:paraId="3E11086D" w14:textId="77777777" w:rsidR="00F34566" w:rsidRDefault="00000000">
      <w:pPr>
        <w:jc w:val="both"/>
      </w:pPr>
      <w:r>
        <w:t>a) Pueden ser propietarias, establecer, comprar o alquilar redes de distribución cerradas (RDF) y gestionarlas conforme a lo establecido en el presente decreto-ley;</w:t>
      </w:r>
    </w:p>
    <w:p w14:paraId="2E7D1DCF" w14:textId="77777777" w:rsidR="00F34566" w:rsidRDefault="00F34566">
      <w:pPr>
        <w:jc w:val="both"/>
      </w:pPr>
    </w:p>
    <w:p w14:paraId="10ED4A5F" w14:textId="77777777" w:rsidR="00F34566" w:rsidRDefault="00000000">
      <w:pPr>
        <w:jc w:val="both"/>
      </w:pPr>
      <w:r>
        <w:t>b) Pueden producir, distribuir, comercializar, consumir, agregar y almacenar energía independientemente de que la fuente primaria sea renovable o no renovable.</w:t>
      </w:r>
    </w:p>
    <w:p w14:paraId="7A4ACC84" w14:textId="77777777" w:rsidR="00F34566" w:rsidRDefault="00F34566">
      <w:pPr>
        <w:jc w:val="both"/>
      </w:pPr>
    </w:p>
    <w:p w14:paraId="2294D206" w14:textId="77777777" w:rsidR="00F34566" w:rsidRPr="0009754D" w:rsidRDefault="00000000">
      <w:pPr>
        <w:jc w:val="both"/>
        <w:rPr>
          <w:lang w:val="pt-PT"/>
        </w:rPr>
      </w:pPr>
      <w:r w:rsidRPr="0009754D">
        <w:rPr>
          <w:b/>
          <w:bCs/>
          <w:lang w:val="pt-PT"/>
        </w:rPr>
        <w:t>Versión Origina</w:t>
      </w:r>
      <w:r w:rsidRPr="0009754D">
        <w:rPr>
          <w:lang w:val="pt-PT"/>
        </w:rPr>
        <w:t>l</w:t>
      </w:r>
    </w:p>
    <w:p w14:paraId="424A0393" w14:textId="77777777" w:rsidR="00F34566" w:rsidRPr="0009754D" w:rsidRDefault="00F34566">
      <w:pPr>
        <w:jc w:val="both"/>
        <w:rPr>
          <w:lang w:val="pt-PT"/>
        </w:rPr>
      </w:pPr>
    </w:p>
    <w:p w14:paraId="2C77FE9D" w14:textId="77777777" w:rsidR="00F34566" w:rsidRPr="0009754D" w:rsidRDefault="00000000">
      <w:pPr>
        <w:shd w:val="clear" w:color="auto" w:fill="F3F6F8"/>
        <w:spacing w:before="160" w:line="330" w:lineRule="auto"/>
        <w:jc w:val="center"/>
        <w:rPr>
          <w:rFonts w:ascii="Arial" w:eastAsia="Arial" w:hAnsi="Arial" w:cs="Arial"/>
          <w:color w:val="272B30"/>
          <w:lang w:val="pt-PT"/>
        </w:rPr>
      </w:pPr>
      <w:r w:rsidRPr="0009754D">
        <w:rPr>
          <w:rFonts w:ascii="Arial" w:eastAsia="Arial" w:hAnsi="Arial" w:cs="Arial"/>
          <w:color w:val="272B30"/>
          <w:lang w:val="pt-PT"/>
        </w:rPr>
        <w:t>Artigo 8.º</w:t>
      </w:r>
    </w:p>
    <w:p w14:paraId="126F8935" w14:textId="77777777" w:rsidR="00F34566" w:rsidRPr="0009754D" w:rsidRDefault="00F34566">
      <w:pPr>
        <w:jc w:val="both"/>
        <w:rPr>
          <w:rFonts w:ascii="Arial" w:eastAsia="Arial" w:hAnsi="Arial" w:cs="Arial"/>
          <w:color w:val="272B30"/>
          <w:shd w:val="clear" w:color="auto" w:fill="F3F6F8"/>
          <w:lang w:val="pt-PT"/>
        </w:rPr>
      </w:pPr>
    </w:p>
    <w:p w14:paraId="5BEF6442" w14:textId="77777777" w:rsidR="00F34566" w:rsidRPr="0009754D" w:rsidRDefault="00F34566">
      <w:pPr>
        <w:jc w:val="both"/>
        <w:rPr>
          <w:lang w:val="pt-PT"/>
        </w:rPr>
      </w:pPr>
    </w:p>
    <w:p w14:paraId="09E6260D" w14:textId="77777777" w:rsidR="00F34566" w:rsidRPr="0009754D" w:rsidRDefault="00000000">
      <w:pPr>
        <w:shd w:val="clear" w:color="auto" w:fill="F3F6F8"/>
        <w:spacing w:line="330" w:lineRule="auto"/>
        <w:jc w:val="center"/>
        <w:rPr>
          <w:rFonts w:ascii="Arial" w:eastAsia="Arial" w:hAnsi="Arial" w:cs="Arial"/>
          <w:b/>
          <w:bCs/>
          <w:color w:val="272B30"/>
          <w:lang w:val="pt-PT"/>
        </w:rPr>
      </w:pPr>
      <w:r w:rsidRPr="0009754D">
        <w:rPr>
          <w:rFonts w:ascii="Arial" w:eastAsia="Arial" w:hAnsi="Arial" w:cs="Arial"/>
          <w:b/>
          <w:bCs/>
          <w:color w:val="272B30"/>
          <w:lang w:val="pt-PT"/>
        </w:rPr>
        <w:t>Intervenientes no Sistema Elétrico Nacional</w:t>
      </w:r>
    </w:p>
    <w:p w14:paraId="5D4E6DAE" w14:textId="77777777" w:rsidR="00F34566" w:rsidRPr="0009754D" w:rsidRDefault="00F34566">
      <w:pPr>
        <w:jc w:val="both"/>
        <w:rPr>
          <w:rFonts w:ascii="Arial" w:eastAsia="Arial" w:hAnsi="Arial" w:cs="Arial"/>
          <w:color w:val="272B30"/>
          <w:shd w:val="clear" w:color="auto" w:fill="F3F6F8"/>
          <w:lang w:val="pt-PT"/>
        </w:rPr>
      </w:pPr>
    </w:p>
    <w:p w14:paraId="24D28574" w14:textId="77777777" w:rsidR="00F34566" w:rsidRPr="0009754D" w:rsidRDefault="00F34566">
      <w:pPr>
        <w:jc w:val="both"/>
        <w:rPr>
          <w:lang w:val="pt-PT"/>
        </w:rPr>
      </w:pPr>
    </w:p>
    <w:p w14:paraId="3B56736E"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1 - São intervenientes no SEN:</w:t>
      </w:r>
    </w:p>
    <w:p w14:paraId="7E9716F4" w14:textId="77777777" w:rsidR="00F34566" w:rsidRPr="0009754D" w:rsidRDefault="00F34566">
      <w:pPr>
        <w:jc w:val="both"/>
        <w:rPr>
          <w:rFonts w:ascii="Arial" w:eastAsia="Arial" w:hAnsi="Arial" w:cs="Arial"/>
          <w:color w:val="272B30"/>
          <w:shd w:val="clear" w:color="auto" w:fill="F3F6F8"/>
          <w:lang w:val="pt-PT"/>
        </w:rPr>
      </w:pPr>
    </w:p>
    <w:p w14:paraId="0558803C" w14:textId="77777777" w:rsidR="00F34566" w:rsidRPr="0009754D" w:rsidRDefault="00F34566">
      <w:pPr>
        <w:jc w:val="both"/>
        <w:rPr>
          <w:lang w:val="pt-PT"/>
        </w:rPr>
      </w:pPr>
    </w:p>
    <w:p w14:paraId="2F3C3F5C"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a) Os titulares de instalações de produção ou armazenamento de eletricidade;</w:t>
      </w:r>
    </w:p>
    <w:p w14:paraId="355783CA" w14:textId="77777777" w:rsidR="00F34566" w:rsidRPr="0009754D" w:rsidRDefault="00F34566">
      <w:pPr>
        <w:jc w:val="both"/>
        <w:rPr>
          <w:rFonts w:ascii="Arial" w:eastAsia="Arial" w:hAnsi="Arial" w:cs="Arial"/>
          <w:color w:val="272B30"/>
          <w:shd w:val="clear" w:color="auto" w:fill="F3F6F8"/>
          <w:lang w:val="pt-PT"/>
        </w:rPr>
      </w:pPr>
    </w:p>
    <w:p w14:paraId="7967AE47" w14:textId="77777777" w:rsidR="00F34566" w:rsidRPr="0009754D" w:rsidRDefault="00F34566">
      <w:pPr>
        <w:jc w:val="both"/>
        <w:rPr>
          <w:lang w:val="pt-PT"/>
        </w:rPr>
      </w:pPr>
    </w:p>
    <w:p w14:paraId="1995C817"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b) O gestor global do SEN;</w:t>
      </w:r>
    </w:p>
    <w:p w14:paraId="2229DC38" w14:textId="77777777" w:rsidR="00F34566" w:rsidRPr="0009754D" w:rsidRDefault="00F34566">
      <w:pPr>
        <w:jc w:val="both"/>
        <w:rPr>
          <w:rFonts w:ascii="Arial" w:eastAsia="Arial" w:hAnsi="Arial" w:cs="Arial"/>
          <w:color w:val="272B30"/>
          <w:shd w:val="clear" w:color="auto" w:fill="F3F6F8"/>
          <w:lang w:val="pt-PT"/>
        </w:rPr>
      </w:pPr>
    </w:p>
    <w:p w14:paraId="3AF21D39" w14:textId="77777777" w:rsidR="00F34566" w:rsidRPr="0009754D" w:rsidRDefault="00F34566">
      <w:pPr>
        <w:jc w:val="both"/>
        <w:rPr>
          <w:lang w:val="pt-PT"/>
        </w:rPr>
      </w:pPr>
    </w:p>
    <w:p w14:paraId="7557D51E"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c) O gestor integrado das redes de distribuição;</w:t>
      </w:r>
    </w:p>
    <w:p w14:paraId="4597CFB1" w14:textId="77777777" w:rsidR="00F34566" w:rsidRPr="0009754D" w:rsidRDefault="00F34566">
      <w:pPr>
        <w:jc w:val="both"/>
        <w:rPr>
          <w:rFonts w:ascii="Arial" w:eastAsia="Arial" w:hAnsi="Arial" w:cs="Arial"/>
          <w:color w:val="272B30"/>
          <w:shd w:val="clear" w:color="auto" w:fill="F3F6F8"/>
          <w:lang w:val="pt-PT"/>
        </w:rPr>
      </w:pPr>
    </w:p>
    <w:p w14:paraId="6C079370" w14:textId="77777777" w:rsidR="00F34566" w:rsidRPr="0009754D" w:rsidRDefault="00F34566">
      <w:pPr>
        <w:jc w:val="both"/>
        <w:rPr>
          <w:lang w:val="pt-PT"/>
        </w:rPr>
      </w:pPr>
    </w:p>
    <w:p w14:paraId="79B01D3B"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d) O operador da rede de transporte de eletricidade;</w:t>
      </w:r>
    </w:p>
    <w:p w14:paraId="745E4FD9" w14:textId="77777777" w:rsidR="00F34566" w:rsidRPr="0009754D" w:rsidRDefault="00F34566">
      <w:pPr>
        <w:jc w:val="both"/>
        <w:rPr>
          <w:rFonts w:ascii="Arial" w:eastAsia="Arial" w:hAnsi="Arial" w:cs="Arial"/>
          <w:color w:val="272B30"/>
          <w:shd w:val="clear" w:color="auto" w:fill="F3F6F8"/>
          <w:lang w:val="pt-PT"/>
        </w:rPr>
      </w:pPr>
    </w:p>
    <w:p w14:paraId="612A3BEE" w14:textId="77777777" w:rsidR="00F34566" w:rsidRPr="0009754D" w:rsidRDefault="00F34566">
      <w:pPr>
        <w:jc w:val="both"/>
        <w:rPr>
          <w:lang w:val="pt-PT"/>
        </w:rPr>
      </w:pPr>
    </w:p>
    <w:p w14:paraId="2C49FC4B"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e) O operador das redes de distribuição de eletricidade em AT e MT;</w:t>
      </w:r>
    </w:p>
    <w:p w14:paraId="2D609320" w14:textId="77777777" w:rsidR="00F34566" w:rsidRPr="0009754D" w:rsidRDefault="00F34566">
      <w:pPr>
        <w:jc w:val="both"/>
        <w:rPr>
          <w:rFonts w:ascii="Arial" w:eastAsia="Arial" w:hAnsi="Arial" w:cs="Arial"/>
          <w:color w:val="272B30"/>
          <w:shd w:val="clear" w:color="auto" w:fill="F3F6F8"/>
          <w:lang w:val="pt-PT"/>
        </w:rPr>
      </w:pPr>
    </w:p>
    <w:p w14:paraId="6CF91035" w14:textId="77777777" w:rsidR="00F34566" w:rsidRPr="0009754D" w:rsidRDefault="00F34566">
      <w:pPr>
        <w:jc w:val="both"/>
        <w:rPr>
          <w:lang w:val="pt-PT"/>
        </w:rPr>
      </w:pPr>
    </w:p>
    <w:p w14:paraId="29EFBC70"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f) Os operadores das redes de distribuição de eletricidade em BT;</w:t>
      </w:r>
    </w:p>
    <w:p w14:paraId="6D1CDFD7" w14:textId="77777777" w:rsidR="00F34566" w:rsidRPr="0009754D" w:rsidRDefault="00F34566">
      <w:pPr>
        <w:jc w:val="both"/>
        <w:rPr>
          <w:rFonts w:ascii="Arial" w:eastAsia="Arial" w:hAnsi="Arial" w:cs="Arial"/>
          <w:color w:val="272B30"/>
          <w:shd w:val="clear" w:color="auto" w:fill="F3F6F8"/>
          <w:lang w:val="pt-PT"/>
        </w:rPr>
      </w:pPr>
    </w:p>
    <w:p w14:paraId="07C41C11" w14:textId="77777777" w:rsidR="00F34566" w:rsidRPr="0009754D" w:rsidRDefault="00F34566">
      <w:pPr>
        <w:jc w:val="both"/>
        <w:rPr>
          <w:lang w:val="pt-PT"/>
        </w:rPr>
      </w:pPr>
    </w:p>
    <w:p w14:paraId="09756D74"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g) Os operadores de RDF;</w:t>
      </w:r>
    </w:p>
    <w:p w14:paraId="78F4B43C" w14:textId="77777777" w:rsidR="00F34566" w:rsidRPr="0009754D" w:rsidRDefault="00F34566">
      <w:pPr>
        <w:jc w:val="both"/>
        <w:rPr>
          <w:rFonts w:ascii="Arial" w:eastAsia="Arial" w:hAnsi="Arial" w:cs="Arial"/>
          <w:color w:val="272B30"/>
          <w:shd w:val="clear" w:color="auto" w:fill="F3F6F8"/>
          <w:lang w:val="pt-PT"/>
        </w:rPr>
      </w:pPr>
    </w:p>
    <w:p w14:paraId="5EB34B5F" w14:textId="77777777" w:rsidR="00F34566" w:rsidRPr="0009754D" w:rsidRDefault="00F34566">
      <w:pPr>
        <w:jc w:val="both"/>
        <w:rPr>
          <w:lang w:val="pt-PT"/>
        </w:rPr>
      </w:pPr>
    </w:p>
    <w:p w14:paraId="1F5F52CE"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h) Os comercializadores de eletricidade;</w:t>
      </w:r>
    </w:p>
    <w:p w14:paraId="26F873C4" w14:textId="77777777" w:rsidR="00F34566" w:rsidRPr="0009754D" w:rsidRDefault="00F34566">
      <w:pPr>
        <w:jc w:val="both"/>
        <w:rPr>
          <w:rFonts w:ascii="Arial" w:eastAsia="Arial" w:hAnsi="Arial" w:cs="Arial"/>
          <w:color w:val="272B30"/>
          <w:shd w:val="clear" w:color="auto" w:fill="F3F6F8"/>
          <w:lang w:val="pt-PT"/>
        </w:rPr>
      </w:pPr>
    </w:p>
    <w:p w14:paraId="247DF242" w14:textId="77777777" w:rsidR="00F34566" w:rsidRPr="0009754D" w:rsidRDefault="00F34566">
      <w:pPr>
        <w:jc w:val="both"/>
        <w:rPr>
          <w:lang w:val="pt-PT"/>
        </w:rPr>
      </w:pPr>
    </w:p>
    <w:p w14:paraId="0EC38F78"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i) Os comercializadores de último recurso (CUR);</w:t>
      </w:r>
    </w:p>
    <w:p w14:paraId="7F6398A0" w14:textId="77777777" w:rsidR="00F34566" w:rsidRPr="0009754D" w:rsidRDefault="00F34566">
      <w:pPr>
        <w:jc w:val="both"/>
        <w:rPr>
          <w:rFonts w:ascii="Arial" w:eastAsia="Arial" w:hAnsi="Arial" w:cs="Arial"/>
          <w:color w:val="272B30"/>
          <w:shd w:val="clear" w:color="auto" w:fill="F3F6F8"/>
          <w:lang w:val="pt-PT"/>
        </w:rPr>
      </w:pPr>
    </w:p>
    <w:p w14:paraId="2AE32E82" w14:textId="77777777" w:rsidR="00F34566" w:rsidRPr="0009754D" w:rsidRDefault="00F34566">
      <w:pPr>
        <w:jc w:val="both"/>
        <w:rPr>
          <w:lang w:val="pt-PT"/>
        </w:rPr>
      </w:pPr>
    </w:p>
    <w:p w14:paraId="687BF8C8"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j) Os operadores de mercados de eletricidade;</w:t>
      </w:r>
    </w:p>
    <w:p w14:paraId="7703FC66" w14:textId="77777777" w:rsidR="00F34566" w:rsidRPr="0009754D" w:rsidRDefault="00F34566">
      <w:pPr>
        <w:jc w:val="both"/>
        <w:rPr>
          <w:rFonts w:ascii="Arial" w:eastAsia="Arial" w:hAnsi="Arial" w:cs="Arial"/>
          <w:color w:val="272B30"/>
          <w:shd w:val="clear" w:color="auto" w:fill="F3F6F8"/>
          <w:lang w:val="pt-PT"/>
        </w:rPr>
      </w:pPr>
    </w:p>
    <w:p w14:paraId="6EF6DCE6" w14:textId="77777777" w:rsidR="00F34566" w:rsidRPr="0009754D" w:rsidRDefault="00F34566">
      <w:pPr>
        <w:jc w:val="both"/>
        <w:rPr>
          <w:lang w:val="pt-PT"/>
        </w:rPr>
      </w:pPr>
    </w:p>
    <w:p w14:paraId="0F854989"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k) O gestor de garantias;</w:t>
      </w:r>
    </w:p>
    <w:p w14:paraId="0762C87E" w14:textId="77777777" w:rsidR="00F34566" w:rsidRPr="0009754D" w:rsidRDefault="00F34566">
      <w:pPr>
        <w:jc w:val="both"/>
        <w:rPr>
          <w:rFonts w:ascii="Arial" w:eastAsia="Arial" w:hAnsi="Arial" w:cs="Arial"/>
          <w:color w:val="272B30"/>
          <w:shd w:val="clear" w:color="auto" w:fill="F3F6F8"/>
          <w:lang w:val="pt-PT"/>
        </w:rPr>
      </w:pPr>
    </w:p>
    <w:p w14:paraId="73B23454" w14:textId="77777777" w:rsidR="00F34566" w:rsidRPr="0009754D" w:rsidRDefault="00F34566">
      <w:pPr>
        <w:jc w:val="both"/>
        <w:rPr>
          <w:lang w:val="pt-PT"/>
        </w:rPr>
      </w:pPr>
    </w:p>
    <w:p w14:paraId="168E8151"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l) O agregador de último recurso;</w:t>
      </w:r>
    </w:p>
    <w:p w14:paraId="7403AB35" w14:textId="77777777" w:rsidR="00F34566" w:rsidRPr="0009754D" w:rsidRDefault="00F34566">
      <w:pPr>
        <w:jc w:val="both"/>
        <w:rPr>
          <w:rFonts w:ascii="Arial" w:eastAsia="Arial" w:hAnsi="Arial" w:cs="Arial"/>
          <w:color w:val="272B30"/>
          <w:shd w:val="clear" w:color="auto" w:fill="F3F6F8"/>
          <w:lang w:val="pt-PT"/>
        </w:rPr>
      </w:pPr>
    </w:p>
    <w:p w14:paraId="4BCC0597" w14:textId="77777777" w:rsidR="00F34566" w:rsidRPr="0009754D" w:rsidRDefault="00F34566">
      <w:pPr>
        <w:jc w:val="both"/>
        <w:rPr>
          <w:lang w:val="pt-PT"/>
        </w:rPr>
      </w:pPr>
    </w:p>
    <w:p w14:paraId="6CFF5D13"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m) Os agregadores de eletricidade;</w:t>
      </w:r>
    </w:p>
    <w:p w14:paraId="1BA29F56" w14:textId="77777777" w:rsidR="00F34566" w:rsidRPr="0009754D" w:rsidRDefault="00F34566">
      <w:pPr>
        <w:jc w:val="both"/>
        <w:rPr>
          <w:rFonts w:ascii="Arial" w:eastAsia="Arial" w:hAnsi="Arial" w:cs="Arial"/>
          <w:color w:val="272B30"/>
          <w:shd w:val="clear" w:color="auto" w:fill="F3F6F8"/>
          <w:lang w:val="pt-PT"/>
        </w:rPr>
      </w:pPr>
    </w:p>
    <w:p w14:paraId="48C75C6A" w14:textId="77777777" w:rsidR="00F34566" w:rsidRPr="0009754D" w:rsidRDefault="00F34566">
      <w:pPr>
        <w:jc w:val="both"/>
        <w:rPr>
          <w:lang w:val="pt-PT"/>
        </w:rPr>
      </w:pPr>
    </w:p>
    <w:p w14:paraId="233134DD"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n) Os autoconsumidores;</w:t>
      </w:r>
    </w:p>
    <w:p w14:paraId="31C5BA68" w14:textId="77777777" w:rsidR="00F34566" w:rsidRPr="0009754D" w:rsidRDefault="00F34566">
      <w:pPr>
        <w:jc w:val="both"/>
        <w:rPr>
          <w:rFonts w:ascii="Arial" w:eastAsia="Arial" w:hAnsi="Arial" w:cs="Arial"/>
          <w:color w:val="272B30"/>
          <w:shd w:val="clear" w:color="auto" w:fill="F3F6F8"/>
          <w:lang w:val="pt-PT"/>
        </w:rPr>
      </w:pPr>
    </w:p>
    <w:p w14:paraId="098D037F" w14:textId="77777777" w:rsidR="00F34566" w:rsidRPr="0009754D" w:rsidRDefault="00F34566">
      <w:pPr>
        <w:jc w:val="both"/>
        <w:rPr>
          <w:lang w:val="pt-PT"/>
        </w:rPr>
      </w:pPr>
    </w:p>
    <w:p w14:paraId="01CBDF34"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 xml:space="preserve">o) As </w:t>
      </w:r>
      <w:r w:rsidRPr="0009754D">
        <w:rPr>
          <w:rFonts w:ascii="Arial" w:eastAsia="Arial" w:hAnsi="Arial" w:cs="Arial"/>
          <w:b/>
          <w:bCs/>
          <w:color w:val="272B30"/>
          <w:shd w:val="clear" w:color="auto" w:fill="FFFFCC"/>
          <w:lang w:val="pt-PT"/>
        </w:rPr>
        <w:t>comuni</w:t>
      </w:r>
      <w:r w:rsidRPr="0009754D">
        <w:rPr>
          <w:rFonts w:ascii="Arial" w:eastAsia="Arial" w:hAnsi="Arial" w:cs="Arial"/>
          <w:color w:val="272B30"/>
          <w:lang w:val="pt-PT"/>
        </w:rPr>
        <w:t>dades de cidadãos para a energia;</w:t>
      </w:r>
    </w:p>
    <w:p w14:paraId="053E8CFC" w14:textId="77777777" w:rsidR="00F34566" w:rsidRPr="0009754D" w:rsidRDefault="00F34566">
      <w:pPr>
        <w:jc w:val="both"/>
        <w:rPr>
          <w:rFonts w:ascii="Arial" w:eastAsia="Arial" w:hAnsi="Arial" w:cs="Arial"/>
          <w:color w:val="272B30"/>
          <w:shd w:val="clear" w:color="auto" w:fill="F3F6F8"/>
          <w:lang w:val="pt-PT"/>
        </w:rPr>
      </w:pPr>
    </w:p>
    <w:p w14:paraId="4BB350C7" w14:textId="77777777" w:rsidR="00F34566" w:rsidRPr="0009754D" w:rsidRDefault="00F34566">
      <w:pPr>
        <w:jc w:val="both"/>
        <w:rPr>
          <w:lang w:val="pt-PT"/>
        </w:rPr>
      </w:pPr>
    </w:p>
    <w:p w14:paraId="392EB9BA"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 xml:space="preserve">p) As </w:t>
      </w:r>
      <w:r w:rsidRPr="0009754D">
        <w:rPr>
          <w:rFonts w:ascii="Arial" w:eastAsia="Arial" w:hAnsi="Arial" w:cs="Arial"/>
          <w:b/>
          <w:bCs/>
          <w:color w:val="272B30"/>
          <w:shd w:val="clear" w:color="auto" w:fill="FFFFCC"/>
          <w:lang w:val="pt-PT"/>
        </w:rPr>
        <w:t>comuni</w:t>
      </w:r>
      <w:r w:rsidRPr="0009754D">
        <w:rPr>
          <w:rFonts w:ascii="Arial" w:eastAsia="Arial" w:hAnsi="Arial" w:cs="Arial"/>
          <w:color w:val="272B30"/>
          <w:lang w:val="pt-PT"/>
        </w:rPr>
        <w:t>dades de energia renovável (CER);</w:t>
      </w:r>
    </w:p>
    <w:p w14:paraId="5097DE26" w14:textId="77777777" w:rsidR="00F34566" w:rsidRPr="0009754D" w:rsidRDefault="00F34566">
      <w:pPr>
        <w:jc w:val="both"/>
        <w:rPr>
          <w:rFonts w:ascii="Arial" w:eastAsia="Arial" w:hAnsi="Arial" w:cs="Arial"/>
          <w:color w:val="272B30"/>
          <w:shd w:val="clear" w:color="auto" w:fill="F3F6F8"/>
          <w:lang w:val="pt-PT"/>
        </w:rPr>
      </w:pPr>
    </w:p>
    <w:p w14:paraId="6D323FE1" w14:textId="77777777" w:rsidR="00F34566" w:rsidRPr="0009754D" w:rsidRDefault="00F34566">
      <w:pPr>
        <w:jc w:val="both"/>
        <w:rPr>
          <w:lang w:val="pt-PT"/>
        </w:rPr>
      </w:pPr>
    </w:p>
    <w:p w14:paraId="3BC9800B"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q) A Entidade Emissora de Garantias de Origem (EEGO);</w:t>
      </w:r>
    </w:p>
    <w:p w14:paraId="3C41EFA7" w14:textId="77777777" w:rsidR="00F34566" w:rsidRPr="0009754D" w:rsidRDefault="00F34566">
      <w:pPr>
        <w:jc w:val="both"/>
        <w:rPr>
          <w:rFonts w:ascii="Arial" w:eastAsia="Arial" w:hAnsi="Arial" w:cs="Arial"/>
          <w:color w:val="272B30"/>
          <w:shd w:val="clear" w:color="auto" w:fill="F3F6F8"/>
          <w:lang w:val="pt-PT"/>
        </w:rPr>
      </w:pPr>
    </w:p>
    <w:p w14:paraId="4893A259" w14:textId="77777777" w:rsidR="00F34566" w:rsidRPr="0009754D" w:rsidRDefault="00F34566">
      <w:pPr>
        <w:jc w:val="both"/>
        <w:rPr>
          <w:lang w:val="pt-PT"/>
        </w:rPr>
      </w:pPr>
    </w:p>
    <w:p w14:paraId="62C81183"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r) As EGAC;</w:t>
      </w:r>
    </w:p>
    <w:p w14:paraId="3054BEFC" w14:textId="77777777" w:rsidR="00F34566" w:rsidRPr="0009754D" w:rsidRDefault="00F34566">
      <w:pPr>
        <w:jc w:val="both"/>
        <w:rPr>
          <w:rFonts w:ascii="Arial" w:eastAsia="Arial" w:hAnsi="Arial" w:cs="Arial"/>
          <w:color w:val="272B30"/>
          <w:shd w:val="clear" w:color="auto" w:fill="F3F6F8"/>
          <w:lang w:val="pt-PT"/>
        </w:rPr>
      </w:pPr>
    </w:p>
    <w:p w14:paraId="3E2F8EB5" w14:textId="77777777" w:rsidR="00F34566" w:rsidRPr="0009754D" w:rsidRDefault="00F34566">
      <w:pPr>
        <w:jc w:val="both"/>
        <w:rPr>
          <w:lang w:val="pt-PT"/>
        </w:rPr>
      </w:pPr>
    </w:p>
    <w:p w14:paraId="41828255"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s) O operador logístico da mudança de comercializador e de agregador de eletricidade;</w:t>
      </w:r>
    </w:p>
    <w:p w14:paraId="46CEC2C8" w14:textId="77777777" w:rsidR="00F34566" w:rsidRPr="0009754D" w:rsidRDefault="00F34566">
      <w:pPr>
        <w:jc w:val="both"/>
        <w:rPr>
          <w:rFonts w:ascii="Arial" w:eastAsia="Arial" w:hAnsi="Arial" w:cs="Arial"/>
          <w:color w:val="272B30"/>
          <w:shd w:val="clear" w:color="auto" w:fill="F3F6F8"/>
          <w:lang w:val="pt-PT"/>
        </w:rPr>
      </w:pPr>
    </w:p>
    <w:p w14:paraId="05134C93" w14:textId="77777777" w:rsidR="00F34566" w:rsidRPr="0009754D" w:rsidRDefault="00F34566">
      <w:pPr>
        <w:jc w:val="both"/>
        <w:rPr>
          <w:lang w:val="pt-PT"/>
        </w:rPr>
      </w:pPr>
    </w:p>
    <w:p w14:paraId="506D55AE"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t) Os consumidores de eletricidade;</w:t>
      </w:r>
    </w:p>
    <w:p w14:paraId="0D7CC97C" w14:textId="77777777" w:rsidR="00F34566" w:rsidRPr="0009754D" w:rsidRDefault="00F34566">
      <w:pPr>
        <w:jc w:val="both"/>
        <w:rPr>
          <w:rFonts w:ascii="Arial" w:eastAsia="Arial" w:hAnsi="Arial" w:cs="Arial"/>
          <w:color w:val="272B30"/>
          <w:shd w:val="clear" w:color="auto" w:fill="F3F6F8"/>
          <w:lang w:val="pt-PT"/>
        </w:rPr>
      </w:pPr>
    </w:p>
    <w:p w14:paraId="074A424A" w14:textId="77777777" w:rsidR="00F34566" w:rsidRPr="0009754D" w:rsidRDefault="00F34566">
      <w:pPr>
        <w:jc w:val="both"/>
        <w:rPr>
          <w:lang w:val="pt-PT"/>
        </w:rPr>
      </w:pPr>
    </w:p>
    <w:p w14:paraId="46DDB2C0"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u) Outros intervenientes que, nos termos da lei, possam exercer as atividades previstas no n.º 3 do artigo 6.º</w:t>
      </w:r>
    </w:p>
    <w:p w14:paraId="421F4D7C" w14:textId="77777777" w:rsidR="00F34566" w:rsidRPr="0009754D" w:rsidRDefault="00F34566">
      <w:pPr>
        <w:jc w:val="both"/>
        <w:rPr>
          <w:rFonts w:ascii="Arial" w:eastAsia="Arial" w:hAnsi="Arial" w:cs="Arial"/>
          <w:color w:val="272B30"/>
          <w:shd w:val="clear" w:color="auto" w:fill="F3F6F8"/>
          <w:lang w:val="pt-PT"/>
        </w:rPr>
      </w:pPr>
    </w:p>
    <w:p w14:paraId="45EC70CD" w14:textId="77777777" w:rsidR="00F34566" w:rsidRPr="0009754D" w:rsidRDefault="00F34566">
      <w:pPr>
        <w:jc w:val="both"/>
        <w:rPr>
          <w:lang w:val="pt-PT"/>
        </w:rPr>
      </w:pPr>
    </w:p>
    <w:p w14:paraId="1AB051C0"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 xml:space="preserve">2 - Os intervenientes do SEN, com exceção dos consumidores de eletricidade, estão obrigados a operar com base no disposto no Regulamento (UE) 2019/943 do </w:t>
      </w:r>
      <w:r w:rsidRPr="0009754D">
        <w:rPr>
          <w:rFonts w:ascii="Arial" w:eastAsia="Arial" w:hAnsi="Arial" w:cs="Arial"/>
          <w:color w:val="272B30"/>
          <w:lang w:val="pt-PT"/>
        </w:rPr>
        <w:lastRenderedPageBreak/>
        <w:t>Parlamento Europeu e do Conselho, de 5 de junho de 2019, relativo ao mercado interno da eletricidade.</w:t>
      </w:r>
    </w:p>
    <w:p w14:paraId="793CEE17" w14:textId="77777777" w:rsidR="00F34566" w:rsidRPr="0009754D" w:rsidRDefault="00F34566">
      <w:pPr>
        <w:jc w:val="both"/>
        <w:rPr>
          <w:rFonts w:ascii="Arial" w:eastAsia="Arial" w:hAnsi="Arial" w:cs="Arial"/>
          <w:color w:val="272B30"/>
          <w:shd w:val="clear" w:color="auto" w:fill="F3F6F8"/>
          <w:lang w:val="pt-PT"/>
        </w:rPr>
      </w:pPr>
    </w:p>
    <w:p w14:paraId="3186E32A" w14:textId="77777777" w:rsidR="00F34566" w:rsidRPr="0009754D" w:rsidRDefault="00F34566">
      <w:pPr>
        <w:jc w:val="both"/>
        <w:rPr>
          <w:lang w:val="pt-PT"/>
        </w:rPr>
      </w:pPr>
    </w:p>
    <w:p w14:paraId="1EC59103"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3 - Todos os intervenientes no SEN devem dispor de sistemas de gestão e de intercâmbio de dados seguros e interoperáveis entre si e asseguram o acesso aos dados do cliente final nos termos da legislação aplicável.</w:t>
      </w:r>
    </w:p>
    <w:p w14:paraId="1C58CFE6" w14:textId="77777777" w:rsidR="00F34566" w:rsidRPr="0009754D" w:rsidRDefault="00F34566">
      <w:pPr>
        <w:jc w:val="both"/>
        <w:rPr>
          <w:lang w:val="pt-PT"/>
        </w:rPr>
      </w:pPr>
    </w:p>
    <w:p w14:paraId="162C59B0" w14:textId="77777777" w:rsidR="00F34566" w:rsidRPr="0009754D" w:rsidRDefault="00F34566">
      <w:pPr>
        <w:jc w:val="both"/>
        <w:rPr>
          <w:lang w:val="pt-PT"/>
        </w:rPr>
      </w:pPr>
    </w:p>
    <w:p w14:paraId="3E797214" w14:textId="77777777" w:rsidR="00F34566" w:rsidRPr="0009754D" w:rsidRDefault="00000000">
      <w:pPr>
        <w:shd w:val="clear" w:color="auto" w:fill="F3F6F8"/>
        <w:spacing w:before="160" w:line="330" w:lineRule="auto"/>
        <w:jc w:val="center"/>
        <w:rPr>
          <w:rFonts w:ascii="Arial" w:eastAsia="Arial" w:hAnsi="Arial" w:cs="Arial"/>
          <w:color w:val="272B30"/>
          <w:lang w:val="pt-PT"/>
        </w:rPr>
      </w:pPr>
      <w:r w:rsidRPr="0009754D">
        <w:rPr>
          <w:rFonts w:ascii="Arial" w:eastAsia="Arial" w:hAnsi="Arial" w:cs="Arial"/>
          <w:color w:val="272B30"/>
          <w:lang w:val="pt-PT"/>
        </w:rPr>
        <w:t>SECÇÃO II</w:t>
      </w:r>
    </w:p>
    <w:p w14:paraId="541A4B7F" w14:textId="77777777" w:rsidR="00F34566" w:rsidRPr="0009754D" w:rsidRDefault="00F34566">
      <w:pPr>
        <w:jc w:val="both"/>
        <w:rPr>
          <w:rFonts w:ascii="Arial" w:eastAsia="Arial" w:hAnsi="Arial" w:cs="Arial"/>
          <w:color w:val="272B30"/>
          <w:shd w:val="clear" w:color="auto" w:fill="F3F6F8"/>
          <w:lang w:val="pt-PT"/>
        </w:rPr>
      </w:pPr>
    </w:p>
    <w:p w14:paraId="0FCF2600" w14:textId="77777777" w:rsidR="00F34566" w:rsidRPr="0009754D" w:rsidRDefault="00F34566">
      <w:pPr>
        <w:jc w:val="both"/>
        <w:rPr>
          <w:lang w:val="pt-PT"/>
        </w:rPr>
      </w:pPr>
    </w:p>
    <w:p w14:paraId="18F17FD4" w14:textId="77777777" w:rsidR="00F34566" w:rsidRPr="0009754D" w:rsidRDefault="00000000">
      <w:pPr>
        <w:shd w:val="clear" w:color="auto" w:fill="F3F6F8"/>
        <w:spacing w:line="330" w:lineRule="auto"/>
        <w:jc w:val="center"/>
        <w:rPr>
          <w:rFonts w:ascii="Arial" w:eastAsia="Arial" w:hAnsi="Arial" w:cs="Arial"/>
          <w:b/>
          <w:bCs/>
          <w:color w:val="272B30"/>
          <w:shd w:val="clear" w:color="auto" w:fill="FFFFCC"/>
          <w:lang w:val="pt-PT"/>
        </w:rPr>
      </w:pPr>
      <w:r w:rsidRPr="0009754D">
        <w:rPr>
          <w:rFonts w:ascii="Arial" w:eastAsia="Arial" w:hAnsi="Arial" w:cs="Arial"/>
          <w:b/>
          <w:bCs/>
          <w:color w:val="272B30"/>
          <w:shd w:val="clear" w:color="auto" w:fill="FFFFCC"/>
          <w:lang w:val="pt-PT"/>
        </w:rPr>
        <w:t>COMUNIDADES</w:t>
      </w:r>
      <w:r w:rsidRPr="0009754D">
        <w:rPr>
          <w:rFonts w:ascii="Arial" w:eastAsia="Arial" w:hAnsi="Arial" w:cs="Arial"/>
          <w:b/>
          <w:bCs/>
          <w:color w:val="272B30"/>
          <w:lang w:val="pt-PT"/>
        </w:rPr>
        <w:t xml:space="preserve"> DE </w:t>
      </w:r>
      <w:r w:rsidRPr="0009754D">
        <w:rPr>
          <w:rFonts w:ascii="Arial" w:eastAsia="Arial" w:hAnsi="Arial" w:cs="Arial"/>
          <w:b/>
          <w:bCs/>
          <w:color w:val="272B30"/>
          <w:shd w:val="clear" w:color="auto" w:fill="FFFFCC"/>
          <w:lang w:val="pt-PT"/>
        </w:rPr>
        <w:t>ENERGIA</w:t>
      </w:r>
    </w:p>
    <w:p w14:paraId="03C1B9D7" w14:textId="77777777" w:rsidR="00F34566" w:rsidRPr="0009754D" w:rsidRDefault="00F34566">
      <w:pPr>
        <w:jc w:val="both"/>
        <w:rPr>
          <w:rFonts w:ascii="Arial" w:eastAsia="Arial" w:hAnsi="Arial" w:cs="Arial"/>
          <w:color w:val="272B30"/>
          <w:shd w:val="clear" w:color="auto" w:fill="F3F6F8"/>
          <w:lang w:val="pt-PT"/>
        </w:rPr>
      </w:pPr>
    </w:p>
    <w:p w14:paraId="3A032E12" w14:textId="77777777" w:rsidR="00F34566" w:rsidRPr="0009754D" w:rsidRDefault="00F34566">
      <w:pPr>
        <w:jc w:val="both"/>
        <w:rPr>
          <w:lang w:val="pt-PT"/>
        </w:rPr>
      </w:pPr>
    </w:p>
    <w:p w14:paraId="270B2E86" w14:textId="77777777" w:rsidR="00F34566" w:rsidRPr="0009754D" w:rsidRDefault="00000000">
      <w:pPr>
        <w:shd w:val="clear" w:color="auto" w:fill="F3F6F8"/>
        <w:spacing w:before="160" w:line="330" w:lineRule="auto"/>
        <w:jc w:val="center"/>
        <w:rPr>
          <w:rFonts w:ascii="Arial" w:eastAsia="Arial" w:hAnsi="Arial" w:cs="Arial"/>
          <w:color w:val="272B30"/>
          <w:lang w:val="pt-PT"/>
        </w:rPr>
      </w:pPr>
      <w:r w:rsidRPr="0009754D">
        <w:rPr>
          <w:rFonts w:ascii="Arial" w:eastAsia="Arial" w:hAnsi="Arial" w:cs="Arial"/>
          <w:color w:val="272B30"/>
          <w:lang w:val="pt-PT"/>
        </w:rPr>
        <w:t>Artigo 189.º</w:t>
      </w:r>
    </w:p>
    <w:p w14:paraId="7304972E" w14:textId="77777777" w:rsidR="00F34566" w:rsidRPr="0009754D" w:rsidRDefault="00F34566">
      <w:pPr>
        <w:jc w:val="both"/>
        <w:rPr>
          <w:rFonts w:ascii="Arial" w:eastAsia="Arial" w:hAnsi="Arial" w:cs="Arial"/>
          <w:color w:val="272B30"/>
          <w:shd w:val="clear" w:color="auto" w:fill="F3F6F8"/>
          <w:lang w:val="pt-PT"/>
        </w:rPr>
      </w:pPr>
    </w:p>
    <w:p w14:paraId="1228AB03" w14:textId="77777777" w:rsidR="00F34566" w:rsidRPr="0009754D" w:rsidRDefault="00F34566">
      <w:pPr>
        <w:jc w:val="both"/>
        <w:rPr>
          <w:lang w:val="pt-PT"/>
        </w:rPr>
      </w:pPr>
    </w:p>
    <w:p w14:paraId="3D3549C3" w14:textId="77777777" w:rsidR="00F34566" w:rsidRPr="0009754D" w:rsidRDefault="00000000">
      <w:pPr>
        <w:shd w:val="clear" w:color="auto" w:fill="F3F6F8"/>
        <w:spacing w:line="330" w:lineRule="auto"/>
        <w:jc w:val="center"/>
        <w:rPr>
          <w:rFonts w:ascii="Arial" w:eastAsia="Arial" w:hAnsi="Arial" w:cs="Arial"/>
          <w:b/>
          <w:bCs/>
          <w:color w:val="272B30"/>
          <w:shd w:val="clear" w:color="auto" w:fill="FFFFCC"/>
          <w:lang w:val="pt-PT"/>
        </w:rPr>
      </w:pPr>
      <w:r w:rsidRPr="0009754D">
        <w:rPr>
          <w:rFonts w:ascii="Arial" w:eastAsia="Arial" w:hAnsi="Arial" w:cs="Arial"/>
          <w:b/>
          <w:bCs/>
          <w:color w:val="272B30"/>
          <w:shd w:val="clear" w:color="auto" w:fill="FFFFCC"/>
          <w:lang w:val="pt-PT"/>
        </w:rPr>
        <w:t>Comunidades</w:t>
      </w:r>
      <w:r w:rsidRPr="0009754D">
        <w:rPr>
          <w:rFonts w:ascii="Arial" w:eastAsia="Arial" w:hAnsi="Arial" w:cs="Arial"/>
          <w:b/>
          <w:bCs/>
          <w:color w:val="272B30"/>
          <w:lang w:val="pt-PT"/>
        </w:rPr>
        <w:t xml:space="preserve"> de </w:t>
      </w:r>
      <w:r w:rsidRPr="0009754D">
        <w:rPr>
          <w:rFonts w:ascii="Arial" w:eastAsia="Arial" w:hAnsi="Arial" w:cs="Arial"/>
          <w:b/>
          <w:bCs/>
          <w:color w:val="272B30"/>
          <w:shd w:val="clear" w:color="auto" w:fill="FFFFCC"/>
          <w:lang w:val="pt-PT"/>
        </w:rPr>
        <w:t>energia</w:t>
      </w:r>
      <w:r w:rsidRPr="0009754D">
        <w:rPr>
          <w:rFonts w:ascii="Arial" w:eastAsia="Arial" w:hAnsi="Arial" w:cs="Arial"/>
          <w:b/>
          <w:bCs/>
          <w:color w:val="272B30"/>
          <w:lang w:val="pt-PT"/>
        </w:rPr>
        <w:t xml:space="preserve"> </w:t>
      </w:r>
      <w:r w:rsidRPr="0009754D">
        <w:rPr>
          <w:rFonts w:ascii="Arial" w:eastAsia="Arial" w:hAnsi="Arial" w:cs="Arial"/>
          <w:b/>
          <w:bCs/>
          <w:color w:val="272B30"/>
          <w:shd w:val="clear" w:color="auto" w:fill="FFFFCC"/>
          <w:lang w:val="pt-PT"/>
        </w:rPr>
        <w:t>renovável</w:t>
      </w:r>
    </w:p>
    <w:p w14:paraId="405B961B" w14:textId="77777777" w:rsidR="00F34566" w:rsidRPr="0009754D" w:rsidRDefault="00F34566">
      <w:pPr>
        <w:jc w:val="both"/>
        <w:rPr>
          <w:rFonts w:ascii="Arial" w:eastAsia="Arial" w:hAnsi="Arial" w:cs="Arial"/>
          <w:color w:val="272B30"/>
          <w:shd w:val="clear" w:color="auto" w:fill="F3F6F8"/>
          <w:lang w:val="pt-PT"/>
        </w:rPr>
      </w:pPr>
    </w:p>
    <w:p w14:paraId="149A629A" w14:textId="77777777" w:rsidR="00F34566" w:rsidRPr="0009754D" w:rsidRDefault="00F34566">
      <w:pPr>
        <w:jc w:val="both"/>
        <w:rPr>
          <w:lang w:val="pt-PT"/>
        </w:rPr>
      </w:pPr>
    </w:p>
    <w:p w14:paraId="01C56ACB"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1 - A CER é uma pessoa coletiva constituída nos termos do presente decreto-lei, mediante adesão aberta e voluntária dos seus membros, sócios ou acionistas, os quais podem ser pessoas singulares ou coletivas, de natureza pública ou privada, incluindo, nomeadamente, pequenas e médias empresas ou autarquias locais, por estes controlada e que, cumulativamente:</w:t>
      </w:r>
    </w:p>
    <w:p w14:paraId="0D9E8DBE" w14:textId="77777777" w:rsidR="00F34566" w:rsidRPr="0009754D" w:rsidRDefault="00F34566">
      <w:pPr>
        <w:jc w:val="both"/>
        <w:rPr>
          <w:rFonts w:ascii="Arial" w:eastAsia="Arial" w:hAnsi="Arial" w:cs="Arial"/>
          <w:color w:val="272B30"/>
          <w:shd w:val="clear" w:color="auto" w:fill="F3F6F8"/>
          <w:lang w:val="pt-PT"/>
        </w:rPr>
      </w:pPr>
    </w:p>
    <w:p w14:paraId="16B07B02" w14:textId="77777777" w:rsidR="00F34566" w:rsidRPr="0009754D" w:rsidRDefault="00F34566">
      <w:pPr>
        <w:jc w:val="both"/>
        <w:rPr>
          <w:lang w:val="pt-PT"/>
        </w:rPr>
      </w:pPr>
    </w:p>
    <w:p w14:paraId="0B6BC310"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 xml:space="preserve">a) Os membros ou participantes estejam localizados na proximidade dos projetos de </w:t>
      </w:r>
      <w:r w:rsidRPr="0009754D">
        <w:rPr>
          <w:rFonts w:ascii="Arial" w:eastAsia="Arial" w:hAnsi="Arial" w:cs="Arial"/>
          <w:b/>
          <w:bCs/>
          <w:color w:val="272B30"/>
          <w:shd w:val="clear" w:color="auto" w:fill="FFFFCC"/>
          <w:lang w:val="pt-PT"/>
        </w:rPr>
        <w:t>energia</w:t>
      </w:r>
      <w:r w:rsidRPr="0009754D">
        <w:rPr>
          <w:rFonts w:ascii="Arial" w:eastAsia="Arial" w:hAnsi="Arial" w:cs="Arial"/>
          <w:color w:val="272B30"/>
          <w:lang w:val="pt-PT"/>
        </w:rPr>
        <w:t xml:space="preserve"> </w:t>
      </w:r>
      <w:r w:rsidRPr="0009754D">
        <w:rPr>
          <w:rFonts w:ascii="Arial" w:eastAsia="Arial" w:hAnsi="Arial" w:cs="Arial"/>
          <w:b/>
          <w:bCs/>
          <w:color w:val="272B30"/>
          <w:shd w:val="clear" w:color="auto" w:fill="FFFFCC"/>
          <w:lang w:val="pt-PT"/>
        </w:rPr>
        <w:t>renovável</w:t>
      </w:r>
      <w:r w:rsidRPr="0009754D">
        <w:rPr>
          <w:rFonts w:ascii="Arial" w:eastAsia="Arial" w:hAnsi="Arial" w:cs="Arial"/>
          <w:color w:val="272B30"/>
          <w:lang w:val="pt-PT"/>
        </w:rPr>
        <w:t xml:space="preserve"> ou desenvolvam atividades relacionadas com os projetos de </w:t>
      </w:r>
      <w:r w:rsidRPr="0009754D">
        <w:rPr>
          <w:rFonts w:ascii="Arial" w:eastAsia="Arial" w:hAnsi="Arial" w:cs="Arial"/>
          <w:b/>
          <w:bCs/>
          <w:color w:val="272B30"/>
          <w:shd w:val="clear" w:color="auto" w:fill="FFFFCC"/>
          <w:lang w:val="pt-PT"/>
        </w:rPr>
        <w:t>energia</w:t>
      </w:r>
      <w:r w:rsidRPr="0009754D">
        <w:rPr>
          <w:rFonts w:ascii="Arial" w:eastAsia="Arial" w:hAnsi="Arial" w:cs="Arial"/>
          <w:color w:val="272B30"/>
          <w:lang w:val="pt-PT"/>
        </w:rPr>
        <w:t xml:space="preserve"> </w:t>
      </w:r>
      <w:r w:rsidRPr="0009754D">
        <w:rPr>
          <w:rFonts w:ascii="Arial" w:eastAsia="Arial" w:hAnsi="Arial" w:cs="Arial"/>
          <w:b/>
          <w:bCs/>
          <w:color w:val="272B30"/>
          <w:shd w:val="clear" w:color="auto" w:fill="FFFFCC"/>
          <w:lang w:val="pt-PT"/>
        </w:rPr>
        <w:t>renovável</w:t>
      </w:r>
      <w:r w:rsidRPr="0009754D">
        <w:rPr>
          <w:rFonts w:ascii="Arial" w:eastAsia="Arial" w:hAnsi="Arial" w:cs="Arial"/>
          <w:color w:val="272B30"/>
          <w:lang w:val="pt-PT"/>
        </w:rPr>
        <w:t xml:space="preserve"> da respetiva comunidade de </w:t>
      </w:r>
      <w:r w:rsidRPr="0009754D">
        <w:rPr>
          <w:rFonts w:ascii="Arial" w:eastAsia="Arial" w:hAnsi="Arial" w:cs="Arial"/>
          <w:b/>
          <w:bCs/>
          <w:color w:val="272B30"/>
          <w:shd w:val="clear" w:color="auto" w:fill="FFFFCC"/>
          <w:lang w:val="pt-PT"/>
        </w:rPr>
        <w:t>energia</w:t>
      </w:r>
      <w:r w:rsidRPr="0009754D">
        <w:rPr>
          <w:rFonts w:ascii="Arial" w:eastAsia="Arial" w:hAnsi="Arial" w:cs="Arial"/>
          <w:color w:val="272B30"/>
          <w:lang w:val="pt-PT"/>
        </w:rPr>
        <w:t>, incluindo necessariamente UPAC;</w:t>
      </w:r>
    </w:p>
    <w:p w14:paraId="4026ED4B" w14:textId="77777777" w:rsidR="00F34566" w:rsidRPr="0009754D" w:rsidRDefault="00F34566">
      <w:pPr>
        <w:jc w:val="both"/>
        <w:rPr>
          <w:rFonts w:ascii="Arial" w:eastAsia="Arial" w:hAnsi="Arial" w:cs="Arial"/>
          <w:color w:val="272B30"/>
          <w:shd w:val="clear" w:color="auto" w:fill="F3F6F8"/>
          <w:lang w:val="pt-PT"/>
        </w:rPr>
      </w:pPr>
    </w:p>
    <w:p w14:paraId="306A1DBB" w14:textId="77777777" w:rsidR="00F34566" w:rsidRPr="0009754D" w:rsidRDefault="00F34566">
      <w:pPr>
        <w:jc w:val="both"/>
        <w:rPr>
          <w:lang w:val="pt-PT"/>
        </w:rPr>
      </w:pPr>
    </w:p>
    <w:p w14:paraId="72034D59"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lastRenderedPageBreak/>
        <w:t>b) Os referidos projetos sejam detidos e desenvolvidos pela CER ou por terceiros, desde que em benefício e ao serviço daquela;</w:t>
      </w:r>
    </w:p>
    <w:p w14:paraId="03BB34F0" w14:textId="77777777" w:rsidR="00F34566" w:rsidRPr="0009754D" w:rsidRDefault="00F34566">
      <w:pPr>
        <w:jc w:val="both"/>
        <w:rPr>
          <w:rFonts w:ascii="Arial" w:eastAsia="Arial" w:hAnsi="Arial" w:cs="Arial"/>
          <w:color w:val="272B30"/>
          <w:shd w:val="clear" w:color="auto" w:fill="F3F6F8"/>
          <w:lang w:val="pt-PT"/>
        </w:rPr>
      </w:pPr>
    </w:p>
    <w:p w14:paraId="3FEA9A5A" w14:textId="77777777" w:rsidR="00F34566" w:rsidRPr="0009754D" w:rsidRDefault="00F34566">
      <w:pPr>
        <w:jc w:val="both"/>
        <w:rPr>
          <w:lang w:val="pt-PT"/>
        </w:rPr>
      </w:pPr>
    </w:p>
    <w:p w14:paraId="26304D42"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c) A CER tenha por objetivo principal propiciar aos membros ou às localidades onde opera a comunidade benefícios ambientais, económicos e sociais em vez de lucros financeiros.</w:t>
      </w:r>
    </w:p>
    <w:p w14:paraId="2610994C" w14:textId="77777777" w:rsidR="00F34566" w:rsidRPr="0009754D" w:rsidRDefault="00F34566">
      <w:pPr>
        <w:jc w:val="both"/>
        <w:rPr>
          <w:rFonts w:ascii="Arial" w:eastAsia="Arial" w:hAnsi="Arial" w:cs="Arial"/>
          <w:color w:val="272B30"/>
          <w:shd w:val="clear" w:color="auto" w:fill="F3F6F8"/>
          <w:lang w:val="pt-PT"/>
        </w:rPr>
      </w:pPr>
    </w:p>
    <w:p w14:paraId="65D5B48D" w14:textId="77777777" w:rsidR="00F34566" w:rsidRPr="0009754D" w:rsidRDefault="00F34566">
      <w:pPr>
        <w:jc w:val="both"/>
        <w:rPr>
          <w:lang w:val="pt-PT"/>
        </w:rPr>
      </w:pPr>
    </w:p>
    <w:p w14:paraId="527C6B0D"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2 - As CER têm a faculdade de:</w:t>
      </w:r>
    </w:p>
    <w:p w14:paraId="0A23A5CC" w14:textId="77777777" w:rsidR="00F34566" w:rsidRPr="0009754D" w:rsidRDefault="00F34566">
      <w:pPr>
        <w:jc w:val="both"/>
        <w:rPr>
          <w:rFonts w:ascii="Arial" w:eastAsia="Arial" w:hAnsi="Arial" w:cs="Arial"/>
          <w:color w:val="272B30"/>
          <w:shd w:val="clear" w:color="auto" w:fill="F3F6F8"/>
          <w:lang w:val="pt-PT"/>
        </w:rPr>
      </w:pPr>
    </w:p>
    <w:p w14:paraId="149C2EF2" w14:textId="77777777" w:rsidR="00F34566" w:rsidRPr="0009754D" w:rsidRDefault="00F34566">
      <w:pPr>
        <w:jc w:val="both"/>
        <w:rPr>
          <w:lang w:val="pt-PT"/>
        </w:rPr>
      </w:pPr>
    </w:p>
    <w:p w14:paraId="46C1B75B"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 xml:space="preserve">a) Produzir, consumir, armazenar, comprar e vender </w:t>
      </w:r>
      <w:r w:rsidRPr="0009754D">
        <w:rPr>
          <w:rFonts w:ascii="Arial" w:eastAsia="Arial" w:hAnsi="Arial" w:cs="Arial"/>
          <w:b/>
          <w:bCs/>
          <w:color w:val="272B30"/>
          <w:shd w:val="clear" w:color="auto" w:fill="FFFFCC"/>
          <w:lang w:val="pt-PT"/>
        </w:rPr>
        <w:t>energia</w:t>
      </w:r>
      <w:r w:rsidRPr="0009754D">
        <w:rPr>
          <w:rFonts w:ascii="Arial" w:eastAsia="Arial" w:hAnsi="Arial" w:cs="Arial"/>
          <w:color w:val="272B30"/>
          <w:lang w:val="pt-PT"/>
        </w:rPr>
        <w:t xml:space="preserve"> </w:t>
      </w:r>
      <w:r w:rsidRPr="0009754D">
        <w:rPr>
          <w:rFonts w:ascii="Arial" w:eastAsia="Arial" w:hAnsi="Arial" w:cs="Arial"/>
          <w:b/>
          <w:bCs/>
          <w:color w:val="272B30"/>
          <w:shd w:val="clear" w:color="auto" w:fill="FFFFCC"/>
          <w:lang w:val="pt-PT"/>
        </w:rPr>
        <w:t>renovável</w:t>
      </w:r>
      <w:r w:rsidRPr="0009754D">
        <w:rPr>
          <w:rFonts w:ascii="Arial" w:eastAsia="Arial" w:hAnsi="Arial" w:cs="Arial"/>
          <w:color w:val="272B30"/>
          <w:lang w:val="pt-PT"/>
        </w:rPr>
        <w:t xml:space="preserve"> com os seus membros ou com terceiros;</w:t>
      </w:r>
    </w:p>
    <w:p w14:paraId="10A3F5CE" w14:textId="77777777" w:rsidR="00F34566" w:rsidRPr="0009754D" w:rsidRDefault="00F34566">
      <w:pPr>
        <w:jc w:val="both"/>
        <w:rPr>
          <w:rFonts w:ascii="Arial" w:eastAsia="Arial" w:hAnsi="Arial" w:cs="Arial"/>
          <w:color w:val="272B30"/>
          <w:shd w:val="clear" w:color="auto" w:fill="F3F6F8"/>
          <w:lang w:val="pt-PT"/>
        </w:rPr>
      </w:pPr>
    </w:p>
    <w:p w14:paraId="7D1987D8" w14:textId="77777777" w:rsidR="00F34566" w:rsidRPr="0009754D" w:rsidRDefault="00F34566">
      <w:pPr>
        <w:jc w:val="both"/>
        <w:rPr>
          <w:lang w:val="pt-PT"/>
        </w:rPr>
      </w:pPr>
    </w:p>
    <w:p w14:paraId="577D6985"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 xml:space="preserve">b) Partilhar e comercializar entre os seus membros a </w:t>
      </w:r>
      <w:r w:rsidRPr="0009754D">
        <w:rPr>
          <w:rFonts w:ascii="Arial" w:eastAsia="Arial" w:hAnsi="Arial" w:cs="Arial"/>
          <w:b/>
          <w:bCs/>
          <w:color w:val="272B30"/>
          <w:shd w:val="clear" w:color="auto" w:fill="FFFFCC"/>
          <w:lang w:val="pt-PT"/>
        </w:rPr>
        <w:t>energia</w:t>
      </w:r>
      <w:r w:rsidRPr="0009754D">
        <w:rPr>
          <w:rFonts w:ascii="Arial" w:eastAsia="Arial" w:hAnsi="Arial" w:cs="Arial"/>
          <w:color w:val="272B30"/>
          <w:lang w:val="pt-PT"/>
        </w:rPr>
        <w:t xml:space="preserve"> </w:t>
      </w:r>
      <w:r w:rsidRPr="0009754D">
        <w:rPr>
          <w:rFonts w:ascii="Arial" w:eastAsia="Arial" w:hAnsi="Arial" w:cs="Arial"/>
          <w:b/>
          <w:bCs/>
          <w:color w:val="272B30"/>
          <w:shd w:val="clear" w:color="auto" w:fill="FFFFCC"/>
          <w:lang w:val="pt-PT"/>
        </w:rPr>
        <w:t>renovável</w:t>
      </w:r>
      <w:r w:rsidRPr="0009754D">
        <w:rPr>
          <w:rFonts w:ascii="Arial" w:eastAsia="Arial" w:hAnsi="Arial" w:cs="Arial"/>
          <w:color w:val="272B30"/>
          <w:lang w:val="pt-PT"/>
        </w:rPr>
        <w:t xml:space="preserve"> produzida por UPAC ao seu serviço, com observância dos outros requisitos previstos no presente artigo, sem prejuízo de os membros da CER manterem os seus direitos e obrigações enquanto consumidores;</w:t>
      </w:r>
    </w:p>
    <w:p w14:paraId="0145FD7E" w14:textId="77777777" w:rsidR="00F34566" w:rsidRPr="0009754D" w:rsidRDefault="00F34566">
      <w:pPr>
        <w:jc w:val="both"/>
        <w:rPr>
          <w:rFonts w:ascii="Arial" w:eastAsia="Arial" w:hAnsi="Arial" w:cs="Arial"/>
          <w:color w:val="272B30"/>
          <w:shd w:val="clear" w:color="auto" w:fill="F3F6F8"/>
          <w:lang w:val="pt-PT"/>
        </w:rPr>
      </w:pPr>
    </w:p>
    <w:p w14:paraId="751A8D02" w14:textId="77777777" w:rsidR="00F34566" w:rsidRPr="0009754D" w:rsidRDefault="00F34566">
      <w:pPr>
        <w:jc w:val="both"/>
        <w:rPr>
          <w:lang w:val="pt-PT"/>
        </w:rPr>
      </w:pPr>
    </w:p>
    <w:p w14:paraId="16A07573"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 xml:space="preserve">c) Aceder a todos os mercados de </w:t>
      </w:r>
      <w:r w:rsidRPr="0009754D">
        <w:rPr>
          <w:rFonts w:ascii="Arial" w:eastAsia="Arial" w:hAnsi="Arial" w:cs="Arial"/>
          <w:b/>
          <w:bCs/>
          <w:color w:val="272B30"/>
          <w:shd w:val="clear" w:color="auto" w:fill="FFFFCC"/>
          <w:lang w:val="pt-PT"/>
        </w:rPr>
        <w:t>energia</w:t>
      </w:r>
      <w:r w:rsidRPr="0009754D">
        <w:rPr>
          <w:rFonts w:ascii="Arial" w:eastAsia="Arial" w:hAnsi="Arial" w:cs="Arial"/>
          <w:color w:val="272B30"/>
          <w:lang w:val="pt-PT"/>
        </w:rPr>
        <w:t>, incluindo de serviços de sistema, tanto diretamente como através de agregação.</w:t>
      </w:r>
    </w:p>
    <w:p w14:paraId="24C67533" w14:textId="77777777" w:rsidR="00F34566" w:rsidRPr="0009754D" w:rsidRDefault="00F34566">
      <w:pPr>
        <w:jc w:val="both"/>
        <w:rPr>
          <w:rFonts w:ascii="Arial" w:eastAsia="Arial" w:hAnsi="Arial" w:cs="Arial"/>
          <w:color w:val="272B30"/>
          <w:shd w:val="clear" w:color="auto" w:fill="F3F6F8"/>
          <w:lang w:val="pt-PT"/>
        </w:rPr>
      </w:pPr>
    </w:p>
    <w:p w14:paraId="6C8AF6BF" w14:textId="77777777" w:rsidR="00F34566" w:rsidRPr="0009754D" w:rsidRDefault="00F34566">
      <w:pPr>
        <w:jc w:val="both"/>
        <w:rPr>
          <w:lang w:val="pt-PT"/>
        </w:rPr>
      </w:pPr>
    </w:p>
    <w:p w14:paraId="2A28F9B2"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3 - O exercício das atividades referidas no número anterior processa-se nos termos definidos no presente decreto-lei.</w:t>
      </w:r>
    </w:p>
    <w:p w14:paraId="00FFE255" w14:textId="77777777" w:rsidR="00F34566" w:rsidRPr="0009754D" w:rsidRDefault="00F34566">
      <w:pPr>
        <w:jc w:val="both"/>
        <w:rPr>
          <w:rFonts w:ascii="Arial" w:eastAsia="Arial" w:hAnsi="Arial" w:cs="Arial"/>
          <w:color w:val="272B30"/>
          <w:shd w:val="clear" w:color="auto" w:fill="F3F6F8"/>
          <w:lang w:val="pt-PT"/>
        </w:rPr>
      </w:pPr>
    </w:p>
    <w:p w14:paraId="739A80FC" w14:textId="77777777" w:rsidR="00F34566" w:rsidRPr="0009754D" w:rsidRDefault="00F34566">
      <w:pPr>
        <w:jc w:val="both"/>
        <w:rPr>
          <w:lang w:val="pt-PT"/>
        </w:rPr>
      </w:pPr>
    </w:p>
    <w:p w14:paraId="095346E7"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4 - Sem prejuízo do disposto no n.º 1, a CER é integralmente responsável pelos desvios à programação que provocar no SEN nos termos definidos no Regulamento de Operação das Redes, podendo transferir essa responsabilidade a um agregador ou ao seu representante designado.</w:t>
      </w:r>
    </w:p>
    <w:p w14:paraId="5AD3B49A" w14:textId="77777777" w:rsidR="00F34566" w:rsidRPr="0009754D" w:rsidRDefault="00F34566">
      <w:pPr>
        <w:jc w:val="both"/>
        <w:rPr>
          <w:rFonts w:ascii="Arial" w:eastAsia="Arial" w:hAnsi="Arial" w:cs="Arial"/>
          <w:color w:val="272B30"/>
          <w:shd w:val="clear" w:color="auto" w:fill="F3F6F8"/>
          <w:lang w:val="pt-PT"/>
        </w:rPr>
      </w:pPr>
    </w:p>
    <w:p w14:paraId="06C469FD" w14:textId="77777777" w:rsidR="00F34566" w:rsidRPr="0009754D" w:rsidRDefault="00F34566">
      <w:pPr>
        <w:jc w:val="both"/>
        <w:rPr>
          <w:lang w:val="pt-PT"/>
        </w:rPr>
      </w:pPr>
    </w:p>
    <w:p w14:paraId="3822D3EB"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lastRenderedPageBreak/>
        <w:t>5 - O acesso dos consumidores a uma CER não pode ser sujeito a condições ou a procedimentos injustificados ou discriminatórios que impeçam a sua participação.</w:t>
      </w:r>
    </w:p>
    <w:p w14:paraId="2B28C360" w14:textId="77777777" w:rsidR="00F34566" w:rsidRPr="0009754D" w:rsidRDefault="00F34566">
      <w:pPr>
        <w:jc w:val="both"/>
        <w:rPr>
          <w:rFonts w:ascii="Arial" w:eastAsia="Arial" w:hAnsi="Arial" w:cs="Arial"/>
          <w:color w:val="272B30"/>
          <w:shd w:val="clear" w:color="auto" w:fill="F3F6F8"/>
          <w:lang w:val="pt-PT"/>
        </w:rPr>
      </w:pPr>
    </w:p>
    <w:p w14:paraId="55DC0E05" w14:textId="77777777" w:rsidR="00F34566" w:rsidRPr="0009754D" w:rsidRDefault="00F34566">
      <w:pPr>
        <w:jc w:val="both"/>
        <w:rPr>
          <w:lang w:val="pt-PT"/>
        </w:rPr>
      </w:pPr>
    </w:p>
    <w:p w14:paraId="7612AEFA"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6 - A CER deve admitir a saída de qualquer dos seus participantes, sob condição do cumprimento das obrigações a que esteja vinculado.</w:t>
      </w:r>
    </w:p>
    <w:p w14:paraId="45CFB2DE" w14:textId="77777777" w:rsidR="00F34566" w:rsidRPr="0009754D" w:rsidRDefault="00F34566">
      <w:pPr>
        <w:jc w:val="both"/>
        <w:rPr>
          <w:rFonts w:ascii="Arial" w:eastAsia="Arial" w:hAnsi="Arial" w:cs="Arial"/>
          <w:color w:val="272B30"/>
          <w:shd w:val="clear" w:color="auto" w:fill="F3F6F8"/>
          <w:lang w:val="pt-PT"/>
        </w:rPr>
      </w:pPr>
    </w:p>
    <w:p w14:paraId="4C0DC6D7" w14:textId="77777777" w:rsidR="00F34566" w:rsidRPr="0009754D" w:rsidRDefault="00F34566">
      <w:pPr>
        <w:jc w:val="both"/>
        <w:rPr>
          <w:lang w:val="pt-PT"/>
        </w:rPr>
      </w:pPr>
    </w:p>
    <w:p w14:paraId="4791F7ED"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 xml:space="preserve">7 - As CER podem, para além dos modos de partilha previstos no n.º 2 do artigo 87.º, proceder à partilha de </w:t>
      </w:r>
      <w:r w:rsidRPr="0009754D">
        <w:rPr>
          <w:rFonts w:ascii="Arial" w:eastAsia="Arial" w:hAnsi="Arial" w:cs="Arial"/>
          <w:b/>
          <w:bCs/>
          <w:color w:val="272B30"/>
          <w:shd w:val="clear" w:color="auto" w:fill="FFFFCC"/>
          <w:lang w:val="pt-PT"/>
        </w:rPr>
        <w:t>energia</w:t>
      </w:r>
      <w:r w:rsidRPr="0009754D">
        <w:rPr>
          <w:rFonts w:ascii="Arial" w:eastAsia="Arial" w:hAnsi="Arial" w:cs="Arial"/>
          <w:color w:val="272B30"/>
          <w:lang w:val="pt-PT"/>
        </w:rPr>
        <w:t xml:space="preserve"> através de recurso a sistemas específicos de gestão dinâmica.</w:t>
      </w:r>
    </w:p>
    <w:p w14:paraId="45E1266C" w14:textId="77777777" w:rsidR="00F34566" w:rsidRPr="0009754D" w:rsidRDefault="00F34566">
      <w:pPr>
        <w:jc w:val="both"/>
        <w:rPr>
          <w:rFonts w:ascii="Arial" w:eastAsia="Arial" w:hAnsi="Arial" w:cs="Arial"/>
          <w:color w:val="272B30"/>
          <w:shd w:val="clear" w:color="auto" w:fill="F3F6F8"/>
          <w:lang w:val="pt-PT"/>
        </w:rPr>
      </w:pPr>
    </w:p>
    <w:p w14:paraId="698BE994" w14:textId="77777777" w:rsidR="00F34566" w:rsidRPr="0009754D" w:rsidRDefault="00F34566">
      <w:pPr>
        <w:jc w:val="both"/>
        <w:rPr>
          <w:lang w:val="pt-PT"/>
        </w:rPr>
      </w:pPr>
    </w:p>
    <w:p w14:paraId="378CC5A2" w14:textId="77777777" w:rsidR="00F34566" w:rsidRPr="0009754D" w:rsidRDefault="00000000">
      <w:pPr>
        <w:shd w:val="clear" w:color="auto" w:fill="F3F6F8"/>
        <w:spacing w:before="160" w:line="330" w:lineRule="auto"/>
        <w:jc w:val="center"/>
        <w:rPr>
          <w:rFonts w:ascii="Arial" w:eastAsia="Arial" w:hAnsi="Arial" w:cs="Arial"/>
          <w:color w:val="272B30"/>
          <w:lang w:val="pt-PT"/>
        </w:rPr>
      </w:pPr>
      <w:r w:rsidRPr="0009754D">
        <w:rPr>
          <w:rFonts w:ascii="Arial" w:eastAsia="Arial" w:hAnsi="Arial" w:cs="Arial"/>
          <w:color w:val="272B30"/>
          <w:lang w:val="pt-PT"/>
        </w:rPr>
        <w:t>Artigo 190.º</w:t>
      </w:r>
    </w:p>
    <w:p w14:paraId="2E869CC9" w14:textId="77777777" w:rsidR="00F34566" w:rsidRPr="0009754D" w:rsidRDefault="00F34566">
      <w:pPr>
        <w:jc w:val="both"/>
        <w:rPr>
          <w:rFonts w:ascii="Arial" w:eastAsia="Arial" w:hAnsi="Arial" w:cs="Arial"/>
          <w:color w:val="272B30"/>
          <w:shd w:val="clear" w:color="auto" w:fill="F3F6F8"/>
          <w:lang w:val="pt-PT"/>
        </w:rPr>
      </w:pPr>
    </w:p>
    <w:p w14:paraId="7D39A90D" w14:textId="77777777" w:rsidR="00F34566" w:rsidRPr="0009754D" w:rsidRDefault="00F34566">
      <w:pPr>
        <w:jc w:val="both"/>
        <w:rPr>
          <w:lang w:val="pt-PT"/>
        </w:rPr>
      </w:pPr>
    </w:p>
    <w:p w14:paraId="2817565A" w14:textId="77777777" w:rsidR="00F34566" w:rsidRPr="0009754D" w:rsidRDefault="00000000">
      <w:pPr>
        <w:shd w:val="clear" w:color="auto" w:fill="F3F6F8"/>
        <w:spacing w:line="330" w:lineRule="auto"/>
        <w:jc w:val="center"/>
        <w:rPr>
          <w:rFonts w:ascii="Arial" w:eastAsia="Arial" w:hAnsi="Arial" w:cs="Arial"/>
          <w:b/>
          <w:bCs/>
          <w:color w:val="272B30"/>
          <w:shd w:val="clear" w:color="auto" w:fill="FFFFCC"/>
          <w:lang w:val="pt-PT"/>
        </w:rPr>
      </w:pPr>
      <w:r w:rsidRPr="0009754D">
        <w:rPr>
          <w:rFonts w:ascii="Arial" w:eastAsia="Arial" w:hAnsi="Arial" w:cs="Arial"/>
          <w:b/>
          <w:bCs/>
          <w:color w:val="272B30"/>
          <w:lang w:val="pt-PT"/>
        </w:rPr>
        <w:t xml:space="preserve">Regime aplicável às </w:t>
      </w:r>
      <w:r w:rsidRPr="0009754D">
        <w:rPr>
          <w:rFonts w:ascii="Arial" w:eastAsia="Arial" w:hAnsi="Arial" w:cs="Arial"/>
          <w:b/>
          <w:bCs/>
          <w:color w:val="272B30"/>
          <w:shd w:val="clear" w:color="auto" w:fill="FFFFCC"/>
          <w:lang w:val="pt-PT"/>
        </w:rPr>
        <w:t>comunidades</w:t>
      </w:r>
      <w:r w:rsidRPr="0009754D">
        <w:rPr>
          <w:rFonts w:ascii="Arial" w:eastAsia="Arial" w:hAnsi="Arial" w:cs="Arial"/>
          <w:b/>
          <w:bCs/>
          <w:color w:val="272B30"/>
          <w:lang w:val="pt-PT"/>
        </w:rPr>
        <w:t xml:space="preserve"> de </w:t>
      </w:r>
      <w:r w:rsidRPr="0009754D">
        <w:rPr>
          <w:rFonts w:ascii="Arial" w:eastAsia="Arial" w:hAnsi="Arial" w:cs="Arial"/>
          <w:b/>
          <w:bCs/>
          <w:color w:val="272B30"/>
          <w:shd w:val="clear" w:color="auto" w:fill="FFFFCC"/>
          <w:lang w:val="pt-PT"/>
        </w:rPr>
        <w:t>energia</w:t>
      </w:r>
      <w:r w:rsidRPr="0009754D">
        <w:rPr>
          <w:rFonts w:ascii="Arial" w:eastAsia="Arial" w:hAnsi="Arial" w:cs="Arial"/>
          <w:b/>
          <w:bCs/>
          <w:color w:val="272B30"/>
          <w:lang w:val="pt-PT"/>
        </w:rPr>
        <w:t xml:space="preserve"> </w:t>
      </w:r>
      <w:r w:rsidRPr="0009754D">
        <w:rPr>
          <w:rFonts w:ascii="Arial" w:eastAsia="Arial" w:hAnsi="Arial" w:cs="Arial"/>
          <w:b/>
          <w:bCs/>
          <w:color w:val="272B30"/>
          <w:shd w:val="clear" w:color="auto" w:fill="FFFFCC"/>
          <w:lang w:val="pt-PT"/>
        </w:rPr>
        <w:t>renovável</w:t>
      </w:r>
    </w:p>
    <w:p w14:paraId="225893A3" w14:textId="77777777" w:rsidR="00F34566" w:rsidRPr="0009754D" w:rsidRDefault="00F34566">
      <w:pPr>
        <w:jc w:val="both"/>
        <w:rPr>
          <w:rFonts w:ascii="Arial" w:eastAsia="Arial" w:hAnsi="Arial" w:cs="Arial"/>
          <w:color w:val="272B30"/>
          <w:shd w:val="clear" w:color="auto" w:fill="F3F6F8"/>
          <w:lang w:val="pt-PT"/>
        </w:rPr>
      </w:pPr>
    </w:p>
    <w:p w14:paraId="3B249EFE" w14:textId="77777777" w:rsidR="00F34566" w:rsidRPr="0009754D" w:rsidRDefault="00F34566">
      <w:pPr>
        <w:jc w:val="both"/>
        <w:rPr>
          <w:lang w:val="pt-PT"/>
        </w:rPr>
      </w:pPr>
    </w:p>
    <w:p w14:paraId="06F45AC2"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 xml:space="preserve">Em matéria de direitos, deveres e contagem da </w:t>
      </w:r>
      <w:r w:rsidRPr="0009754D">
        <w:rPr>
          <w:rFonts w:ascii="Arial" w:eastAsia="Arial" w:hAnsi="Arial" w:cs="Arial"/>
          <w:b/>
          <w:bCs/>
          <w:color w:val="272B30"/>
          <w:shd w:val="clear" w:color="auto" w:fill="FFFFCC"/>
          <w:lang w:val="pt-PT"/>
        </w:rPr>
        <w:t>energia</w:t>
      </w:r>
      <w:r w:rsidRPr="0009754D">
        <w:rPr>
          <w:rFonts w:ascii="Arial" w:eastAsia="Arial" w:hAnsi="Arial" w:cs="Arial"/>
          <w:color w:val="272B30"/>
          <w:lang w:val="pt-PT"/>
        </w:rPr>
        <w:t xml:space="preserve"> produzida na CER e relacionamento comercial, são aplicáveis, com as necessárias adaptações, as regras do ACC.</w:t>
      </w:r>
    </w:p>
    <w:p w14:paraId="674A67D7" w14:textId="77777777" w:rsidR="00F34566" w:rsidRPr="0009754D" w:rsidRDefault="00F34566">
      <w:pPr>
        <w:jc w:val="both"/>
        <w:rPr>
          <w:rFonts w:ascii="Arial" w:eastAsia="Arial" w:hAnsi="Arial" w:cs="Arial"/>
          <w:color w:val="272B30"/>
          <w:shd w:val="clear" w:color="auto" w:fill="F3F6F8"/>
          <w:lang w:val="pt-PT"/>
        </w:rPr>
      </w:pPr>
    </w:p>
    <w:p w14:paraId="2C7E991E" w14:textId="77777777" w:rsidR="00F34566" w:rsidRPr="0009754D" w:rsidRDefault="00F34566">
      <w:pPr>
        <w:jc w:val="both"/>
        <w:rPr>
          <w:lang w:val="pt-PT"/>
        </w:rPr>
      </w:pPr>
    </w:p>
    <w:p w14:paraId="0FC4F0F6" w14:textId="77777777" w:rsidR="00F34566" w:rsidRPr="0009754D" w:rsidRDefault="00000000">
      <w:pPr>
        <w:shd w:val="clear" w:color="auto" w:fill="F3F6F8"/>
        <w:spacing w:before="160" w:line="330" w:lineRule="auto"/>
        <w:jc w:val="center"/>
        <w:rPr>
          <w:rFonts w:ascii="Arial" w:eastAsia="Arial" w:hAnsi="Arial" w:cs="Arial"/>
          <w:color w:val="272B30"/>
          <w:lang w:val="pt-PT"/>
        </w:rPr>
      </w:pPr>
      <w:r w:rsidRPr="0009754D">
        <w:rPr>
          <w:rFonts w:ascii="Arial" w:eastAsia="Arial" w:hAnsi="Arial" w:cs="Arial"/>
          <w:color w:val="272B30"/>
          <w:lang w:val="pt-PT"/>
        </w:rPr>
        <w:t>Artigo 191.º</w:t>
      </w:r>
    </w:p>
    <w:p w14:paraId="115CD7C6" w14:textId="77777777" w:rsidR="00F34566" w:rsidRPr="0009754D" w:rsidRDefault="00F34566">
      <w:pPr>
        <w:jc w:val="both"/>
        <w:rPr>
          <w:rFonts w:ascii="Arial" w:eastAsia="Arial" w:hAnsi="Arial" w:cs="Arial"/>
          <w:color w:val="272B30"/>
          <w:shd w:val="clear" w:color="auto" w:fill="F3F6F8"/>
          <w:lang w:val="pt-PT"/>
        </w:rPr>
      </w:pPr>
    </w:p>
    <w:p w14:paraId="31CE8891" w14:textId="77777777" w:rsidR="00F34566" w:rsidRPr="0009754D" w:rsidRDefault="00F34566">
      <w:pPr>
        <w:jc w:val="both"/>
        <w:rPr>
          <w:lang w:val="pt-PT"/>
        </w:rPr>
      </w:pPr>
    </w:p>
    <w:p w14:paraId="5B5A0102" w14:textId="77777777" w:rsidR="00F34566" w:rsidRPr="0009754D" w:rsidRDefault="00000000">
      <w:pPr>
        <w:shd w:val="clear" w:color="auto" w:fill="F3F6F8"/>
        <w:spacing w:line="330" w:lineRule="auto"/>
        <w:jc w:val="center"/>
        <w:rPr>
          <w:rFonts w:ascii="Arial" w:eastAsia="Arial" w:hAnsi="Arial" w:cs="Arial"/>
          <w:b/>
          <w:bCs/>
          <w:color w:val="272B30"/>
          <w:shd w:val="clear" w:color="auto" w:fill="FFFFCC"/>
          <w:lang w:val="pt-PT"/>
        </w:rPr>
      </w:pPr>
      <w:r w:rsidRPr="0009754D">
        <w:rPr>
          <w:rFonts w:ascii="Arial" w:eastAsia="Arial" w:hAnsi="Arial" w:cs="Arial"/>
          <w:b/>
          <w:bCs/>
          <w:color w:val="272B30"/>
          <w:shd w:val="clear" w:color="auto" w:fill="FFFFCC"/>
          <w:lang w:val="pt-PT"/>
        </w:rPr>
        <w:t>Comunidades</w:t>
      </w:r>
      <w:r w:rsidRPr="0009754D">
        <w:rPr>
          <w:rFonts w:ascii="Arial" w:eastAsia="Arial" w:hAnsi="Arial" w:cs="Arial"/>
          <w:b/>
          <w:bCs/>
          <w:color w:val="272B30"/>
          <w:lang w:val="pt-PT"/>
        </w:rPr>
        <w:t xml:space="preserve"> de cidadãos para a </w:t>
      </w:r>
      <w:r w:rsidRPr="0009754D">
        <w:rPr>
          <w:rFonts w:ascii="Arial" w:eastAsia="Arial" w:hAnsi="Arial" w:cs="Arial"/>
          <w:b/>
          <w:bCs/>
          <w:color w:val="272B30"/>
          <w:shd w:val="clear" w:color="auto" w:fill="FFFFCC"/>
          <w:lang w:val="pt-PT"/>
        </w:rPr>
        <w:t>energia</w:t>
      </w:r>
    </w:p>
    <w:p w14:paraId="26E59DDE" w14:textId="77777777" w:rsidR="00F34566" w:rsidRPr="0009754D" w:rsidRDefault="00F34566">
      <w:pPr>
        <w:jc w:val="both"/>
        <w:rPr>
          <w:rFonts w:ascii="Arial" w:eastAsia="Arial" w:hAnsi="Arial" w:cs="Arial"/>
          <w:color w:val="272B30"/>
          <w:shd w:val="clear" w:color="auto" w:fill="F3F6F8"/>
          <w:lang w:val="pt-PT"/>
        </w:rPr>
      </w:pPr>
    </w:p>
    <w:p w14:paraId="51E615F4" w14:textId="77777777" w:rsidR="00F34566" w:rsidRPr="0009754D" w:rsidRDefault="00F34566">
      <w:pPr>
        <w:jc w:val="both"/>
        <w:rPr>
          <w:lang w:val="pt-PT"/>
        </w:rPr>
      </w:pPr>
    </w:p>
    <w:p w14:paraId="02E51659"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 xml:space="preserve">1 - A comunidade de cidadãos para a </w:t>
      </w:r>
      <w:r w:rsidRPr="0009754D">
        <w:rPr>
          <w:rFonts w:ascii="Arial" w:eastAsia="Arial" w:hAnsi="Arial" w:cs="Arial"/>
          <w:b/>
          <w:bCs/>
          <w:color w:val="272B30"/>
          <w:shd w:val="clear" w:color="auto" w:fill="FFFFCC"/>
          <w:lang w:val="pt-PT"/>
        </w:rPr>
        <w:t>energia</w:t>
      </w:r>
      <w:r w:rsidRPr="0009754D">
        <w:rPr>
          <w:rFonts w:ascii="Arial" w:eastAsia="Arial" w:hAnsi="Arial" w:cs="Arial"/>
          <w:color w:val="272B30"/>
          <w:lang w:val="pt-PT"/>
        </w:rPr>
        <w:t xml:space="preserve"> é uma pessoa coletiva constituída nos termos do presente decreto-lei mediante adesão aberta e voluntária dos seus membros, sócios ou acionistas, os quais podem ser pessoas singulares ou coletivas, de natureza pública ou privada, incluindo, nomeadamente, pequenas e médias empresas ou autarquias locais, e que:</w:t>
      </w:r>
    </w:p>
    <w:p w14:paraId="29970C9B" w14:textId="77777777" w:rsidR="00F34566" w:rsidRPr="0009754D" w:rsidRDefault="00F34566">
      <w:pPr>
        <w:jc w:val="both"/>
        <w:rPr>
          <w:rFonts w:ascii="Arial" w:eastAsia="Arial" w:hAnsi="Arial" w:cs="Arial"/>
          <w:color w:val="272B30"/>
          <w:shd w:val="clear" w:color="auto" w:fill="F3F6F8"/>
          <w:lang w:val="pt-PT"/>
        </w:rPr>
      </w:pPr>
    </w:p>
    <w:p w14:paraId="22CB5999" w14:textId="77777777" w:rsidR="00F34566" w:rsidRPr="0009754D" w:rsidRDefault="00F34566">
      <w:pPr>
        <w:jc w:val="both"/>
        <w:rPr>
          <w:lang w:val="pt-PT"/>
        </w:rPr>
      </w:pPr>
    </w:p>
    <w:p w14:paraId="6E391167"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a) Vise proporcionar benefícios ambientais, económicos ou sociais aos seus membros ou titulares de participações sociais ou às zonas locais onde operam não podendo o seu objetivo principal consistir na obtenção de lucros financeiros;</w:t>
      </w:r>
    </w:p>
    <w:p w14:paraId="1E5D9FEB" w14:textId="77777777" w:rsidR="00F34566" w:rsidRPr="0009754D" w:rsidRDefault="00F34566">
      <w:pPr>
        <w:jc w:val="both"/>
        <w:rPr>
          <w:rFonts w:ascii="Arial" w:eastAsia="Arial" w:hAnsi="Arial" w:cs="Arial"/>
          <w:color w:val="272B30"/>
          <w:shd w:val="clear" w:color="auto" w:fill="F3F6F8"/>
          <w:lang w:val="pt-PT"/>
        </w:rPr>
      </w:pPr>
    </w:p>
    <w:p w14:paraId="08CCCBD2" w14:textId="77777777" w:rsidR="00F34566" w:rsidRPr="0009754D" w:rsidRDefault="00F34566">
      <w:pPr>
        <w:jc w:val="both"/>
        <w:rPr>
          <w:lang w:val="pt-PT"/>
        </w:rPr>
      </w:pPr>
    </w:p>
    <w:p w14:paraId="33B3FBC6"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 xml:space="preserve">b) Pode participar em atividades de produção, inclusive de </w:t>
      </w:r>
      <w:r w:rsidRPr="0009754D">
        <w:rPr>
          <w:rFonts w:ascii="Arial" w:eastAsia="Arial" w:hAnsi="Arial" w:cs="Arial"/>
          <w:b/>
          <w:bCs/>
          <w:color w:val="272B30"/>
          <w:shd w:val="clear" w:color="auto" w:fill="FFFFCC"/>
          <w:lang w:val="pt-PT"/>
        </w:rPr>
        <w:t>energia</w:t>
      </w:r>
      <w:r w:rsidRPr="0009754D">
        <w:rPr>
          <w:rFonts w:ascii="Arial" w:eastAsia="Arial" w:hAnsi="Arial" w:cs="Arial"/>
          <w:color w:val="272B30"/>
          <w:lang w:val="pt-PT"/>
        </w:rPr>
        <w:t xml:space="preserve"> de fontes renováveis, de distribuição, de comercialização, de consumo, de agregação, de armazenamento de </w:t>
      </w:r>
      <w:r w:rsidRPr="0009754D">
        <w:rPr>
          <w:rFonts w:ascii="Arial" w:eastAsia="Arial" w:hAnsi="Arial" w:cs="Arial"/>
          <w:b/>
          <w:bCs/>
          <w:color w:val="272B30"/>
          <w:shd w:val="clear" w:color="auto" w:fill="FFFFCC"/>
          <w:lang w:val="pt-PT"/>
        </w:rPr>
        <w:t>energia</w:t>
      </w:r>
      <w:r w:rsidRPr="0009754D">
        <w:rPr>
          <w:rFonts w:ascii="Arial" w:eastAsia="Arial" w:hAnsi="Arial" w:cs="Arial"/>
          <w:color w:val="272B30"/>
          <w:lang w:val="pt-PT"/>
        </w:rPr>
        <w:t>, de prestação de serviços de eficiência energética, ou de serviços de carregamento para veículos elétricos ou prestar outros serviços energéticos aos seus membros ou aos titulares de participações sociais.</w:t>
      </w:r>
    </w:p>
    <w:p w14:paraId="1ACEB585" w14:textId="77777777" w:rsidR="00F34566" w:rsidRPr="0009754D" w:rsidRDefault="00F34566">
      <w:pPr>
        <w:jc w:val="both"/>
        <w:rPr>
          <w:rFonts w:ascii="Arial" w:eastAsia="Arial" w:hAnsi="Arial" w:cs="Arial"/>
          <w:color w:val="272B30"/>
          <w:shd w:val="clear" w:color="auto" w:fill="F3F6F8"/>
          <w:lang w:val="pt-PT"/>
        </w:rPr>
      </w:pPr>
    </w:p>
    <w:p w14:paraId="071679F3" w14:textId="77777777" w:rsidR="00F34566" w:rsidRPr="0009754D" w:rsidRDefault="00F34566">
      <w:pPr>
        <w:jc w:val="both"/>
        <w:rPr>
          <w:lang w:val="pt-PT"/>
        </w:rPr>
      </w:pPr>
    </w:p>
    <w:p w14:paraId="04510F76"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 xml:space="preserve">2 - As </w:t>
      </w:r>
      <w:r w:rsidRPr="0009754D">
        <w:rPr>
          <w:rFonts w:ascii="Arial" w:eastAsia="Arial" w:hAnsi="Arial" w:cs="Arial"/>
          <w:b/>
          <w:bCs/>
          <w:color w:val="272B30"/>
          <w:shd w:val="clear" w:color="auto" w:fill="FFFFCC"/>
          <w:lang w:val="pt-PT"/>
        </w:rPr>
        <w:t>comunidades</w:t>
      </w:r>
      <w:r w:rsidRPr="0009754D">
        <w:rPr>
          <w:rFonts w:ascii="Arial" w:eastAsia="Arial" w:hAnsi="Arial" w:cs="Arial"/>
          <w:color w:val="272B30"/>
          <w:lang w:val="pt-PT"/>
        </w:rPr>
        <w:t xml:space="preserve"> de cidadãos para a </w:t>
      </w:r>
      <w:r w:rsidRPr="0009754D">
        <w:rPr>
          <w:rFonts w:ascii="Arial" w:eastAsia="Arial" w:hAnsi="Arial" w:cs="Arial"/>
          <w:b/>
          <w:bCs/>
          <w:color w:val="272B30"/>
          <w:shd w:val="clear" w:color="auto" w:fill="FFFFCC"/>
          <w:lang w:val="pt-PT"/>
        </w:rPr>
        <w:t>energia</w:t>
      </w:r>
      <w:r w:rsidRPr="0009754D">
        <w:rPr>
          <w:rFonts w:ascii="Arial" w:eastAsia="Arial" w:hAnsi="Arial" w:cs="Arial"/>
          <w:color w:val="272B30"/>
          <w:lang w:val="pt-PT"/>
        </w:rPr>
        <w:t xml:space="preserve"> regem-se pelo disposto nos artigos referentes às CER com as seguintes especificidades:</w:t>
      </w:r>
    </w:p>
    <w:p w14:paraId="34CACD7A" w14:textId="77777777" w:rsidR="00F34566" w:rsidRPr="0009754D" w:rsidRDefault="00F34566">
      <w:pPr>
        <w:jc w:val="both"/>
        <w:rPr>
          <w:rFonts w:ascii="Arial" w:eastAsia="Arial" w:hAnsi="Arial" w:cs="Arial"/>
          <w:color w:val="272B30"/>
          <w:shd w:val="clear" w:color="auto" w:fill="F3F6F8"/>
          <w:lang w:val="pt-PT"/>
        </w:rPr>
      </w:pPr>
    </w:p>
    <w:p w14:paraId="63399038" w14:textId="77777777" w:rsidR="00F34566" w:rsidRPr="0009754D" w:rsidRDefault="00F34566">
      <w:pPr>
        <w:jc w:val="both"/>
        <w:rPr>
          <w:lang w:val="pt-PT"/>
        </w:rPr>
      </w:pPr>
    </w:p>
    <w:p w14:paraId="325E9873"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a) Podem ser proprietárias, estabelecer, comprar ou alugar RDF e efetuar a respetiva gestão, nos termos definidos no presente decreto-lei;</w:t>
      </w:r>
    </w:p>
    <w:p w14:paraId="720B4107" w14:textId="77777777" w:rsidR="00F34566" w:rsidRPr="0009754D" w:rsidRDefault="00F34566">
      <w:pPr>
        <w:jc w:val="both"/>
        <w:rPr>
          <w:rFonts w:ascii="Arial" w:eastAsia="Arial" w:hAnsi="Arial" w:cs="Arial"/>
          <w:color w:val="272B30"/>
          <w:shd w:val="clear" w:color="auto" w:fill="F3F6F8"/>
          <w:lang w:val="pt-PT"/>
        </w:rPr>
      </w:pPr>
    </w:p>
    <w:p w14:paraId="34CA8DCC" w14:textId="77777777" w:rsidR="00F34566" w:rsidRPr="0009754D" w:rsidRDefault="00F34566">
      <w:pPr>
        <w:jc w:val="both"/>
        <w:rPr>
          <w:lang w:val="pt-PT"/>
        </w:rPr>
      </w:pPr>
    </w:p>
    <w:p w14:paraId="59AEA672" w14:textId="77777777" w:rsidR="00F34566" w:rsidRPr="0009754D" w:rsidRDefault="00000000">
      <w:pPr>
        <w:shd w:val="clear" w:color="auto" w:fill="F3F6F8"/>
        <w:spacing w:line="330" w:lineRule="auto"/>
        <w:jc w:val="both"/>
        <w:rPr>
          <w:rFonts w:ascii="Arial" w:eastAsia="Arial" w:hAnsi="Arial" w:cs="Arial"/>
          <w:color w:val="272B30"/>
          <w:lang w:val="pt-PT"/>
        </w:rPr>
      </w:pPr>
      <w:r w:rsidRPr="0009754D">
        <w:rPr>
          <w:rFonts w:ascii="Arial" w:eastAsia="Arial" w:hAnsi="Arial" w:cs="Arial"/>
          <w:color w:val="272B30"/>
          <w:lang w:val="pt-PT"/>
        </w:rPr>
        <w:t xml:space="preserve">b) Podem produzir, distribuir, comercializar, consumir, agregar e armazenar </w:t>
      </w:r>
      <w:r w:rsidRPr="0009754D">
        <w:rPr>
          <w:rFonts w:ascii="Arial" w:eastAsia="Arial" w:hAnsi="Arial" w:cs="Arial"/>
          <w:b/>
          <w:bCs/>
          <w:color w:val="272B30"/>
          <w:shd w:val="clear" w:color="auto" w:fill="FFFFCC"/>
          <w:lang w:val="pt-PT"/>
        </w:rPr>
        <w:t>energia</w:t>
      </w:r>
      <w:r w:rsidRPr="0009754D">
        <w:rPr>
          <w:rFonts w:ascii="Arial" w:eastAsia="Arial" w:hAnsi="Arial" w:cs="Arial"/>
          <w:color w:val="272B30"/>
          <w:lang w:val="pt-PT"/>
        </w:rPr>
        <w:t xml:space="preserve"> independentemente de a fonte primária ser </w:t>
      </w:r>
      <w:r w:rsidRPr="0009754D">
        <w:rPr>
          <w:rFonts w:ascii="Arial" w:eastAsia="Arial" w:hAnsi="Arial" w:cs="Arial"/>
          <w:b/>
          <w:bCs/>
          <w:color w:val="272B30"/>
          <w:shd w:val="clear" w:color="auto" w:fill="FFFFCC"/>
          <w:lang w:val="pt-PT"/>
        </w:rPr>
        <w:t>renovável</w:t>
      </w:r>
      <w:r w:rsidRPr="0009754D">
        <w:rPr>
          <w:rFonts w:ascii="Arial" w:eastAsia="Arial" w:hAnsi="Arial" w:cs="Arial"/>
          <w:color w:val="272B30"/>
          <w:lang w:val="pt-PT"/>
        </w:rPr>
        <w:t xml:space="preserve"> ou não </w:t>
      </w:r>
      <w:r w:rsidRPr="0009754D">
        <w:rPr>
          <w:rFonts w:ascii="Arial" w:eastAsia="Arial" w:hAnsi="Arial" w:cs="Arial"/>
          <w:b/>
          <w:bCs/>
          <w:color w:val="272B30"/>
          <w:shd w:val="clear" w:color="auto" w:fill="FFFFCC"/>
          <w:lang w:val="pt-PT"/>
        </w:rPr>
        <w:t>renovável</w:t>
      </w:r>
      <w:r w:rsidRPr="0009754D">
        <w:rPr>
          <w:rFonts w:ascii="Arial" w:eastAsia="Arial" w:hAnsi="Arial" w:cs="Arial"/>
          <w:color w:val="272B30"/>
          <w:lang w:val="pt-PT"/>
        </w:rPr>
        <w:t>.</w:t>
      </w:r>
    </w:p>
    <w:p w14:paraId="1C344D5D" w14:textId="77777777" w:rsidR="00F34566" w:rsidRPr="0009754D" w:rsidRDefault="00F34566">
      <w:pPr>
        <w:jc w:val="both"/>
        <w:rPr>
          <w:lang w:val="pt-PT"/>
        </w:rPr>
      </w:pPr>
    </w:p>
    <w:p w14:paraId="1D88BC7C" w14:textId="77777777" w:rsidR="00F34566" w:rsidRPr="0009754D" w:rsidRDefault="00F34566">
      <w:pPr>
        <w:jc w:val="both"/>
        <w:rPr>
          <w:lang w:val="pt-PT"/>
        </w:rPr>
      </w:pPr>
    </w:p>
    <w:p w14:paraId="21B39067" w14:textId="77777777" w:rsidR="00F34566" w:rsidRDefault="00000000">
      <w:pPr>
        <w:pStyle w:val="Ttulo2"/>
        <w:ind w:left="0" w:firstLine="0"/>
        <w:jc w:val="both"/>
      </w:pPr>
      <w:bookmarkStart w:id="14" w:name="_heading=h.nogr1wwlen9i" w:colFirst="0" w:colLast="0"/>
      <w:bookmarkEnd w:id="14"/>
      <w:r>
        <w:t>3.3 Colombia</w:t>
      </w:r>
    </w:p>
    <w:p w14:paraId="00B79178" w14:textId="77777777" w:rsidR="00F34566" w:rsidRDefault="00000000">
      <w:pPr>
        <w:jc w:val="both"/>
      </w:pPr>
      <w:r>
        <w:t xml:space="preserve">Colombia representa uno de los modelos más avanzados de América Latina en cuanto a la integración de las CEL en la política nacional. El Plan Nacional de Desarrollo 2022–2026 define a las Comunidades Energéticas como una pieza central de la transición energética justa. La regulación habilitada en 2025 (Resolución CREG 101 072) permite dos modelos técnicos: </w:t>
      </w:r>
    </w:p>
    <w:p w14:paraId="1D54581A" w14:textId="77777777" w:rsidR="00F34566" w:rsidRDefault="00000000">
      <w:pPr>
        <w:jc w:val="both"/>
      </w:pPr>
      <w:r>
        <w:t xml:space="preserve">-Autogeneración Colectiva (AGRC): Hasta 5 MW de capacidad, enfocada en satisfacer la demanda del grupo y permitir la inyección de excedentes mediante un acuerdo comunitario de energía. </w:t>
      </w:r>
    </w:p>
    <w:p w14:paraId="47C49711" w14:textId="77777777" w:rsidR="00F34566" w:rsidRDefault="00000000">
      <w:pPr>
        <w:jc w:val="both"/>
      </w:pPr>
      <w:r>
        <w:t xml:space="preserve">-Generación Distribuida Colectiva (GDC): También hasta 5 MW, diseñada para vender la totalidad de la energía a la red, siempre que los generadores estén en el mismo mercado </w:t>
      </w:r>
      <w:r>
        <w:lastRenderedPageBreak/>
        <w:t>eléctrico. El enfoque colombiano es explícitamente social, priorizando a poblaciones remotas y vulnerables para reducir costos y fomentar el desarrollo económico local.</w:t>
      </w:r>
    </w:p>
    <w:p w14:paraId="5BE4404D" w14:textId="77777777" w:rsidR="00F34566" w:rsidRDefault="00F34566">
      <w:pPr>
        <w:jc w:val="both"/>
      </w:pPr>
    </w:p>
    <w:p w14:paraId="5E83B951" w14:textId="77777777" w:rsidR="00F34566" w:rsidRDefault="00000000">
      <w:pPr>
        <w:jc w:val="both"/>
      </w:pPr>
      <w:r>
        <w:t>En particular, el artículo 235 de la Ley 2294 de 2023, adicionó al artículo 5 de la Ley 1715</w:t>
      </w:r>
    </w:p>
    <w:p w14:paraId="7E692F1D" w14:textId="77777777" w:rsidR="00F34566" w:rsidRDefault="00000000">
      <w:pPr>
        <w:jc w:val="both"/>
      </w:pPr>
      <w:r>
        <w:t>de 2014, el numeral 25, definiendo las Comunidades Energéticas, como sigue:</w:t>
      </w:r>
    </w:p>
    <w:p w14:paraId="244171CF" w14:textId="77777777" w:rsidR="00F34566" w:rsidRDefault="00F34566">
      <w:pPr>
        <w:jc w:val="both"/>
      </w:pPr>
    </w:p>
    <w:p w14:paraId="7DB7D8DA" w14:textId="77777777" w:rsidR="00F34566" w:rsidRDefault="00000000">
      <w:pPr>
        <w:pBdr>
          <w:top w:val="nil"/>
          <w:left w:val="nil"/>
          <w:bottom w:val="nil"/>
          <w:right w:val="nil"/>
          <w:between w:val="nil"/>
        </w:pBdr>
        <w:jc w:val="both"/>
      </w:pPr>
      <w:r>
        <w:t>“Comunidades Energéticas. Los usuarios o potenciales usuarios de servicios energéticos podrán constituir Comunidades Energéticas para generar, comercializar y/o usar eficientemente la energía a través del uso de fuentes no convencionales de energía renovables -FNCER-, combustibles renovables y recursos energéticos distribuidos.</w:t>
      </w:r>
    </w:p>
    <w:p w14:paraId="11072E6A" w14:textId="77777777" w:rsidR="00F34566" w:rsidRDefault="00000000">
      <w:pPr>
        <w:pBdr>
          <w:top w:val="nil"/>
          <w:left w:val="nil"/>
          <w:bottom w:val="nil"/>
          <w:right w:val="nil"/>
          <w:between w:val="nil"/>
        </w:pBdr>
        <w:jc w:val="both"/>
      </w:pPr>
      <w:r>
        <w:t xml:space="preserve"> </w:t>
      </w:r>
    </w:p>
    <w:p w14:paraId="5B8C5EDD" w14:textId="77777777" w:rsidR="00F34566" w:rsidRDefault="00000000">
      <w:pPr>
        <w:pBdr>
          <w:top w:val="nil"/>
          <w:left w:val="nil"/>
          <w:bottom w:val="nil"/>
          <w:right w:val="nil"/>
          <w:between w:val="nil"/>
        </w:pBdr>
        <w:jc w:val="both"/>
      </w:pPr>
      <w:r>
        <w:t>Las Comunidades Energéticas podrán ser conformadas por personas naturales y/o jurídicas. En el caso de las personas naturales y de las estructuras de Gobierno Propio de los Pueblos y Comunidades Indígenas y de las comunidades campesinas, negras, afrocolombianas, raizales y palenqueras que se constituyan como Comunidades Energéticas, podrán ser beneficiarias de recursos públicos para el financiamiento de inversión, operación y mantenimiento de infraestructura, con base en los criterios de focalización que defina el Ministerio de Minas y Energía. La infraestructura que se desarrolle con recursos públicos podrá cederse a título gratuito a las Comunidades Energéticas, en las condiciones que defina el Ministerio de Minas y Energía, en coordinación con las entidades competentes.</w:t>
      </w:r>
    </w:p>
    <w:p w14:paraId="332033A1" w14:textId="77777777" w:rsidR="00F34566" w:rsidRDefault="00000000">
      <w:pPr>
        <w:pBdr>
          <w:top w:val="nil"/>
          <w:left w:val="nil"/>
          <w:bottom w:val="nil"/>
          <w:right w:val="nil"/>
          <w:between w:val="nil"/>
        </w:pBdr>
        <w:jc w:val="both"/>
      </w:pPr>
      <w:r>
        <w:t xml:space="preserve"> </w:t>
      </w:r>
    </w:p>
    <w:p w14:paraId="75697E2D" w14:textId="77777777" w:rsidR="00F34566" w:rsidRDefault="00000000">
      <w:pPr>
        <w:pBdr>
          <w:top w:val="nil"/>
          <w:left w:val="nil"/>
          <w:bottom w:val="nil"/>
          <w:right w:val="nil"/>
          <w:between w:val="nil"/>
        </w:pBdr>
        <w:jc w:val="both"/>
      </w:pPr>
      <w:r>
        <w:t>Los parámetros de capacidad instalada, dispersión en áreas urbanas y en áreas rurales, y mecanismos de sostenibilidad serán definidos por el Ministerio de Minas y Energía y la Unidad de Planeación Minero-Energética - UPME.</w:t>
      </w:r>
    </w:p>
    <w:p w14:paraId="6B1A8A9E" w14:textId="77777777" w:rsidR="00F34566" w:rsidRDefault="00000000">
      <w:pPr>
        <w:pBdr>
          <w:top w:val="nil"/>
          <w:left w:val="nil"/>
          <w:bottom w:val="nil"/>
          <w:right w:val="nil"/>
          <w:between w:val="nil"/>
        </w:pBdr>
        <w:jc w:val="both"/>
      </w:pPr>
      <w:r>
        <w:t xml:space="preserve"> </w:t>
      </w:r>
    </w:p>
    <w:p w14:paraId="7444BC6B" w14:textId="77777777" w:rsidR="00F34566" w:rsidRDefault="00000000">
      <w:pPr>
        <w:pBdr>
          <w:top w:val="nil"/>
          <w:left w:val="nil"/>
          <w:bottom w:val="nil"/>
          <w:right w:val="nil"/>
          <w:between w:val="nil"/>
        </w:pBdr>
        <w:jc w:val="both"/>
      </w:pPr>
      <w:r>
        <w:t>La Comisión de Regulación de Energía y Gas - CREG definirá en el marco de sus competencias las condiciones asociadas a los términos de la prestación del servicio de la Comunidad Energética.</w:t>
      </w:r>
    </w:p>
    <w:p w14:paraId="0BFD39CE" w14:textId="77777777" w:rsidR="00F34566" w:rsidRDefault="00000000">
      <w:pPr>
        <w:pBdr>
          <w:top w:val="nil"/>
          <w:left w:val="nil"/>
          <w:bottom w:val="nil"/>
          <w:right w:val="nil"/>
          <w:between w:val="nil"/>
        </w:pBdr>
        <w:jc w:val="both"/>
      </w:pPr>
      <w:r>
        <w:t xml:space="preserve"> </w:t>
      </w:r>
    </w:p>
    <w:p w14:paraId="0C9F3ABA" w14:textId="77777777" w:rsidR="00F34566" w:rsidRDefault="00000000">
      <w:pPr>
        <w:pBdr>
          <w:top w:val="nil"/>
          <w:left w:val="nil"/>
          <w:bottom w:val="nil"/>
          <w:right w:val="nil"/>
          <w:between w:val="nil"/>
        </w:pBdr>
        <w:jc w:val="both"/>
        <w:rPr>
          <w:rFonts w:ascii="Arial" w:eastAsia="Arial" w:hAnsi="Arial" w:cs="Arial"/>
          <w:i/>
          <w:iCs/>
          <w:color w:val="333333"/>
          <w:sz w:val="25"/>
          <w:szCs w:val="25"/>
        </w:rPr>
      </w:pPr>
      <w:r>
        <w:t>Las Comunidades Energéticas, en lo relacionado con la prestación de servicios, serán objeto de inspección, control y vigilancia de la Superintendencia de Servicios Públicos.”</w:t>
      </w:r>
    </w:p>
    <w:p w14:paraId="539CAF76" w14:textId="77777777" w:rsidR="00F34566" w:rsidRDefault="00F34566">
      <w:pPr>
        <w:jc w:val="both"/>
      </w:pPr>
    </w:p>
    <w:p w14:paraId="3D041D0E" w14:textId="77777777" w:rsidR="00F34566" w:rsidRDefault="00F34566">
      <w:pPr>
        <w:jc w:val="both"/>
        <w:rPr>
          <w:b/>
          <w:bCs/>
          <w:i/>
          <w:iCs/>
        </w:rPr>
      </w:pPr>
    </w:p>
    <w:p w14:paraId="61DB7E19" w14:textId="77777777" w:rsidR="00F34566" w:rsidRDefault="00F34566">
      <w:pPr>
        <w:jc w:val="both"/>
        <w:rPr>
          <w:b/>
          <w:bCs/>
          <w:i/>
          <w:iCs/>
        </w:rPr>
      </w:pPr>
    </w:p>
    <w:p w14:paraId="3C816105" w14:textId="77777777" w:rsidR="00F34566" w:rsidRDefault="00000000">
      <w:pPr>
        <w:jc w:val="both"/>
      </w:pPr>
      <w:r>
        <w:t xml:space="preserve">Además el  Ministerio de Minas y Energía, MME, creó el Registro Único de Comunidades Energéticas (RUCE), que se pueden consultar en: </w:t>
      </w:r>
      <w:hyperlink r:id="rId9">
        <w:r w:rsidR="00F34566">
          <w:rPr>
            <w:color w:val="1155CC"/>
            <w:u w:val="single"/>
          </w:rPr>
          <w:t>https://www.minenergia.gov.co/es/comunidades-energeticas/</w:t>
        </w:r>
      </w:hyperlink>
    </w:p>
    <w:p w14:paraId="4A73D1C9" w14:textId="77777777" w:rsidR="00F34566" w:rsidRDefault="00000000">
      <w:pPr>
        <w:jc w:val="both"/>
        <w:rPr>
          <w:b/>
          <w:bCs/>
          <w:i/>
          <w:iCs/>
        </w:rPr>
      </w:pPr>
      <w:r>
        <w:t xml:space="preserve"> </w:t>
      </w:r>
    </w:p>
    <w:p w14:paraId="5843E51C" w14:textId="77777777" w:rsidR="00F34566" w:rsidRDefault="00F34566"/>
    <w:p w14:paraId="3FB93BE3" w14:textId="77777777" w:rsidR="00F34566" w:rsidRDefault="00F34566">
      <w:pPr>
        <w:jc w:val="both"/>
        <w:rPr>
          <w:b/>
          <w:bCs/>
          <w:i/>
          <w:iCs/>
        </w:rPr>
      </w:pPr>
    </w:p>
    <w:p w14:paraId="403B4FB4" w14:textId="77777777" w:rsidR="00F34566" w:rsidRDefault="00000000">
      <w:pPr>
        <w:pStyle w:val="Ttulo1"/>
        <w:spacing w:after="240"/>
        <w:rPr>
          <w:color w:val="FF0000"/>
        </w:rPr>
      </w:pPr>
      <w:bookmarkStart w:id="15" w:name="_heading=h.l9gms7yxipto" w:colFirst="0" w:colLast="0"/>
      <w:bookmarkEnd w:id="15"/>
      <w:r>
        <w:rPr>
          <w:color w:val="FF0000"/>
        </w:rPr>
        <w:lastRenderedPageBreak/>
        <w:t>4. Clasificación de comunidades energéticas.</w:t>
      </w:r>
    </w:p>
    <w:p w14:paraId="3E6D76DF" w14:textId="77777777" w:rsidR="00F34566" w:rsidRDefault="00000000">
      <w:pPr>
        <w:jc w:val="both"/>
        <w:rPr>
          <w:color w:val="FF0000"/>
        </w:rPr>
      </w:pPr>
      <w:r>
        <w:rPr>
          <w:color w:val="FF0000"/>
        </w:rPr>
        <w:t>El análisis de las Comunidades Energéticas Locales requiere un enfoque multidimensional, dado que su configuración varía significativamente en función de condicionantes geográficos, modelos de gobernanza, marcos regulatorios y alcance tecnológico. En base a estos aspectos, se propone una clasificación:</w:t>
      </w:r>
    </w:p>
    <w:p w14:paraId="0876119F" w14:textId="77777777" w:rsidR="00F34566" w:rsidRDefault="00000000">
      <w:pPr>
        <w:pStyle w:val="Ttulo2"/>
        <w:keepNext w:val="0"/>
        <w:keepLines w:val="0"/>
        <w:spacing w:before="240" w:after="40"/>
        <w:ind w:left="0" w:firstLine="0"/>
        <w:jc w:val="both"/>
        <w:rPr>
          <w:color w:val="FF0000"/>
        </w:rPr>
      </w:pPr>
      <w:bookmarkStart w:id="16" w:name="_heading=h.u78jokxivq4b" w:colFirst="0" w:colLast="0"/>
      <w:bookmarkEnd w:id="16"/>
      <w:r>
        <w:rPr>
          <w:color w:val="FF0000"/>
        </w:rPr>
        <w:t>4. 1. Dimensión Espacial y Contexto Geográfico</w:t>
      </w:r>
    </w:p>
    <w:p w14:paraId="348EB49D" w14:textId="77777777" w:rsidR="00F34566" w:rsidRDefault="00000000">
      <w:pPr>
        <w:jc w:val="both"/>
        <w:rPr>
          <w:color w:val="FF0000"/>
        </w:rPr>
      </w:pPr>
      <w:r>
        <w:rPr>
          <w:color w:val="FF0000"/>
        </w:rPr>
        <w:t>El entorno territorial determina tanto los recursos disponibles como los desafíos técnicos y socioeconómicos de la comunidad. Atendiendo a esta variable, las CEL se clasifican en:</w:t>
      </w:r>
    </w:p>
    <w:p w14:paraId="61B3B92F" w14:textId="77777777" w:rsidR="00F34566" w:rsidRDefault="00F34566">
      <w:pPr>
        <w:jc w:val="both"/>
        <w:rPr>
          <w:color w:val="FF0000"/>
        </w:rPr>
      </w:pPr>
    </w:p>
    <w:p w14:paraId="46D42B39" w14:textId="77777777" w:rsidR="00F34566" w:rsidRDefault="00000000">
      <w:pPr>
        <w:numPr>
          <w:ilvl w:val="0"/>
          <w:numId w:val="7"/>
        </w:numPr>
        <w:jc w:val="both"/>
        <w:rPr>
          <w:color w:val="FF0000"/>
        </w:rPr>
      </w:pPr>
      <w:r>
        <w:rPr>
          <w:color w:val="FF0000"/>
        </w:rPr>
        <w:t>Comunidades Energéticas Urbanas: Caracterizadas por desarrollarse en entornos de alta densidad poblacional y restricciones espaciales (limitada disponibilidad de cubiertas per cápita). Su principal desafío radica en la complejidad de la propiedad horizontal y la necesidad de articular modelos de autoconsumo colectivo eficientes. Suelen enfocarse en la optimización de la red de distribución y la mitigación de la pobreza energética en barrios vulnerables.</w:t>
      </w:r>
    </w:p>
    <w:p w14:paraId="548AF9CE" w14:textId="77777777" w:rsidR="00F34566" w:rsidRDefault="00F34566">
      <w:pPr>
        <w:ind w:left="720"/>
        <w:jc w:val="both"/>
        <w:rPr>
          <w:color w:val="FF0000"/>
        </w:rPr>
      </w:pPr>
    </w:p>
    <w:p w14:paraId="729E3457" w14:textId="77777777" w:rsidR="00F34566" w:rsidRDefault="00000000">
      <w:pPr>
        <w:numPr>
          <w:ilvl w:val="0"/>
          <w:numId w:val="7"/>
        </w:numPr>
        <w:jc w:val="both"/>
        <w:rPr>
          <w:color w:val="FF0000"/>
        </w:rPr>
      </w:pPr>
      <w:r>
        <w:rPr>
          <w:color w:val="FF0000"/>
        </w:rPr>
        <w:t>Comunidades Energéticas Rurales: Emplazadas en áreas de baja densidad demográfica, cuentan con mayor disponibilidad de espacio y diversidad de recursos endógenos (solar, eólica, biomasa). Desde una perspectiva académica y de política pública, estas comunidades trascienden el mero objetivo energético para erigirse como herramientas de desarrollo económico local, fijación de población rural y sinergias con el sector agropecuario.</w:t>
      </w:r>
    </w:p>
    <w:p w14:paraId="3A4AEC03" w14:textId="77777777" w:rsidR="00F34566" w:rsidRDefault="00F34566">
      <w:pPr>
        <w:jc w:val="both"/>
        <w:rPr>
          <w:color w:val="FF0000"/>
        </w:rPr>
      </w:pPr>
    </w:p>
    <w:p w14:paraId="674CF30C" w14:textId="77777777" w:rsidR="00F34566" w:rsidRDefault="00000000">
      <w:pPr>
        <w:numPr>
          <w:ilvl w:val="0"/>
          <w:numId w:val="7"/>
        </w:numPr>
        <w:jc w:val="both"/>
        <w:rPr>
          <w:color w:val="FF0000"/>
        </w:rPr>
      </w:pPr>
      <w:r>
        <w:rPr>
          <w:color w:val="FF0000"/>
        </w:rPr>
        <w:t>Comunidades Energéticas Aisladas o Insulares: Ubicadas en territorios desconectados de la red eléctrica continental o principal. Su objetivo rector es la seguridad de suministro, la resiliencia sistémica y la autosuficiencia energética. Requieren infraestructuras técnicas más complejas, integrando microrredes (microgrids), sistemas avanzados de almacenamiento y control.</w:t>
      </w:r>
    </w:p>
    <w:p w14:paraId="0E1509E6" w14:textId="77777777" w:rsidR="00F34566" w:rsidRDefault="00000000">
      <w:pPr>
        <w:pStyle w:val="Ttulo2"/>
        <w:keepNext w:val="0"/>
        <w:keepLines w:val="0"/>
        <w:spacing w:before="240" w:after="40"/>
        <w:ind w:left="0" w:firstLine="0"/>
        <w:jc w:val="both"/>
        <w:rPr>
          <w:color w:val="FF0000"/>
        </w:rPr>
      </w:pPr>
      <w:bookmarkStart w:id="17" w:name="_heading=h.fospmkegyxzx" w:colFirst="0" w:colLast="0"/>
      <w:bookmarkEnd w:id="17"/>
      <w:r>
        <w:rPr>
          <w:color w:val="FF0000"/>
        </w:rPr>
        <w:t>4. 2. Dimensión Institucional y Origen del Impulso Promotor</w:t>
      </w:r>
    </w:p>
    <w:p w14:paraId="58297DAB" w14:textId="77777777" w:rsidR="00F34566" w:rsidRDefault="00000000">
      <w:pPr>
        <w:jc w:val="both"/>
        <w:rPr>
          <w:color w:val="FF0000"/>
        </w:rPr>
      </w:pPr>
      <w:r>
        <w:rPr>
          <w:color w:val="FF0000"/>
        </w:rPr>
        <w:t>Esta categorización analiza la génesis del proyecto y la distribución del capital social inicial, definiendo el modelo de gobernanza predominante:</w:t>
      </w:r>
    </w:p>
    <w:p w14:paraId="4AC6DD0A" w14:textId="77777777" w:rsidR="00F34566" w:rsidRDefault="00F34566">
      <w:pPr>
        <w:jc w:val="both"/>
        <w:rPr>
          <w:color w:val="FF0000"/>
        </w:rPr>
      </w:pPr>
    </w:p>
    <w:p w14:paraId="4A1AB341" w14:textId="77777777" w:rsidR="00F34566" w:rsidRDefault="00000000">
      <w:pPr>
        <w:numPr>
          <w:ilvl w:val="0"/>
          <w:numId w:val="1"/>
        </w:numPr>
        <w:jc w:val="both"/>
        <w:rPr>
          <w:color w:val="FF0000"/>
        </w:rPr>
      </w:pPr>
      <w:r>
        <w:rPr>
          <w:color w:val="FF0000"/>
        </w:rPr>
        <w:t>Iniciativas de Base Ciudadana: Impulsadas por colectivos vecinales, asociaciones o cooperativas de base. Presentan altos niveles de cohesión y legitimidad social. Su principal fortaleza es el fuerte arraigo territorial y la movilización ciudadana, aunque frecuentemente enfrentan barreras de entrada asociadas a la falta de capitalización inicial y conocimiento técnico especializado.</w:t>
      </w:r>
    </w:p>
    <w:p w14:paraId="7D5BB0A8" w14:textId="77777777" w:rsidR="00F34566" w:rsidRDefault="00F34566">
      <w:pPr>
        <w:ind w:left="720"/>
        <w:jc w:val="both"/>
        <w:rPr>
          <w:color w:val="FF0000"/>
        </w:rPr>
      </w:pPr>
    </w:p>
    <w:p w14:paraId="41951A63" w14:textId="77777777" w:rsidR="00F34566" w:rsidRDefault="00000000">
      <w:pPr>
        <w:numPr>
          <w:ilvl w:val="0"/>
          <w:numId w:val="1"/>
        </w:numPr>
        <w:jc w:val="both"/>
        <w:rPr>
          <w:color w:val="FF0000"/>
        </w:rPr>
      </w:pPr>
      <w:r>
        <w:rPr>
          <w:color w:val="FF0000"/>
        </w:rPr>
        <w:t xml:space="preserve">Iniciativas de Impulso Institucional: Lideradas por administraciones públicas locales (ayuntamientos o diputaciones). Las entidades públicas actúan como un participante </w:t>
      </w:r>
      <w:r>
        <w:rPr>
          <w:color w:val="FF0000"/>
        </w:rPr>
        <w:lastRenderedPageBreak/>
        <w:t>grande, robusto y estable que garantiza la viabilidad del proyecto desde el primer día, asumiendo el peso principal para que los participantes más pequeños puedan unirse sin tanto riesgo. Para ello, suelen ceder espacio público (cubiertas de edificios municipales) y asumiendo el riesgo inicial. Este modelo genera un "efecto tractor" que facilita la posterior adhesión de ciudadanos y pymes, aportando seguridad jurídica e institucional al proyecto.</w:t>
      </w:r>
    </w:p>
    <w:p w14:paraId="10221D76" w14:textId="77777777" w:rsidR="00F34566" w:rsidRDefault="00F34566">
      <w:pPr>
        <w:ind w:left="720"/>
        <w:jc w:val="both"/>
        <w:rPr>
          <w:color w:val="FF0000"/>
        </w:rPr>
      </w:pPr>
    </w:p>
    <w:p w14:paraId="07D0F503" w14:textId="77777777" w:rsidR="00F34566" w:rsidRDefault="00000000">
      <w:pPr>
        <w:numPr>
          <w:ilvl w:val="0"/>
          <w:numId w:val="1"/>
        </w:numPr>
        <w:jc w:val="both"/>
        <w:rPr>
          <w:color w:val="FF0000"/>
        </w:rPr>
      </w:pPr>
      <w:r>
        <w:rPr>
          <w:color w:val="FF0000"/>
        </w:rPr>
        <w:t>Iniciativas de Facilitación Privada (Alianzas Público-Privadas-Ciudadanas): Promovidas por pequeñas y medianas empresas (pymes) o Empresas de Servicios Energéticos (ESE). En este modelo, el actor privado provee la capacidad técnica, operativa o financiera ("llave en mano"). El reto académico y legal de este modelo radica en asegurar que la empresa actúe como agente facilitador y no ejerza una "captura corporativa", garantizando que el control efectivo e instrumentación de la gobernanza recaiga en los socios locales de acuerdo con los principios de las CEL.</w:t>
      </w:r>
    </w:p>
    <w:p w14:paraId="76542FF4" w14:textId="77777777" w:rsidR="00F34566" w:rsidRDefault="00000000">
      <w:pPr>
        <w:pStyle w:val="Ttulo2"/>
        <w:keepNext w:val="0"/>
        <w:keepLines w:val="0"/>
        <w:spacing w:before="240" w:after="40"/>
        <w:ind w:left="0" w:firstLine="0"/>
        <w:jc w:val="both"/>
        <w:rPr>
          <w:color w:val="FF0000"/>
        </w:rPr>
      </w:pPr>
      <w:r>
        <w:t>4.3. Dimensión Normativa y Marcos Regulatorios Comparados</w:t>
      </w:r>
    </w:p>
    <w:p w14:paraId="16C0A8DE" w14:textId="77777777" w:rsidR="00F34566" w:rsidRDefault="00F34566">
      <w:pPr>
        <w:rPr>
          <w:color w:val="FF0000"/>
        </w:rPr>
      </w:pPr>
    </w:p>
    <w:p w14:paraId="781AFE9F" w14:textId="77777777" w:rsidR="00F34566" w:rsidRDefault="00000000">
      <w:pPr>
        <w:jc w:val="both"/>
        <w:rPr>
          <w:color w:val="FF0000"/>
        </w:rPr>
      </w:pPr>
      <w:r>
        <w:t>Esta clasificación atiende a la codificación formal de las comunidades en los marcos legales nacionales. Para efectos comparativos en Iberoamérica, se toma como referencia de partida la estructura de la Unión Europea (que diferencia entre comunidades de energía renovable y ciudadanas) y las regulaciones latinoamericanas aplicables, como las resoluciones de la CREG en Colombia para autogeneración colectiva:</w:t>
      </w:r>
    </w:p>
    <w:p w14:paraId="3EA71FE2" w14:textId="77777777" w:rsidR="00F34566" w:rsidRDefault="00F34566">
      <w:pPr>
        <w:jc w:val="both"/>
        <w:rPr>
          <w:color w:val="FF0000"/>
        </w:rPr>
      </w:pPr>
    </w:p>
    <w:p w14:paraId="2C7F0056" w14:textId="77777777" w:rsidR="00F34566" w:rsidRDefault="00000000">
      <w:pPr>
        <w:numPr>
          <w:ilvl w:val="0"/>
          <w:numId w:val="6"/>
        </w:numPr>
        <w:jc w:val="both"/>
        <w:rPr>
          <w:color w:val="FF0000"/>
        </w:rPr>
      </w:pPr>
      <w:r>
        <w:rPr>
          <w:color w:val="FF0000"/>
        </w:rPr>
        <w:t>Comunidades de Energías Renovables (CER): Reguladas por la Directiva (UE) 2018/2001 (DER II). Exigen que la generación provenga exclusivamente de fuentes renovables y establecen el requisito estricto de proximidad física entre los activos de generación y los miembros que ejercen el control efectivo de la comunidad.</w:t>
      </w:r>
    </w:p>
    <w:p w14:paraId="1F3CB7EA" w14:textId="77777777" w:rsidR="00F34566" w:rsidRDefault="00F34566">
      <w:pPr>
        <w:ind w:left="720"/>
        <w:jc w:val="both"/>
        <w:rPr>
          <w:color w:val="FF0000"/>
        </w:rPr>
      </w:pPr>
    </w:p>
    <w:p w14:paraId="77684939" w14:textId="77777777" w:rsidR="00F34566" w:rsidRDefault="00000000">
      <w:pPr>
        <w:numPr>
          <w:ilvl w:val="0"/>
          <w:numId w:val="6"/>
        </w:numPr>
        <w:jc w:val="both"/>
        <w:rPr>
          <w:color w:val="FF0000"/>
        </w:rPr>
      </w:pPr>
      <w:r>
        <w:rPr>
          <w:color w:val="FF0000"/>
        </w:rPr>
        <w:t>Comunidades Ciudadanas de Energía (CCE): Reguladas por la Directiva (UE) 2019/944 (DMI). Su ámbito de actuación se restringe al sector eléctrico, pero presentan mayor flexibilidad espacial, al no requerir el criterio de proximidad física, permitiendo la gestión de energía a través de mercados más amplios.</w:t>
      </w:r>
    </w:p>
    <w:p w14:paraId="76CDF8E7" w14:textId="77777777" w:rsidR="00F34566" w:rsidRDefault="00000000">
      <w:pPr>
        <w:pStyle w:val="Ttulo2"/>
        <w:keepNext w:val="0"/>
        <w:keepLines w:val="0"/>
        <w:spacing w:before="240" w:after="40"/>
        <w:ind w:left="0" w:firstLine="0"/>
        <w:jc w:val="both"/>
        <w:rPr>
          <w:color w:val="FF0000"/>
        </w:rPr>
      </w:pPr>
      <w:bookmarkStart w:id="19" w:name="_heading=h.cakwvgxsj26p" w:colFirst="0" w:colLast="0"/>
      <w:bookmarkEnd w:id="19"/>
      <w:r>
        <w:rPr>
          <w:color w:val="FF0000"/>
        </w:rPr>
        <w:t>4.4. Dimensión Tecnológica y Alcance de Servicios</w:t>
      </w:r>
    </w:p>
    <w:p w14:paraId="56D2B705" w14:textId="77777777" w:rsidR="00F34566" w:rsidRDefault="00F34566">
      <w:pPr>
        <w:rPr>
          <w:color w:val="FF0000"/>
        </w:rPr>
      </w:pPr>
    </w:p>
    <w:p w14:paraId="6CC41374" w14:textId="77777777" w:rsidR="00F34566" w:rsidRDefault="00000000">
      <w:pPr>
        <w:jc w:val="both"/>
        <w:rPr>
          <w:color w:val="FF0000"/>
        </w:rPr>
      </w:pPr>
      <w:r>
        <w:rPr>
          <w:color w:val="FF0000"/>
        </w:rPr>
        <w:t>Según la complejidad de su portfolio de servicios y la integración de vectores energéticos:</w:t>
      </w:r>
    </w:p>
    <w:p w14:paraId="392B44C6" w14:textId="77777777" w:rsidR="00F34566" w:rsidRDefault="00F34566">
      <w:pPr>
        <w:jc w:val="both"/>
        <w:rPr>
          <w:color w:val="FF0000"/>
        </w:rPr>
      </w:pPr>
    </w:p>
    <w:p w14:paraId="4BFA2EAE" w14:textId="77777777" w:rsidR="00F34566" w:rsidRDefault="00000000">
      <w:pPr>
        <w:numPr>
          <w:ilvl w:val="0"/>
          <w:numId w:val="2"/>
        </w:numPr>
        <w:jc w:val="both"/>
        <w:rPr>
          <w:color w:val="FF0000"/>
        </w:rPr>
      </w:pPr>
      <w:r>
        <w:rPr>
          <w:color w:val="FF0000"/>
        </w:rPr>
        <w:t>Sistemas Monovectoriales: Comunidades focalizadas en un único servicio, predominantemente el autoconsumo colectivo de energía eléctrica mediante tecnología solar fotovoltaica.</w:t>
      </w:r>
    </w:p>
    <w:p w14:paraId="57DD9F61" w14:textId="77777777" w:rsidR="00F34566" w:rsidRDefault="00F34566">
      <w:pPr>
        <w:ind w:left="720"/>
        <w:jc w:val="both"/>
        <w:rPr>
          <w:color w:val="FF0000"/>
        </w:rPr>
      </w:pPr>
    </w:p>
    <w:p w14:paraId="6C3821BB" w14:textId="77777777" w:rsidR="00F34566" w:rsidRDefault="00000000">
      <w:pPr>
        <w:numPr>
          <w:ilvl w:val="0"/>
          <w:numId w:val="2"/>
        </w:numPr>
        <w:jc w:val="both"/>
        <w:rPr>
          <w:color w:val="FF0000"/>
        </w:rPr>
      </w:pPr>
      <w:r>
        <w:rPr>
          <w:color w:val="FF0000"/>
        </w:rPr>
        <w:t>Sistemas Multivectoriales o Integrales: Proyectos de alta madurez tecnológica que incorporan el "acoplamiento de sectores" (sector coupling). Integran generación eléctrica, redes locales de calor/frío (ej. biomasa o geotermia), infraestructuras de recarga para movilidad eléctrica compartida, almacenamiento comunitario y medidas de eficiencia energética en la edificación</w:t>
      </w:r>
    </w:p>
    <w:p w14:paraId="4072E670" w14:textId="77777777" w:rsidR="00F34566" w:rsidRDefault="00F34566">
      <w:pPr>
        <w:jc w:val="both"/>
        <w:rPr>
          <w:b/>
          <w:bCs/>
          <w:i/>
          <w:iCs/>
        </w:rPr>
      </w:pPr>
    </w:p>
    <w:p w14:paraId="12FF38EC" w14:textId="77777777" w:rsidR="00F34566" w:rsidRDefault="00F34566">
      <w:pPr>
        <w:jc w:val="both"/>
        <w:rPr>
          <w:b/>
          <w:bCs/>
          <w:i/>
          <w:iCs/>
        </w:rPr>
      </w:pPr>
    </w:p>
    <w:p w14:paraId="64376E3A" w14:textId="77777777" w:rsidR="00F34566" w:rsidRDefault="00F34566">
      <w:pPr>
        <w:jc w:val="both"/>
        <w:rPr>
          <w:b/>
          <w:bCs/>
          <w:i/>
          <w:iCs/>
        </w:rPr>
      </w:pPr>
    </w:p>
    <w:p w14:paraId="3D8CA5A0" w14:textId="4404A956" w:rsidR="00F34566" w:rsidRPr="0067371E" w:rsidRDefault="00000000">
      <w:pPr>
        <w:jc w:val="both"/>
        <w:rPr>
          <w:lang w:val="en-US"/>
        </w:rPr>
      </w:pPr>
      <w:proofErr w:type="spellStart"/>
      <w:r w:rsidRPr="0067371E">
        <w:rPr>
          <w:b/>
          <w:bCs/>
          <w:i/>
          <w:iCs/>
          <w:lang w:val="en-US"/>
        </w:rPr>
        <w:t>Referencia</w:t>
      </w:r>
      <w:proofErr w:type="spellEnd"/>
      <w:r w:rsidRPr="0067371E">
        <w:rPr>
          <w:b/>
          <w:bCs/>
          <w:i/>
          <w:iCs/>
          <w:lang w:val="en-US"/>
        </w:rPr>
        <w:t>:</w:t>
      </w:r>
      <w:r w:rsidRPr="0067371E">
        <w:rPr>
          <w:lang w:val="en-US"/>
        </w:rPr>
        <w:t xml:space="preserve"> </w:t>
      </w:r>
      <w:hyperlink r:id="rId10" w:history="1">
        <w:r w:rsidR="002F3DDD" w:rsidRPr="0067371E">
          <w:rPr>
            <w:rStyle w:val="Hipervnculo"/>
            <w:lang w:val="en-US"/>
          </w:rPr>
          <w:t>https://gestornormativo.creg.gov.co/gestor/entorno/docs/originales/Resoluci%C3%B3n_CREG_101_072_2025/Resoluci%C3%B3n_CREG_101_072_2025.pdf</w:t>
        </w:r>
      </w:hyperlink>
    </w:p>
    <w:p w14:paraId="073569EF" w14:textId="77777777" w:rsidR="002F3DDD" w:rsidRPr="0067371E" w:rsidRDefault="002F3DDD">
      <w:pPr>
        <w:jc w:val="both"/>
        <w:rPr>
          <w:lang w:val="en-US"/>
        </w:rPr>
      </w:pPr>
    </w:p>
    <w:sdt>
      <w:sdtPr>
        <w:rPr>
          <w:color w:val="000000"/>
        </w:rPr>
        <w:tag w:val="MENDELEY_BIBLIOGRAPHY"/>
        <w:id w:val="2061040402"/>
        <w:placeholder>
          <w:docPart w:val="DefaultPlaceholder_-1854013440"/>
        </w:placeholder>
      </w:sdtPr>
      <w:sdtContent>
        <w:p w14:paraId="20ED2D09" w14:textId="77777777" w:rsidR="00E338F5" w:rsidRPr="00E338F5" w:rsidRDefault="00E338F5">
          <w:pPr>
            <w:autoSpaceDE w:val="0"/>
            <w:autoSpaceDN w:val="0"/>
            <w:ind w:hanging="640"/>
            <w:divId w:val="687802784"/>
            <w:rPr>
              <w:color w:val="000000"/>
              <w:lang w:val="en-US"/>
            </w:rPr>
          </w:pPr>
          <w:r w:rsidRPr="00E338F5">
            <w:rPr>
              <w:color w:val="000000"/>
              <w:lang w:val="en-US"/>
            </w:rPr>
            <w:t>[1]</w:t>
          </w:r>
          <w:r w:rsidRPr="00E338F5">
            <w:rPr>
              <w:color w:val="000000"/>
              <w:lang w:val="en-US"/>
            </w:rPr>
            <w:tab/>
            <w:t xml:space="preserve">S. J. W. Klein and S. Coffey, “A transition perspective on Energy Communities: A systematic literature review and research agenda,” </w:t>
          </w:r>
          <w:r w:rsidRPr="00E338F5">
            <w:rPr>
              <w:i/>
              <w:iCs/>
              <w:color w:val="000000"/>
              <w:lang w:val="en-US"/>
            </w:rPr>
            <w:t>Renewable and Sustainable Energy Reviews</w:t>
          </w:r>
          <w:r w:rsidRPr="00E338F5">
            <w:rPr>
              <w:color w:val="000000"/>
              <w:lang w:val="en-US"/>
            </w:rPr>
            <w:t>, vol. 163, p. 112479, Jul. 2022, doi: 10.1016/j.rser.2016.01.129.</w:t>
          </w:r>
        </w:p>
        <w:p w14:paraId="45E56B37" w14:textId="77777777" w:rsidR="00E338F5" w:rsidRPr="00E338F5" w:rsidRDefault="00E338F5">
          <w:pPr>
            <w:autoSpaceDE w:val="0"/>
            <w:autoSpaceDN w:val="0"/>
            <w:ind w:hanging="640"/>
            <w:divId w:val="122387103"/>
            <w:rPr>
              <w:color w:val="000000"/>
              <w:lang w:val="en-US"/>
            </w:rPr>
          </w:pPr>
          <w:r w:rsidRPr="00E338F5">
            <w:rPr>
              <w:color w:val="000000"/>
              <w:lang w:val="en-US"/>
            </w:rPr>
            <w:t>[2]</w:t>
          </w:r>
          <w:r w:rsidRPr="00E338F5">
            <w:rPr>
              <w:color w:val="000000"/>
              <w:lang w:val="en-US"/>
            </w:rPr>
            <w:tab/>
            <w:t xml:space="preserve">G. C. Unruh, “Conceptualizing community in energy systems: A systematic review of 183 definitions,” </w:t>
          </w:r>
          <w:r w:rsidRPr="00E338F5">
            <w:rPr>
              <w:i/>
              <w:iCs/>
              <w:color w:val="000000"/>
              <w:lang w:val="en-US"/>
            </w:rPr>
            <w:t>Renewable and Sustainable Energy Reviews</w:t>
          </w:r>
          <w:r w:rsidRPr="00E338F5">
            <w:rPr>
              <w:color w:val="000000"/>
              <w:lang w:val="en-US"/>
            </w:rPr>
            <w:t>, vol. 156, no. 12, p. 111999, Mar. 2022, doi: 10.1016/S0301-4215(00)00070-7.</w:t>
          </w:r>
        </w:p>
        <w:p w14:paraId="3743D604" w14:textId="0D4EF89F" w:rsidR="002F3DDD" w:rsidRDefault="00E338F5">
          <w:pPr>
            <w:jc w:val="both"/>
          </w:pPr>
          <w:r w:rsidRPr="00E338F5">
            <w:rPr>
              <w:color w:val="000000"/>
              <w:lang w:val="en-US"/>
            </w:rPr>
            <w:t> </w:t>
          </w:r>
        </w:p>
      </w:sdtContent>
    </w:sdt>
    <w:sectPr w:rsidR="002F3DDD">
      <w:headerReference w:type="default" r:id="rId11"/>
      <w:pgSz w:w="12240" w:h="15840"/>
      <w:pgMar w:top="1701" w:right="1701" w:bottom="1135"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ED086" w14:textId="77777777" w:rsidR="00803BC1" w:rsidRDefault="00803BC1" w:rsidP="00AA7804">
      <w:r>
        <w:separator/>
      </w:r>
    </w:p>
  </w:endnote>
  <w:endnote w:type="continuationSeparator" w:id="0">
    <w:p w14:paraId="47392FE4" w14:textId="77777777" w:rsidR="00803BC1" w:rsidRDefault="00803BC1" w:rsidP="00AA7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91A9E56-8C61-4540-AF37-01D426FC95EF}"/>
    <w:embedItalic r:id="rId2" w:fontKey="{AE437581-F008-42EB-9A61-BE453380C18B}"/>
  </w:font>
  <w:font w:name="Calibri Light">
    <w:panose1 w:val="020F0302020204030204"/>
    <w:charset w:val="00"/>
    <w:family w:val="swiss"/>
    <w:pitch w:val="variable"/>
    <w:sig w:usb0="E4002EFF" w:usb1="C000247B" w:usb2="00000009" w:usb3="00000000" w:csb0="000001FF" w:csb1="00000000"/>
    <w:embedRegular r:id="rId3" w:fontKey="{6F61433C-64F9-4064-86F1-2BFDD1F76C4F}"/>
    <w:embedItalic r:id="rId4" w:fontKey="{C013EBEE-027F-4D57-9005-D39C3BE98676}"/>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5" w:fontKey="{84297F6C-A49D-4E6F-A9E3-42EEEF8B0E8D}"/>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3F1BF002-88BE-41F0-AB8D-E801C533955F}"/>
  </w:font>
  <w:font w:name="Roboto">
    <w:charset w:val="00"/>
    <w:family w:val="auto"/>
    <w:pitch w:val="variable"/>
    <w:sig w:usb0="E0000AFF" w:usb1="5000217F" w:usb2="00000021" w:usb3="00000000" w:csb0="0000019F" w:csb1="00000000"/>
    <w:embedRegular r:id="rId7" w:fontKey="{0C496EE8-A8A9-4A3E-82CC-31BBEEA1A7E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7A8F6" w14:textId="77777777" w:rsidR="00803BC1" w:rsidRDefault="00803BC1" w:rsidP="00AA7804">
      <w:r>
        <w:separator/>
      </w:r>
    </w:p>
  </w:footnote>
  <w:footnote w:type="continuationSeparator" w:id="0">
    <w:p w14:paraId="01678549" w14:textId="77777777" w:rsidR="00803BC1" w:rsidRDefault="00803BC1" w:rsidP="00AA78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1A96C" w14:textId="77777777" w:rsidR="00AA7804" w:rsidRDefault="00AA7804" w:rsidP="00AA7804">
    <w:pPr>
      <w:pStyle w:val="Encabezado"/>
      <w:ind w:left="-284" w:right="-569"/>
    </w:pPr>
    <w:r>
      <w:rPr>
        <w:noProof/>
      </w:rPr>
      <w:drawing>
        <wp:inline distT="0" distB="0" distL="0" distR="0" wp14:anchorId="61BD81A1" wp14:editId="3E22DED2">
          <wp:extent cx="4381484" cy="1062355"/>
          <wp:effectExtent l="0" t="0" r="0" b="4445"/>
          <wp:docPr id="41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12620" name="Imagen 553912620"/>
                  <pic:cNvPicPr/>
                </pic:nvPicPr>
                <pic:blipFill rotWithShape="1">
                  <a:blip r:embed="rId1">
                    <a:extLst>
                      <a:ext uri="{28A0092B-C50C-407E-A947-70E740481C1C}">
                        <a14:useLocalDpi xmlns:a14="http://schemas.microsoft.com/office/drawing/2010/main" val="0"/>
                      </a:ext>
                    </a:extLst>
                  </a:blip>
                  <a:srcRect l="4825" t="2664" r="-2821" b="12078"/>
                  <a:stretch>
                    <a:fillRect/>
                  </a:stretch>
                </pic:blipFill>
                <pic:spPr bwMode="auto">
                  <a:xfrm>
                    <a:off x="0" y="0"/>
                    <a:ext cx="4470491" cy="108393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ACAF641" wp14:editId="3755FEE5">
          <wp:extent cx="1721273" cy="1019175"/>
          <wp:effectExtent l="0" t="0" r="0" b="0"/>
          <wp:docPr id="12852692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4116" t="7529" r="15952" b="9656"/>
                  <a:stretch>
                    <a:fillRect/>
                  </a:stretch>
                </pic:blipFill>
                <pic:spPr bwMode="auto">
                  <a:xfrm>
                    <a:off x="0" y="0"/>
                    <a:ext cx="1725099" cy="1021440"/>
                  </a:xfrm>
                  <a:prstGeom prst="rect">
                    <a:avLst/>
                  </a:prstGeom>
                  <a:noFill/>
                  <a:ln>
                    <a:noFill/>
                  </a:ln>
                  <a:extLst>
                    <a:ext uri="{53640926-AAD7-44D8-BBD7-CCE9431645EC}">
                      <a14:shadowObscured xmlns:a14="http://schemas.microsoft.com/office/drawing/2010/main"/>
                    </a:ext>
                  </a:extLst>
                </pic:spPr>
              </pic:pic>
            </a:graphicData>
          </a:graphic>
        </wp:inline>
      </w:drawing>
    </w:r>
  </w:p>
  <w:p w14:paraId="3DDA8BAD" w14:textId="77777777" w:rsidR="00AA7804" w:rsidRDefault="00AA78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11E2"/>
    <w:multiLevelType w:val="multilevel"/>
    <w:tmpl w:val="58F65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D41E53"/>
    <w:multiLevelType w:val="multilevel"/>
    <w:tmpl w:val="1398E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293857"/>
    <w:multiLevelType w:val="multilevel"/>
    <w:tmpl w:val="3CBA3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2AB3121"/>
    <w:multiLevelType w:val="multilevel"/>
    <w:tmpl w:val="F70E7BC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7F44B87"/>
    <w:multiLevelType w:val="multilevel"/>
    <w:tmpl w:val="6B44A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5" w15:restartNumberingAfterBreak="0">
    <w:nsid w:val="69890D08"/>
    <w:multiLevelType w:val="multilevel"/>
    <w:tmpl w:val="36C6BA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E611DA8"/>
    <w:multiLevelType w:val="multilevel"/>
    <w:tmpl w:val="BC020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4222564">
    <w:abstractNumId w:val="2"/>
  </w:num>
  <w:num w:numId="2" w16cid:durableId="831793727">
    <w:abstractNumId w:val="4"/>
  </w:num>
  <w:num w:numId="3" w16cid:durableId="82338448">
    <w:abstractNumId w:val="5"/>
  </w:num>
  <w:num w:numId="4" w16cid:durableId="904414877">
    <w:abstractNumId w:val="1"/>
  </w:num>
  <w:num w:numId="5" w16cid:durableId="861629094">
    <w:abstractNumId w:val="3"/>
  </w:num>
  <w:num w:numId="6" w16cid:durableId="897981983">
    <w:abstractNumId w:val="6"/>
  </w:num>
  <w:num w:numId="7" w16cid:durableId="103357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566"/>
    <w:rsid w:val="00040079"/>
    <w:rsid w:val="0009754D"/>
    <w:rsid w:val="001B33C1"/>
    <w:rsid w:val="002F3DDD"/>
    <w:rsid w:val="003A47B3"/>
    <w:rsid w:val="003E2096"/>
    <w:rsid w:val="004A6F03"/>
    <w:rsid w:val="004B17EF"/>
    <w:rsid w:val="005317D8"/>
    <w:rsid w:val="00562AE6"/>
    <w:rsid w:val="0066583B"/>
    <w:rsid w:val="0067371E"/>
    <w:rsid w:val="0069223F"/>
    <w:rsid w:val="007A09BE"/>
    <w:rsid w:val="007A3344"/>
    <w:rsid w:val="00803BC1"/>
    <w:rsid w:val="008251F0"/>
    <w:rsid w:val="00871452"/>
    <w:rsid w:val="00927241"/>
    <w:rsid w:val="00956723"/>
    <w:rsid w:val="0097235E"/>
    <w:rsid w:val="00A52CCB"/>
    <w:rsid w:val="00AA549C"/>
    <w:rsid w:val="00AA7804"/>
    <w:rsid w:val="00BD17E4"/>
    <w:rsid w:val="00CB5924"/>
    <w:rsid w:val="00E32A57"/>
    <w:rsid w:val="00E338F5"/>
    <w:rsid w:val="00F3456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386BC"/>
  <w15:docId w15:val="{21F6294C-84A6-4E0C-B64D-86E584A7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ageBreakBefore/>
      <w:spacing w:before="240"/>
      <w:ind w:left="720" w:hanging="720"/>
      <w:jc w:val="both"/>
      <w:outlineLvl w:val="0"/>
    </w:pPr>
    <w:rPr>
      <w:b/>
      <w:bCs/>
      <w:sz w:val="26"/>
      <w:szCs w:val="26"/>
    </w:rPr>
  </w:style>
  <w:style w:type="paragraph" w:styleId="Ttulo2">
    <w:name w:val="heading 2"/>
    <w:basedOn w:val="Normal"/>
    <w:next w:val="Normal"/>
    <w:uiPriority w:val="9"/>
    <w:unhideWhenUsed/>
    <w:qFormat/>
    <w:pPr>
      <w:keepNext/>
      <w:keepLines/>
      <w:spacing w:before="40"/>
      <w:ind w:left="1440" w:hanging="720"/>
      <w:outlineLvl w:val="1"/>
    </w:pPr>
    <w:rPr>
      <w:b/>
      <w:bCs/>
    </w:rPr>
  </w:style>
  <w:style w:type="paragraph" w:styleId="Ttulo3">
    <w:name w:val="heading 3"/>
    <w:basedOn w:val="Normal"/>
    <w:next w:val="Normal"/>
    <w:uiPriority w:val="9"/>
    <w:unhideWhenUsed/>
    <w:qFormat/>
    <w:pPr>
      <w:keepNext/>
      <w:keepLines/>
      <w:jc w:val="both"/>
      <w:outlineLvl w:val="2"/>
    </w:pPr>
    <w:rPr>
      <w:b/>
      <w:bCs/>
    </w:rPr>
  </w:style>
  <w:style w:type="paragraph" w:styleId="Ttulo4">
    <w:name w:val="heading 4"/>
    <w:basedOn w:val="Normal"/>
    <w:next w:val="Normal"/>
    <w:uiPriority w:val="9"/>
    <w:semiHidden/>
    <w:unhideWhenUsed/>
    <w:qFormat/>
    <w:pPr>
      <w:keepNext/>
      <w:keepLines/>
      <w:spacing w:before="40"/>
      <w:ind w:left="2880" w:hanging="720"/>
      <w:outlineLvl w:val="3"/>
    </w:pPr>
    <w:rPr>
      <w:i/>
      <w:iCs/>
    </w:rPr>
  </w:style>
  <w:style w:type="paragraph" w:styleId="Ttulo5">
    <w:name w:val="heading 5"/>
    <w:basedOn w:val="Normal"/>
    <w:next w:val="Normal"/>
    <w:uiPriority w:val="9"/>
    <w:semiHidden/>
    <w:unhideWhenUsed/>
    <w:qFormat/>
    <w:pPr>
      <w:keepNext/>
      <w:keepLines/>
      <w:spacing w:before="40"/>
      <w:ind w:left="3600" w:hanging="720"/>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ind w:left="4320" w:hanging="720"/>
      <w:outlineLvl w:val="5"/>
    </w:pPr>
    <w:rPr>
      <w:rFonts w:ascii="Calibri" w:eastAsia="Calibri" w:hAnsi="Calibri" w:cs="Calibri"/>
      <w:color w:val="1F3863"/>
    </w:rPr>
  </w:style>
  <w:style w:type="paragraph" w:styleId="Ttulo7">
    <w:name w:val="heading 7"/>
    <w:basedOn w:val="Normal"/>
    <w:next w:val="Normal"/>
    <w:link w:val="Ttulo7Car"/>
    <w:uiPriority w:val="9"/>
    <w:semiHidden/>
    <w:unhideWhenUsed/>
    <w:qFormat/>
    <w:rsid w:val="007423B8"/>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423B8"/>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423B8"/>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table" w:customStyle="1" w:styleId="TableNormal0">
    <w:name w:val="Table Normal"/>
    <w:tblPr>
      <w:tblCellMar>
        <w:top w:w="0" w:type="dxa"/>
        <w:left w:w="0" w:type="dxa"/>
        <w:bottom w:w="0" w:type="dxa"/>
        <w:right w:w="0" w:type="dxa"/>
      </w:tblCellMar>
    </w:tblPr>
  </w:style>
  <w:style w:type="paragraph" w:customStyle="1" w:styleId="Default">
    <w:name w:val="Default"/>
    <w:rsid w:val="006A3E90"/>
    <w:pPr>
      <w:autoSpaceDE w:val="0"/>
      <w:autoSpaceDN w:val="0"/>
      <w:adjustRightInd w:val="0"/>
    </w:pPr>
    <w:rPr>
      <w:rFonts w:ascii="Arial" w:hAnsi="Arial" w:cs="Arial"/>
      <w:color w:val="000000"/>
    </w:rPr>
  </w:style>
  <w:style w:type="paragraph" w:styleId="Encabezado">
    <w:name w:val="header"/>
    <w:basedOn w:val="Normal"/>
    <w:link w:val="EncabezadoCar"/>
    <w:uiPriority w:val="99"/>
    <w:unhideWhenUsed/>
    <w:rsid w:val="00535EA4"/>
    <w:pPr>
      <w:tabs>
        <w:tab w:val="center" w:pos="4252"/>
        <w:tab w:val="right" w:pos="8504"/>
      </w:tabs>
    </w:pPr>
    <w:rPr>
      <w:rFonts w:asciiTheme="minorHAnsi" w:eastAsiaTheme="minorHAnsi" w:hAnsiTheme="minorHAnsi" w:cstheme="minorBidi"/>
      <w:sz w:val="22"/>
      <w:szCs w:val="22"/>
      <w:lang w:val="es-419" w:eastAsia="en-US"/>
    </w:rPr>
  </w:style>
  <w:style w:type="character" w:customStyle="1" w:styleId="EncabezadoCar">
    <w:name w:val="Encabezado Car"/>
    <w:basedOn w:val="Fuentedeprrafopredeter"/>
    <w:link w:val="Encabezado"/>
    <w:uiPriority w:val="99"/>
    <w:rsid w:val="00535EA4"/>
  </w:style>
  <w:style w:type="paragraph" w:styleId="Piedepgina">
    <w:name w:val="footer"/>
    <w:basedOn w:val="Normal"/>
    <w:link w:val="PiedepginaCar"/>
    <w:uiPriority w:val="99"/>
    <w:unhideWhenUsed/>
    <w:rsid w:val="00535EA4"/>
    <w:pPr>
      <w:tabs>
        <w:tab w:val="center" w:pos="4252"/>
        <w:tab w:val="right" w:pos="8504"/>
      </w:tabs>
    </w:pPr>
    <w:rPr>
      <w:rFonts w:asciiTheme="minorHAnsi" w:eastAsiaTheme="minorHAnsi" w:hAnsiTheme="minorHAnsi" w:cstheme="minorBidi"/>
      <w:sz w:val="22"/>
      <w:szCs w:val="22"/>
      <w:lang w:val="es-419" w:eastAsia="en-US"/>
    </w:rPr>
  </w:style>
  <w:style w:type="character" w:customStyle="1" w:styleId="PiedepginaCar">
    <w:name w:val="Pie de página Car"/>
    <w:basedOn w:val="Fuentedeprrafopredeter"/>
    <w:link w:val="Piedepgina"/>
    <w:uiPriority w:val="99"/>
    <w:rsid w:val="00535EA4"/>
  </w:style>
  <w:style w:type="character" w:styleId="Fuerte">
    <w:name w:val="Strong"/>
    <w:basedOn w:val="Fuentedeprrafopredeter"/>
    <w:uiPriority w:val="22"/>
    <w:qFormat/>
    <w:rsid w:val="009415B8"/>
    <w:rPr>
      <w:b/>
      <w:bCs/>
    </w:rPr>
  </w:style>
  <w:style w:type="character" w:customStyle="1" w:styleId="Ttulo1Car">
    <w:name w:val="Título 1 Car"/>
    <w:basedOn w:val="Fuentedeprrafopredeter"/>
    <w:uiPriority w:val="9"/>
    <w:rsid w:val="00FD735F"/>
    <w:rPr>
      <w:rFonts w:ascii="Times New Roman" w:eastAsiaTheme="majorEastAsia" w:hAnsi="Times New Roman" w:cs="Times New Roman"/>
      <w:b/>
      <w:sz w:val="26"/>
      <w:szCs w:val="26"/>
      <w:lang w:val="es-AR" w:eastAsia="es-ES"/>
    </w:rPr>
  </w:style>
  <w:style w:type="character" w:customStyle="1" w:styleId="Ttulo2Car">
    <w:name w:val="Título 2 Car"/>
    <w:basedOn w:val="Fuentedeprrafopredeter"/>
    <w:uiPriority w:val="9"/>
    <w:rsid w:val="007423B8"/>
    <w:rPr>
      <w:rFonts w:ascii="Times New Roman" w:eastAsiaTheme="majorEastAsia" w:hAnsi="Times New Roman" w:cs="Times New Roman"/>
      <w:b/>
      <w:sz w:val="24"/>
      <w:szCs w:val="24"/>
      <w:lang w:val="es-AR" w:eastAsia="es-ES"/>
    </w:rPr>
  </w:style>
  <w:style w:type="character" w:customStyle="1" w:styleId="Ttulo3Car">
    <w:name w:val="Título 3 Car"/>
    <w:basedOn w:val="Fuentedeprrafopredeter"/>
    <w:uiPriority w:val="9"/>
    <w:rsid w:val="00D603A1"/>
    <w:rPr>
      <w:rFonts w:ascii="Times New Roman" w:eastAsiaTheme="majorEastAsia" w:hAnsi="Times New Roman" w:cs="Times New Roman"/>
      <w:b/>
      <w:sz w:val="24"/>
      <w:szCs w:val="24"/>
      <w:lang w:eastAsia="es-ES"/>
    </w:rPr>
  </w:style>
  <w:style w:type="character" w:customStyle="1" w:styleId="Ttulo4Car">
    <w:name w:val="Título 4 Car"/>
    <w:basedOn w:val="Fuentedeprrafopredeter"/>
    <w:uiPriority w:val="9"/>
    <w:rsid w:val="00D603A1"/>
    <w:rPr>
      <w:rFonts w:ascii="Times New Roman" w:eastAsiaTheme="majorEastAsia" w:hAnsi="Times New Roman" w:cs="Times New Roman"/>
      <w:i/>
      <w:iCs/>
      <w:sz w:val="24"/>
      <w:szCs w:val="24"/>
      <w:lang w:eastAsia="es-ES"/>
    </w:rPr>
  </w:style>
  <w:style w:type="character" w:customStyle="1" w:styleId="Ttulo5Car">
    <w:name w:val="Título 5 Car"/>
    <w:basedOn w:val="Fuentedeprrafopredeter"/>
    <w:uiPriority w:val="9"/>
    <w:semiHidden/>
    <w:rsid w:val="007423B8"/>
    <w:rPr>
      <w:rFonts w:asciiTheme="majorHAnsi" w:eastAsiaTheme="majorEastAsia" w:hAnsiTheme="majorHAnsi" w:cstheme="majorBidi"/>
      <w:color w:val="2F5496" w:themeColor="accent1" w:themeShade="BF"/>
      <w:sz w:val="24"/>
      <w:szCs w:val="24"/>
      <w:lang w:val="es-AR" w:eastAsia="es-ES"/>
    </w:rPr>
  </w:style>
  <w:style w:type="character" w:customStyle="1" w:styleId="Ttulo6Car">
    <w:name w:val="Título 6 Car"/>
    <w:basedOn w:val="Fuentedeprrafopredeter"/>
    <w:uiPriority w:val="9"/>
    <w:semiHidden/>
    <w:rsid w:val="007423B8"/>
    <w:rPr>
      <w:rFonts w:asciiTheme="majorHAnsi" w:eastAsiaTheme="majorEastAsia" w:hAnsiTheme="majorHAnsi" w:cstheme="majorBidi"/>
      <w:color w:val="1F3763" w:themeColor="accent1" w:themeShade="7F"/>
      <w:sz w:val="24"/>
      <w:szCs w:val="24"/>
      <w:lang w:val="es-AR" w:eastAsia="es-ES"/>
    </w:rPr>
  </w:style>
  <w:style w:type="character" w:customStyle="1" w:styleId="Ttulo7Car">
    <w:name w:val="Título 7 Car"/>
    <w:basedOn w:val="Fuentedeprrafopredeter"/>
    <w:link w:val="Ttulo7"/>
    <w:uiPriority w:val="9"/>
    <w:semiHidden/>
    <w:rsid w:val="007423B8"/>
    <w:rPr>
      <w:rFonts w:asciiTheme="majorHAnsi" w:eastAsiaTheme="majorEastAsia" w:hAnsiTheme="majorHAnsi" w:cstheme="majorBidi"/>
      <w:i/>
      <w:iCs/>
      <w:color w:val="1F3763" w:themeColor="accent1" w:themeShade="7F"/>
      <w:sz w:val="24"/>
      <w:szCs w:val="24"/>
      <w:lang w:val="es-AR" w:eastAsia="es-ES"/>
    </w:rPr>
  </w:style>
  <w:style w:type="character" w:customStyle="1" w:styleId="Ttulo8Car">
    <w:name w:val="Título 8 Car"/>
    <w:basedOn w:val="Fuentedeprrafopredeter"/>
    <w:link w:val="Ttulo8"/>
    <w:uiPriority w:val="9"/>
    <w:semiHidden/>
    <w:rsid w:val="007423B8"/>
    <w:rPr>
      <w:rFonts w:asciiTheme="majorHAnsi" w:eastAsiaTheme="majorEastAsia" w:hAnsiTheme="majorHAnsi" w:cstheme="majorBidi"/>
      <w:color w:val="272727" w:themeColor="text1" w:themeTint="D8"/>
      <w:sz w:val="21"/>
      <w:szCs w:val="21"/>
      <w:lang w:val="es-AR" w:eastAsia="es-ES"/>
    </w:rPr>
  </w:style>
  <w:style w:type="character" w:customStyle="1" w:styleId="Ttulo9Car">
    <w:name w:val="Título 9 Car"/>
    <w:basedOn w:val="Fuentedeprrafopredeter"/>
    <w:link w:val="Ttulo9"/>
    <w:uiPriority w:val="9"/>
    <w:semiHidden/>
    <w:rsid w:val="007423B8"/>
    <w:rPr>
      <w:rFonts w:asciiTheme="majorHAnsi" w:eastAsiaTheme="majorEastAsia" w:hAnsiTheme="majorHAnsi" w:cstheme="majorBidi"/>
      <w:i/>
      <w:iCs/>
      <w:color w:val="272727" w:themeColor="text1" w:themeTint="D8"/>
      <w:sz w:val="21"/>
      <w:szCs w:val="21"/>
      <w:lang w:val="es-AR" w:eastAsia="es-ES"/>
    </w:rPr>
  </w:style>
  <w:style w:type="paragraph" w:styleId="TtuloTDC">
    <w:name w:val="TOC Heading"/>
    <w:next w:val="Normal"/>
    <w:uiPriority w:val="39"/>
    <w:unhideWhenUsed/>
    <w:qFormat/>
    <w:rsid w:val="00CB2807"/>
    <w:pPr>
      <w:spacing w:line="259" w:lineRule="auto"/>
    </w:pPr>
    <w:rPr>
      <w:rFonts w:asciiTheme="majorHAnsi" w:hAnsiTheme="majorHAnsi" w:cstheme="majorBidi"/>
      <w:color w:val="2F5496" w:themeColor="accent1" w:themeShade="BF"/>
      <w:sz w:val="32"/>
      <w:szCs w:val="32"/>
      <w:lang w:val="es-419" w:eastAsia="es-419"/>
    </w:rPr>
  </w:style>
  <w:style w:type="paragraph" w:styleId="TDC1">
    <w:name w:val="toc 1"/>
    <w:basedOn w:val="Normal"/>
    <w:next w:val="Normal"/>
    <w:autoRedefine/>
    <w:uiPriority w:val="39"/>
    <w:unhideWhenUsed/>
    <w:rsid w:val="00011A66"/>
    <w:pPr>
      <w:tabs>
        <w:tab w:val="left" w:pos="440"/>
        <w:tab w:val="right" w:leader="dot" w:pos="8828"/>
      </w:tabs>
      <w:spacing w:after="100"/>
    </w:pPr>
  </w:style>
  <w:style w:type="paragraph" w:styleId="TDC2">
    <w:name w:val="toc 2"/>
    <w:basedOn w:val="Normal"/>
    <w:next w:val="Normal"/>
    <w:autoRedefine/>
    <w:uiPriority w:val="39"/>
    <w:unhideWhenUsed/>
    <w:rsid w:val="00CB2807"/>
    <w:pPr>
      <w:spacing w:after="100"/>
      <w:ind w:left="240"/>
    </w:pPr>
  </w:style>
  <w:style w:type="character" w:styleId="Hipervnculo">
    <w:name w:val="Hyperlink"/>
    <w:basedOn w:val="Fuentedeprrafopredeter"/>
    <w:uiPriority w:val="99"/>
    <w:unhideWhenUsed/>
    <w:rsid w:val="00CB2807"/>
    <w:rPr>
      <w:color w:val="0563C1" w:themeColor="hyperlink"/>
      <w:u w:val="single"/>
    </w:rPr>
  </w:style>
  <w:style w:type="paragraph" w:customStyle="1" w:styleId="paragraph">
    <w:name w:val="paragraph"/>
    <w:basedOn w:val="Normal"/>
    <w:rsid w:val="00DB2E3A"/>
    <w:rPr>
      <w:lang w:val="es-419" w:eastAsia="es-419"/>
    </w:rPr>
  </w:style>
  <w:style w:type="character" w:customStyle="1" w:styleId="normaltextrun">
    <w:name w:val="normaltextrun"/>
    <w:basedOn w:val="Fuentedeprrafopredeter"/>
    <w:rsid w:val="00DB2E3A"/>
  </w:style>
  <w:style w:type="character" w:customStyle="1" w:styleId="eop">
    <w:name w:val="eop"/>
    <w:basedOn w:val="Fuentedeprrafopredeter"/>
    <w:rsid w:val="00DB2E3A"/>
  </w:style>
  <w:style w:type="paragraph" w:styleId="Prrafodelista">
    <w:name w:val="List Paragraph"/>
    <w:basedOn w:val="Normal"/>
    <w:uiPriority w:val="34"/>
    <w:qFormat/>
    <w:rsid w:val="00422CA6"/>
    <w:pPr>
      <w:ind w:left="720"/>
      <w:contextualSpacing/>
    </w:pPr>
  </w:style>
  <w:style w:type="paragraph" w:styleId="NormalWeb">
    <w:name w:val="Normal (Web)"/>
    <w:basedOn w:val="Normal"/>
    <w:uiPriority w:val="99"/>
    <w:semiHidden/>
    <w:unhideWhenUsed/>
    <w:rsid w:val="00194182"/>
    <w:pPr>
      <w:spacing w:before="100" w:beforeAutospacing="1" w:after="100" w:afterAutospacing="1"/>
    </w:pPr>
    <w:rPr>
      <w:lang w:val="es-419" w:eastAsia="es-419"/>
    </w:rPr>
  </w:style>
  <w:style w:type="paragraph" w:styleId="Descripcin">
    <w:name w:val="caption"/>
    <w:basedOn w:val="Normal"/>
    <w:next w:val="Normal"/>
    <w:uiPriority w:val="35"/>
    <w:unhideWhenUsed/>
    <w:qFormat/>
    <w:rsid w:val="00161051"/>
    <w:pPr>
      <w:spacing w:after="200"/>
      <w:jc w:val="both"/>
    </w:pPr>
    <w:rPr>
      <w:rFonts w:eastAsiaTheme="minorHAnsi" w:cstheme="minorBidi"/>
      <w:i/>
      <w:iCs/>
      <w:color w:val="44546A" w:themeColor="text2"/>
      <w:sz w:val="18"/>
      <w:szCs w:val="18"/>
      <w:lang w:val="es-ES" w:eastAsia="en-US"/>
    </w:rPr>
  </w:style>
  <w:style w:type="character" w:customStyle="1" w:styleId="TextocomentarioCar">
    <w:name w:val="Texto comentario Car"/>
    <w:basedOn w:val="Fuentedeprrafopredeter"/>
    <w:link w:val="Textocomentario"/>
    <w:uiPriority w:val="99"/>
    <w:semiHidden/>
    <w:rsid w:val="00161051"/>
    <w:rPr>
      <w:rFonts w:ascii="Times New Roman" w:eastAsia="Times New Roman" w:hAnsi="Times New Roman" w:cs="Times New Roman"/>
      <w:sz w:val="20"/>
      <w:szCs w:val="20"/>
      <w:lang w:val="en-US"/>
    </w:rPr>
  </w:style>
  <w:style w:type="paragraph" w:styleId="Textocomentario">
    <w:name w:val="annotation text"/>
    <w:basedOn w:val="Normal"/>
    <w:link w:val="TextocomentarioCar"/>
    <w:uiPriority w:val="99"/>
    <w:semiHidden/>
    <w:unhideWhenUsed/>
    <w:rsid w:val="00161051"/>
    <w:pPr>
      <w:jc w:val="both"/>
    </w:pPr>
    <w:rPr>
      <w:sz w:val="20"/>
      <w:szCs w:val="20"/>
      <w:lang w:val="en-US" w:eastAsia="en-US"/>
    </w:rPr>
  </w:style>
  <w:style w:type="character" w:customStyle="1" w:styleId="TextocomentarioCar1">
    <w:name w:val="Texto comentario Car1"/>
    <w:basedOn w:val="Fuentedeprrafopredeter"/>
    <w:uiPriority w:val="99"/>
    <w:semiHidden/>
    <w:rsid w:val="00161051"/>
    <w:rPr>
      <w:rFonts w:ascii="Times New Roman" w:eastAsia="MS Mincho" w:hAnsi="Times New Roman" w:cs="Times New Roman"/>
      <w:sz w:val="20"/>
      <w:szCs w:val="20"/>
      <w:lang w:val="es-AR" w:eastAsia="es-ES"/>
    </w:rPr>
  </w:style>
  <w:style w:type="character" w:styleId="Refdecomentario">
    <w:name w:val="annotation reference"/>
    <w:basedOn w:val="Fuentedeprrafopredeter"/>
    <w:uiPriority w:val="99"/>
    <w:semiHidden/>
    <w:unhideWhenUsed/>
    <w:rsid w:val="00161051"/>
    <w:rPr>
      <w:sz w:val="16"/>
      <w:szCs w:val="16"/>
    </w:rPr>
  </w:style>
  <w:style w:type="paragraph" w:styleId="Textodeglobo">
    <w:name w:val="Balloon Text"/>
    <w:basedOn w:val="Normal"/>
    <w:link w:val="TextodegloboCar"/>
    <w:uiPriority w:val="99"/>
    <w:semiHidden/>
    <w:unhideWhenUsed/>
    <w:rsid w:val="0016105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61051"/>
    <w:rPr>
      <w:rFonts w:ascii="Segoe UI" w:eastAsia="MS Mincho" w:hAnsi="Segoe UI" w:cs="Segoe UI"/>
      <w:sz w:val="18"/>
      <w:szCs w:val="18"/>
      <w:lang w:val="es-AR" w:eastAsia="es-ES"/>
    </w:rPr>
  </w:style>
  <w:style w:type="character" w:customStyle="1" w:styleId="Mencinsinresolver1">
    <w:name w:val="Mención sin resolver1"/>
    <w:basedOn w:val="Fuentedeprrafopredeter"/>
    <w:uiPriority w:val="99"/>
    <w:semiHidden/>
    <w:unhideWhenUsed/>
    <w:rsid w:val="00490D2A"/>
    <w:rPr>
      <w:color w:val="605E5C"/>
      <w:shd w:val="clear" w:color="auto" w:fill="E1DFDD"/>
    </w:rPr>
  </w:style>
  <w:style w:type="character" w:customStyle="1" w:styleId="apple-style-span">
    <w:name w:val="apple-style-span"/>
    <w:uiPriority w:val="99"/>
    <w:rsid w:val="000F2A6F"/>
  </w:style>
  <w:style w:type="paragraph" w:styleId="HTMLconformatoprevio">
    <w:name w:val="HTML Preformatted"/>
    <w:basedOn w:val="Normal"/>
    <w:link w:val="HTMLconformatoprevioCar"/>
    <w:uiPriority w:val="99"/>
    <w:semiHidden/>
    <w:unhideWhenUsed/>
    <w:rsid w:val="00E95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419" w:eastAsia="es-419"/>
    </w:rPr>
  </w:style>
  <w:style w:type="character" w:customStyle="1" w:styleId="HTMLconformatoprevioCar">
    <w:name w:val="HTML con formato previo Car"/>
    <w:basedOn w:val="Fuentedeprrafopredeter"/>
    <w:link w:val="HTMLconformatoprevio"/>
    <w:uiPriority w:val="99"/>
    <w:semiHidden/>
    <w:rsid w:val="00E95466"/>
    <w:rPr>
      <w:rFonts w:ascii="Courier New" w:eastAsia="Times New Roman" w:hAnsi="Courier New" w:cs="Courier New"/>
      <w:sz w:val="20"/>
      <w:szCs w:val="20"/>
      <w:lang w:eastAsia="es-419"/>
    </w:rPr>
  </w:style>
  <w:style w:type="character" w:customStyle="1" w:styleId="spellingerror">
    <w:name w:val="spellingerror"/>
    <w:basedOn w:val="Fuentedeprrafopredeter"/>
    <w:rsid w:val="00ED6272"/>
  </w:style>
  <w:style w:type="character" w:customStyle="1" w:styleId="contextualspellingandgrammarerror">
    <w:name w:val="contextualspellingandgrammarerror"/>
    <w:basedOn w:val="Fuentedeprrafopredeter"/>
    <w:rsid w:val="00ED6272"/>
  </w:style>
  <w:style w:type="table" w:styleId="Tablaconcuadrcula">
    <w:name w:val="Table Grid"/>
    <w:basedOn w:val="Tablanormal"/>
    <w:uiPriority w:val="39"/>
    <w:rsid w:val="00517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074E88"/>
    <w:pPr>
      <w:spacing w:after="100"/>
      <w:ind w:left="480"/>
    </w:pPr>
  </w:style>
  <w:style w:type="table" w:customStyle="1" w:styleId="3">
    <w:name w:val="3"/>
    <w:basedOn w:val="TableNormal0"/>
    <w:tblPr>
      <w:tblStyleRowBandSize w:val="1"/>
      <w:tblStyleColBandSize w:val="1"/>
      <w:tblCellMar>
        <w:left w:w="115" w:type="dxa"/>
        <w:right w:w="115" w:type="dxa"/>
      </w:tblCellMar>
    </w:tblPr>
  </w:style>
  <w:style w:type="table" w:customStyle="1" w:styleId="2">
    <w:name w:val="2"/>
    <w:basedOn w:val="TableNormal0"/>
    <w:tblPr>
      <w:tblStyleRowBandSize w:val="1"/>
      <w:tblStyleColBandSize w:val="1"/>
      <w:tblCellMar>
        <w:left w:w="108" w:type="dxa"/>
        <w:right w:w="108" w:type="dxa"/>
      </w:tblCellMar>
    </w:tblPr>
  </w:style>
  <w:style w:type="table" w:customStyle="1" w:styleId="1">
    <w:name w:val="1"/>
    <w:basedOn w:val="TableNormal0"/>
    <w:tblPr>
      <w:tblStyleRowBandSize w:val="1"/>
      <w:tblStyleColBandSize w:val="1"/>
      <w:tblCellMar>
        <w:left w:w="115" w:type="dxa"/>
        <w:right w:w="115" w:type="dxa"/>
      </w:tblCellMar>
    </w:tblPr>
  </w:style>
  <w:style w:type="character" w:customStyle="1" w:styleId="il">
    <w:name w:val="il"/>
    <w:basedOn w:val="Fuentedeprrafopredeter"/>
    <w:rsid w:val="00C822C3"/>
  </w:style>
  <w:style w:type="table" w:customStyle="1" w:styleId="8">
    <w:name w:val="8"/>
    <w:basedOn w:val="TableNormal0"/>
    <w:tblPr>
      <w:tblStyleRowBandSize w:val="1"/>
      <w:tblStyleColBandSize w:val="1"/>
      <w:tblCellMar>
        <w:left w:w="115" w:type="dxa"/>
        <w:right w:w="115" w:type="dxa"/>
      </w:tblCellMar>
    </w:tblPr>
  </w:style>
  <w:style w:type="table" w:customStyle="1" w:styleId="7">
    <w:name w:val="7"/>
    <w:basedOn w:val="TableNormal0"/>
    <w:tblPr>
      <w:tblStyleRowBandSize w:val="1"/>
      <w:tblStyleColBandSize w:val="1"/>
      <w:tblCellMar>
        <w:left w:w="108" w:type="dxa"/>
        <w:right w:w="108" w:type="dxa"/>
      </w:tblCellMar>
    </w:tblPr>
  </w:style>
  <w:style w:type="table" w:customStyle="1" w:styleId="6">
    <w:name w:val="6"/>
    <w:basedOn w:val="TableNormal0"/>
    <w:tblPr>
      <w:tblStyleRowBandSize w:val="1"/>
      <w:tblStyleColBandSize w:val="1"/>
      <w:tblCellMar>
        <w:left w:w="115" w:type="dxa"/>
        <w:right w:w="115" w:type="dxa"/>
      </w:tblCellMar>
    </w:tblPr>
  </w:style>
  <w:style w:type="table" w:customStyle="1" w:styleId="5">
    <w:name w:val="5"/>
    <w:basedOn w:val="TableNormal0"/>
    <w:tblPr>
      <w:tblStyleRowBandSize w:val="1"/>
      <w:tblStyleColBandSize w:val="1"/>
      <w:tblCellMar>
        <w:left w:w="115"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left w:w="115" w:type="dxa"/>
        <w:right w:w="115" w:type="dxa"/>
      </w:tblCellMar>
    </w:tblPr>
  </w:style>
  <w:style w:type="character" w:styleId="Textodelmarcadordeposicin">
    <w:name w:val="Placeholder Text"/>
    <w:basedOn w:val="Fuentedeprrafopredeter"/>
    <w:uiPriority w:val="99"/>
    <w:semiHidden/>
    <w:rsid w:val="002F3DDD"/>
    <w:rPr>
      <w:color w:val="666666"/>
    </w:rPr>
  </w:style>
  <w:style w:type="character" w:styleId="Mencinsinresolver">
    <w:name w:val="Unresolved Mention"/>
    <w:basedOn w:val="Fuentedeprrafopredeter"/>
    <w:uiPriority w:val="99"/>
    <w:semiHidden/>
    <w:unhideWhenUsed/>
    <w:rsid w:val="002F3D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7103">
      <w:marLeft w:val="640"/>
      <w:marRight w:val="0"/>
      <w:marTop w:val="0"/>
      <w:marBottom w:val="0"/>
      <w:divBdr>
        <w:top w:val="none" w:sz="0" w:space="0" w:color="auto"/>
        <w:left w:val="none" w:sz="0" w:space="0" w:color="auto"/>
        <w:bottom w:val="none" w:sz="0" w:space="0" w:color="auto"/>
        <w:right w:val="none" w:sz="0" w:space="0" w:color="auto"/>
      </w:divBdr>
    </w:div>
    <w:div w:id="687802784">
      <w:marLeft w:val="640"/>
      <w:marRight w:val="0"/>
      <w:marTop w:val="0"/>
      <w:marBottom w:val="0"/>
      <w:divBdr>
        <w:top w:val="none" w:sz="0" w:space="0" w:color="auto"/>
        <w:left w:val="none" w:sz="0" w:space="0" w:color="auto"/>
        <w:bottom w:val="none" w:sz="0" w:space="0" w:color="auto"/>
        <w:right w:val="none" w:sz="0" w:space="0" w:color="auto"/>
      </w:divBdr>
    </w:div>
    <w:div w:id="1233731786">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gestornormativo.creg.gov.co/gestor/entorno/docs/originales/Resoluci%C3%B3n_CREG_101_072_2025/Resoluci%C3%B3n_CREG_101_072_2025.pdf" TargetMode="External"/><Relationship Id="rId4" Type="http://schemas.openxmlformats.org/officeDocument/2006/relationships/styles" Target="styles.xml"/><Relationship Id="rId9" Type="http://schemas.openxmlformats.org/officeDocument/2006/relationships/hyperlink" Target="https://www.minenergia.gov.co/es/comunidades-energetica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06C5AA8-8791-4A62-9C54-12892BB2E247}"/>
      </w:docPartPr>
      <w:docPartBody>
        <w:p w:rsidR="003626F5" w:rsidRDefault="00D32290">
          <w:r w:rsidRPr="00BE169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290"/>
    <w:rsid w:val="003626F5"/>
    <w:rsid w:val="003A1931"/>
    <w:rsid w:val="00467B6D"/>
    <w:rsid w:val="004B17EF"/>
    <w:rsid w:val="005D2C57"/>
    <w:rsid w:val="00752DBA"/>
    <w:rsid w:val="008251F0"/>
    <w:rsid w:val="00A52CCB"/>
    <w:rsid w:val="00B31461"/>
    <w:rsid w:val="00CB5924"/>
    <w:rsid w:val="00D32290"/>
    <w:rsid w:val="00E32A57"/>
    <w:rsid w:val="00F83EA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3229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D26BA4-78EF-4E8A-9322-18E2EAFD955F}">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4635677390"/>
    <we:property name="MENDELEY_CITATIONS" value="[{&quot;citationID&quot;:&quot;MENDELEY_CITATION_e2c3a036-e05c-4495-9977-9784527d6d1e&quot;,&quot;properties&quot;:{&quot;noteIndex&quot;:0},&quot;isEdited&quot;:false,&quot;manualOverride&quot;:{&quot;isManuallyOverridden&quot;:false,&quot;citeprocText&quot;:&quot;[1], [2]&quot;,&quot;manualOverrideText&quot;:&quot;&quot;},&quot;citationItems&quot;:[{&quot;id&quot;:&quot;ca08178f-8964-3e31-ba63-cf8f720c7cbf&quot;,&quot;itemData&quot;:{&quot;type&quot;:&quot;article-journal&quot;,&quot;id&quot;:&quot;ca08178f-8964-3e31-ba63-cf8f720c7cbf&quot;,&quot;title&quot;:&quot;A transition perspective on Energy Communities: A systematic literature review and research agenda&quot;,&quot;author&quot;:[{&quot;family&quot;:&quot;Klein&quot;,&quot;given&quot;:&quot;Sharon J.W.&quot;,&quot;parse-names&quot;:false,&quot;dropping-particle&quot;:&quot;&quot;,&quot;non-dropping-particle&quot;:&quot;&quot;},{&quot;family&quot;:&quot;Coffey&quot;,&quot;given&quot;:&quot;Stephanie&quot;,&quot;parse-names&quot;:false,&quot;dropping-particle&quot;:&quot;&quot;,&quot;non-dropping-particle&quot;:&quot;&quot;}],&quot;container-title&quot;:&quot;Renewable and Sustainable Energy Reviews&quot;,&quot;accessed&quot;:{&quot;date-parts&quot;:[[2026,3,26]]},&quot;DOI&quot;:&quot;10.1016/j.rser.2016.01.129&quot;,&quot;ISSN&quot;:&quot;18790690&quot;,&quot;URL&quot;:&quot;https://doi.org/10.1016/j.rser.2016.01.129&quot;,&quot;issued&quot;:{&quot;date-parts&quot;:[[2022,7,1]]},&quot;page&quot;:&quot;112479&quot;,&quot;abstract&quot;:&quot;Solving energy issues requires integrated solutions at all societal and institutional levels. Community renewable energy and energy efficiency initiatives offer a complementary model for renewable energy deployment and have several advantages over the prevailing \&quot;top down\&quot; strategy employed in the US. In this paper, we present a review of the theoretical basis for community energy as a catalyst for energy behavior change; examine contrasting viewpoints of the definition of community energy; and review community energy literature. The first literature review compares energy behavior lessons from context independent individualistic and context dependent collective action theories. The review of community energy literature lists the energy option and geographical focus of more than 70 community energy studies from around the world and summarizes key lessons from this literature. In addition, we also present the data sources for a new US Community Energy Database that will be publicly available in the near future and introduce a new classification system for community renewable energy projects based on the results of this database. Finally, we present recommendations for future research in this rapidly growing field.&quot;,&quot;publisher&quot;:&quot;Pergamon&quot;,&quot;volume&quot;:&quot;163&quot;},&quot;isTemporary&quot;:false},{&quot;id&quot;:&quot;5536c9de-d997-39e2-82b2-c7f40d8724f9&quot;,&quot;itemData&quot;:{&quot;type&quot;:&quot;article-journal&quot;,&quot;id&quot;:&quot;5536c9de-d997-39e2-82b2-c7f40d8724f9&quot;,&quot;title&quot;:&quot;Conceptualizing community in energy systems: A systematic review of 183 definitions&quot;,&quot;author&quot;:[{&quot;family&quot;:&quot;Unruh&quot;,&quot;given&quot;:&quot;Gregory C.&quot;,&quot;parse-names&quot;:false,&quot;dropping-particle&quot;:&quot;&quot;,&quot;non-dropping-particle&quot;:&quot;&quot;}],&quot;container-title&quot;:&quot;Renewable and Sustainable Energy Reviews&quot;,&quot;accessed&quot;:{&quot;date-parts&quot;:[[2026,3,26]]},&quot;DOI&quot;:&quot;10.1016/S0301-4215(00)00070-7&quot;,&quot;ISSN&quot;:&quot;03014215&quot;,&quot;URL&quot;:&quot;https://doi.org/10.1016/S0301-4215(00)00070-7&quot;,&quot;issued&quot;:{&quot;date-parts&quot;:[[2022,3,1]]},&quot;page&quot;:&quot;111999&quot;,&quot;abstract&quot;:&quot;This paper narrative argues that industrial economies have been locked into fossil fuel-based energy systems through a process of technological and institutional co-evolution driven by path-dependent increasing returns to scale. It is asserted that this condition, termed carbon lock-in, creates persistent market and policy failures that can inhibit the diffusion of carbon-saving technologies despite their apparent environmental and economic advantages. The notion of a Techno-Institutional Complex is introduced to capture the idea that lock-in occurs through combined interactions among technological systems and governing institutions. While carbon lock-in provides a conceptual basis for understanding macro-level barriers to the diffusion of carbon-saving technologies, it also generates questions for standard economic modeling approaches that abstract away technological and institutional evolution in their elaboration. The question of escaping carbon lock-in is left for a future paper. (C) 2000 Elsevier Science Ltd. All rights reserved.&quot;,&quot;publisher&quot;:&quot;Pergamon&quot;,&quot;issue&quot;:&quot;12&quot;,&quot;volume&quot;:&quot;156&quot;},&quot;isTemporary&quot;:false}],&quot;citationTag&quot;:&quot;MENDELEY_CITATION_v3_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&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4NUBmQuFsjzEdGgcMTPAt+jn0g==">CgMxLjAyDmgub2Zic2xkNnF0azkwMg5oLnkwb3dvNWt3NzM1NDIOaC4yZWR0YmttbXhnenQyDmguNHQ1MDJsNWMxc2tnMg5oLjZjbzI3NDgyd3dvajIOaC5ucjVreml6NjE1cmQyDmguOHh3NjVrZXd3ZHJuMg5oLmF3Nm1rcHNnaDk2bjIOaC5rb3R2eW5wMzd3bHEyDmgucnpkOGEzaGFmNnU2Mg5oLmxwc3oybXljNHlibTINaC5jbnYzaHhxbWZkMTIOaC55ejhnbDViaXRkaWYyDmguamdyYjk2dGM4dDRxMg5oLm5vZ3Ixd3dsZW45aTIOaC5sOWdtczd5eGlwdG8yDmgudTc4am9reGl2cTRiMg5oLmZvc3Bta2VneXh6eDIOaC42dmlrNWxsZG9kODMyDmguY2Frd3ZneHNqMjZwOAByITEzN3l2MUstWVJ2MFdsWHdKRmdNSUhyOTNvV1NaNV9MWQ==</go:docsCustomData>
</go:gDocsCustomXmlDataStorage>
</file>

<file path=customXml/itemProps1.xml><?xml version="1.0" encoding="utf-8"?>
<ds:datastoreItem xmlns:ds="http://schemas.openxmlformats.org/officeDocument/2006/customXml" ds:itemID="{5DD758B2-A2E2-42D5-93A4-8BBFE7A0B3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6711</Words>
  <Characters>36912</Characters>
  <Application>Microsoft Office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AAROMERO</dc:creator>
  <cp:keywords/>
  <dc:description/>
  <cp:lastModifiedBy>Andrés Romero</cp:lastModifiedBy>
  <cp:revision>2</cp:revision>
  <dcterms:created xsi:type="dcterms:W3CDTF">2026-08-18T18:11:00Z</dcterms:created>
  <dcterms:modified xsi:type="dcterms:W3CDTF">2026-08-18T18:11:00Z</dcterms:modified>
</cp:coreProperties>
</file>