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360"/>
        <w:jc w:val="center"/>
      </w:pPr>
      <w:r>
        <w:rPr>
          <w:rFonts w:ascii="Georgia" w:hAnsi="Georgia"/>
          <w:b/>
          <w:color w:val="122E3A"/>
          <w:sz w:val="44"/>
        </w:rPr>
        <w:t>Consolidación Conceptual, Taxonomía y Derecho Comparado de las Comunidades Energéticas Locales (CEL) en Iberoamérica</w:t>
      </w:r>
    </w:p>
    <w:p>
      <w:pPr>
        <w:spacing w:before="480" w:after="480"/>
        <w:jc w:val="center"/>
      </w:pPr>
      <w:r>
        <w:rPr>
          <w:color w:val="9CA3AF"/>
        </w:rPr>
        <w:t>————————————————————————————————————————</w:t>
      </w:r>
    </w:p>
    <w:p>
      <w:pPr>
        <w:keepNext/>
        <w:spacing w:before="360" w:after="160"/>
      </w:pPr>
      <w:r>
        <w:rPr>
          <w:rFonts w:ascii="Georgia" w:hAnsi="Georgia"/>
          <w:b/>
          <w:color w:val="122E3A"/>
          <w:sz w:val="28"/>
        </w:rPr>
        <w:t>CONTROL DE DOCUMENTO Y VERSIONES</w:t>
      </w:r>
    </w:p>
    <w:p>
      <w:pPr>
        <w:spacing w:after="120" w:line="276" w:lineRule="auto"/>
      </w:pPr>
      <w:r/>
      <w:r>
        <w:rPr>
          <w:b/>
        </w:rPr>
        <w:t>Ficha de Metadatos del Proyecto</w:t>
      </w:r>
      <w:r/>
    </w:p>
    <w:p>
      <w:pPr>
        <w:pStyle w:val="ListBullet"/>
        <w:spacing w:after="60"/>
      </w:pPr>
      <w:r>
        <w:t xml:space="preserve">  </w:t>
      </w:r>
      <w:r>
        <w:rPr>
          <w:b/>
        </w:rPr>
        <w:t>Título del Documento:</w:t>
      </w:r>
      <w:r>
        <w:t xml:space="preserve"> Consolidación Conceptual, Taxonomía y Derecho Comparado de las Comunidades Energéticas Locales (CEL) en Iberoamérica.</w:t>
      </w:r>
    </w:p>
    <w:p>
      <w:pPr>
        <w:pStyle w:val="ListBullet"/>
        <w:spacing w:after="60"/>
      </w:pPr>
      <w:r>
        <w:t xml:space="preserve">  </w:t>
      </w:r>
      <w:r>
        <w:rPr>
          <w:b/>
        </w:rPr>
        <w:t>Red Temática CYTED:</w:t>
      </w:r>
      <w:r>
        <w:t xml:space="preserve"> 726RT0203 - Red Iberoamericana de Promoción de Comunidades Energéticas Locales para la Transición Justa y Sostenible (RIPCEL).</w:t>
      </w:r>
    </w:p>
    <w:p>
      <w:pPr>
        <w:pStyle w:val="ListBullet"/>
        <w:spacing w:after="60"/>
      </w:pPr>
      <w:r>
        <w:t xml:space="preserve">  </w:t>
      </w:r>
      <w:r>
        <w:rPr>
          <w:b/>
        </w:rPr>
        <w:t>Organismo Emisor:</w:t>
      </w:r>
      <w:r>
        <w:t xml:space="preserve"> Consorcio de Investigación y Observatorio RIPCEL.</w:t>
      </w:r>
    </w:p>
    <w:p>
      <w:pPr>
        <w:pStyle w:val="ListBullet"/>
        <w:spacing w:after="60"/>
      </w:pPr>
      <w:r>
        <w:t xml:space="preserve">  </w:t>
      </w:r>
      <w:r>
        <w:rPr>
          <w:b/>
        </w:rPr>
        <w:t>Fecha de Publicación:</w:t>
      </w:r>
      <w:r>
        <w:t xml:space="preserve"> Agosto de 2026.</w:t>
      </w:r>
    </w:p>
    <w:p>
      <w:pPr>
        <w:pStyle w:val="ListBullet"/>
        <w:spacing w:after="60"/>
      </w:pPr>
      <w:r>
        <w:t xml:space="preserve">  </w:t>
      </w:r>
      <w:r>
        <w:rPr>
          <w:b/>
        </w:rPr>
        <w:t>Clasificación:</w:t>
      </w:r>
      <w:r>
        <w:t xml:space="preserve"> Reporte Técnico Institucional.</w:t>
      </w:r>
    </w:p>
    <w:p>
      <w:pPr>
        <w:spacing w:after="120" w:line="276" w:lineRule="auto"/>
      </w:pPr>
      <w:r/>
      <w:r>
        <w:rPr>
          <w:b/>
        </w:rPr>
        <w:t>Historial de Control de Versiones</w:t>
      </w:r>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F4A5C"/>
            <w:tcMar>
              <w:top w:w="120" w:type="dxa"/>
              <w:bottom w:w="120" w:type="dxa"/>
              <w:left w:w="150" w:type="dxa"/>
              <w:right w:w="150" w:type="dxa"/>
            </w:tcMar>
          </w:tcPr>
          <w:p>
            <w:pPr>
              <w:jc w:val="center"/>
            </w:pPr>
            <w:r>
              <w:rPr>
                <w:rFonts w:ascii="Georgia" w:hAnsi="Georgia"/>
                <w:b/>
                <w:color w:val="FFFFFF"/>
                <w:sz w:val="20"/>
              </w:rPr>
              <w:t>Versión</w:t>
            </w:r>
          </w:p>
        </w:tc>
        <w:tc>
          <w:tcPr>
            <w:tcW w:type="dxa" w:w="2340"/>
            <w:shd w:fill="1F4A5C"/>
            <w:tcMar>
              <w:top w:w="120" w:type="dxa"/>
              <w:bottom w:w="120" w:type="dxa"/>
              <w:left w:w="150" w:type="dxa"/>
              <w:right w:w="150" w:type="dxa"/>
            </w:tcMar>
          </w:tcPr>
          <w:p>
            <w:pPr>
              <w:jc w:val="center"/>
            </w:pPr>
            <w:r>
              <w:rPr>
                <w:rFonts w:ascii="Georgia" w:hAnsi="Georgia"/>
                <w:b/>
                <w:color w:val="FFFFFF"/>
                <w:sz w:val="20"/>
              </w:rPr>
              <w:t>Fecha</w:t>
            </w:r>
          </w:p>
        </w:tc>
        <w:tc>
          <w:tcPr>
            <w:tcW w:type="dxa" w:w="2340"/>
            <w:shd w:fill="1F4A5C"/>
            <w:tcMar>
              <w:top w:w="120" w:type="dxa"/>
              <w:bottom w:w="120" w:type="dxa"/>
              <w:left w:w="150" w:type="dxa"/>
              <w:right w:w="150" w:type="dxa"/>
            </w:tcMar>
          </w:tcPr>
          <w:p>
            <w:pPr>
              <w:jc w:val="center"/>
            </w:pPr>
            <w:r>
              <w:rPr>
                <w:rFonts w:ascii="Georgia" w:hAnsi="Georgia"/>
                <w:b/>
                <w:color w:val="FFFFFF"/>
                <w:sz w:val="20"/>
              </w:rPr>
              <w:t>Estado / Cambios Realizados</w:t>
            </w:r>
          </w:p>
        </w:tc>
        <w:tc>
          <w:tcPr>
            <w:tcW w:type="dxa" w:w="2340"/>
            <w:shd w:fill="1F4A5C"/>
            <w:tcMar>
              <w:top w:w="120" w:type="dxa"/>
              <w:bottom w:w="120" w:type="dxa"/>
              <w:left w:w="150" w:type="dxa"/>
              <w:right w:w="150" w:type="dxa"/>
            </w:tcMar>
          </w:tcPr>
          <w:p>
            <w:pPr>
              <w:jc w:val="center"/>
            </w:pPr>
            <w:r>
              <w:rPr>
                <w:rFonts w:ascii="Georgia" w:hAnsi="Georgia"/>
                <w:b/>
                <w:color w:val="FFFFFF"/>
                <w:sz w:val="20"/>
              </w:rPr>
              <w:t>Autores / Revisores</w:t>
            </w:r>
          </w:p>
        </w:tc>
      </w:tr>
      <w:tr>
        <w:tc>
          <w:tcPr>
            <w:tcW w:type="dxa" w:w="2340"/>
            <w:shd w:fill="FFFFFF"/>
            <w:tcMar>
              <w:top w:w="100" w:type="dxa"/>
              <w:bottom w:w="100" w:type="dxa"/>
              <w:left w:w="150" w:type="dxa"/>
              <w:right w:w="150" w:type="dxa"/>
            </w:tcMar>
          </w:tcPr>
          <w:p>
            <w:r>
              <w:t>:---</w:t>
            </w:r>
          </w:p>
        </w:tc>
        <w:tc>
          <w:tcPr>
            <w:tcW w:type="dxa" w:w="2340"/>
            <w:shd w:fill="FFFFFF"/>
            <w:tcMar>
              <w:top w:w="100" w:type="dxa"/>
              <w:bottom w:w="100" w:type="dxa"/>
              <w:left w:w="150" w:type="dxa"/>
              <w:right w:w="150" w:type="dxa"/>
            </w:tcMar>
          </w:tcPr>
          <w:p>
            <w:r>
              <w:t>:---</w:t>
            </w:r>
          </w:p>
        </w:tc>
        <w:tc>
          <w:tcPr>
            <w:tcW w:type="dxa" w:w="2340"/>
            <w:shd w:fill="FFFFFF"/>
            <w:tcMar>
              <w:top w:w="100" w:type="dxa"/>
              <w:bottom w:w="100" w:type="dxa"/>
              <w:left w:w="150" w:type="dxa"/>
              <w:right w:w="150" w:type="dxa"/>
            </w:tcMar>
          </w:tcPr>
          <w:p>
            <w:r>
              <w:t>:---</w:t>
            </w:r>
          </w:p>
        </w:tc>
        <w:tc>
          <w:tcPr>
            <w:tcW w:type="dxa" w:w="2340"/>
            <w:shd w:fill="FFFFFF"/>
            <w:tcMar>
              <w:top w:w="100" w:type="dxa"/>
              <w:bottom w:w="100" w:type="dxa"/>
              <w:left w:w="150" w:type="dxa"/>
              <w:right w:w="150" w:type="dxa"/>
            </w:tcMar>
          </w:tcPr>
          <w:p>
            <w:r>
              <w:t>:---</w:t>
            </w:r>
          </w:p>
        </w:tc>
      </w:tr>
      <w:tr>
        <w:tc>
          <w:tcPr>
            <w:tcW w:type="dxa" w:w="2340"/>
            <w:shd w:fill="F3F4F6"/>
            <w:tcMar>
              <w:top w:w="100" w:type="dxa"/>
              <w:bottom w:w="100" w:type="dxa"/>
              <w:left w:w="150" w:type="dxa"/>
              <w:right w:w="150" w:type="dxa"/>
            </w:tcMar>
          </w:tcPr>
          <w:p>
            <w:r/>
            <w:r>
              <w:rPr>
                <w:b/>
              </w:rPr>
              <w:t>v0.1</w:t>
            </w:r>
            <w:r/>
          </w:p>
        </w:tc>
        <w:tc>
          <w:tcPr>
            <w:tcW w:type="dxa" w:w="2340"/>
            <w:shd w:fill="F3F4F6"/>
            <w:tcMar>
              <w:top w:w="100" w:type="dxa"/>
              <w:bottom w:w="100" w:type="dxa"/>
              <w:left w:w="150" w:type="dxa"/>
              <w:right w:w="150" w:type="dxa"/>
            </w:tcMar>
          </w:tcPr>
          <w:p>
            <w:r>
              <w:t>20.04.2026</w:t>
            </w:r>
          </w:p>
        </w:tc>
        <w:tc>
          <w:tcPr>
            <w:tcW w:type="dxa" w:w="2340"/>
            <w:shd w:fill="F3F4F6"/>
            <w:tcMar>
              <w:top w:w="100" w:type="dxa"/>
              <w:bottom w:w="100" w:type="dxa"/>
              <w:left w:w="150" w:type="dxa"/>
              <w:right w:w="150" w:type="dxa"/>
            </w:tcMar>
          </w:tcPr>
          <w:p>
            <w:r>
              <w:t>Primer borrador conceptual y compilación preliminar de marcos regulatorios.</w:t>
            </w:r>
          </w:p>
        </w:tc>
        <w:tc>
          <w:tcPr>
            <w:tcW w:type="dxa" w:w="2340"/>
            <w:shd w:fill="F3F4F6"/>
            <w:tcMar>
              <w:top w:w="100" w:type="dxa"/>
              <w:bottom w:w="100" w:type="dxa"/>
              <w:left w:w="150" w:type="dxa"/>
              <w:right w:w="150" w:type="dxa"/>
            </w:tcMar>
          </w:tcPr>
          <w:p>
            <w:r>
              <w:t>Grupo de Trabajo 1 (RIPCEL)</w:t>
            </w:r>
          </w:p>
        </w:tc>
      </w:tr>
      <w:tr>
        <w:tc>
          <w:tcPr>
            <w:tcW w:type="dxa" w:w="2340"/>
            <w:shd w:fill="FFFFFF"/>
            <w:tcMar>
              <w:top w:w="100" w:type="dxa"/>
              <w:bottom w:w="100" w:type="dxa"/>
              <w:left w:w="150" w:type="dxa"/>
              <w:right w:w="150" w:type="dxa"/>
            </w:tcMar>
          </w:tcPr>
          <w:p>
            <w:r/>
            <w:r>
              <w:rPr>
                <w:b/>
              </w:rPr>
              <w:t>v0.2</w:t>
            </w:r>
            <w:r/>
          </w:p>
        </w:tc>
        <w:tc>
          <w:tcPr>
            <w:tcW w:type="dxa" w:w="2340"/>
            <w:shd w:fill="FFFFFF"/>
            <w:tcMar>
              <w:top w:w="100" w:type="dxa"/>
              <w:bottom w:w="100" w:type="dxa"/>
              <w:left w:w="150" w:type="dxa"/>
              <w:right w:w="150" w:type="dxa"/>
            </w:tcMar>
          </w:tcPr>
          <w:p>
            <w:r>
              <w:t>15.06.2026</w:t>
            </w:r>
          </w:p>
        </w:tc>
        <w:tc>
          <w:tcPr>
            <w:tcW w:type="dxa" w:w="2340"/>
            <w:shd w:fill="FFFFFF"/>
            <w:tcMar>
              <w:top w:w="100" w:type="dxa"/>
              <w:bottom w:w="100" w:type="dxa"/>
              <w:left w:w="150" w:type="dxa"/>
              <w:right w:w="150" w:type="dxa"/>
            </w:tcMar>
          </w:tcPr>
          <w:p>
            <w:r>
              <w:t>Integración de comentarios sobre Justicia Energética y notas de coautoría.</w:t>
            </w:r>
          </w:p>
        </w:tc>
        <w:tc>
          <w:tcPr>
            <w:tcW w:type="dxa" w:w="2340"/>
            <w:shd w:fill="FFFFFF"/>
            <w:tcMar>
              <w:top w:w="100" w:type="dxa"/>
              <w:bottom w:w="100" w:type="dxa"/>
              <w:left w:w="150" w:type="dxa"/>
              <w:right w:w="150" w:type="dxa"/>
            </w:tcMar>
          </w:tcPr>
          <w:p>
            <w:r>
              <w:t>GT1 &amp; Comité Científico</w:t>
            </w:r>
          </w:p>
        </w:tc>
      </w:tr>
      <w:tr>
        <w:tc>
          <w:tcPr>
            <w:tcW w:type="dxa" w:w="2340"/>
            <w:shd w:fill="F3F4F6"/>
            <w:tcMar>
              <w:top w:w="100" w:type="dxa"/>
              <w:bottom w:w="100" w:type="dxa"/>
              <w:left w:w="150" w:type="dxa"/>
              <w:right w:w="150" w:type="dxa"/>
            </w:tcMar>
          </w:tcPr>
          <w:p>
            <w:r/>
            <w:r>
              <w:rPr>
                <w:b/>
              </w:rPr>
              <w:t>v0.5</w:t>
            </w:r>
            <w:r/>
          </w:p>
        </w:tc>
        <w:tc>
          <w:tcPr>
            <w:tcW w:type="dxa" w:w="2340"/>
            <w:shd w:fill="F3F4F6"/>
            <w:tcMar>
              <w:top w:w="100" w:type="dxa"/>
              <w:bottom w:w="100" w:type="dxa"/>
              <w:left w:w="150" w:type="dxa"/>
              <w:right w:w="150" w:type="dxa"/>
            </w:tcMar>
          </w:tcPr>
          <w:p>
            <w:r>
              <w:t>10.07.2026</w:t>
            </w:r>
          </w:p>
        </w:tc>
        <w:tc>
          <w:tcPr>
            <w:tcW w:type="dxa" w:w="2340"/>
            <w:shd w:fill="F3F4F6"/>
            <w:tcMar>
              <w:top w:w="100" w:type="dxa"/>
              <w:bottom w:w="100" w:type="dxa"/>
              <w:left w:w="150" w:type="dxa"/>
              <w:right w:w="150" w:type="dxa"/>
            </w:tcMar>
          </w:tcPr>
          <w:p>
            <w:r>
              <w:t>Reestructuración de la taxonomía y depuración de redundancias legales.</w:t>
            </w:r>
          </w:p>
        </w:tc>
        <w:tc>
          <w:tcPr>
            <w:tcW w:type="dxa" w:w="2340"/>
            <w:shd w:fill="F3F4F6"/>
            <w:tcMar>
              <w:top w:w="100" w:type="dxa"/>
              <w:bottom w:w="100" w:type="dxa"/>
              <w:left w:w="150" w:type="dxa"/>
              <w:right w:w="150" w:type="dxa"/>
            </w:tcMar>
          </w:tcPr>
          <w:p>
            <w:r>
              <w:t>GT2 (Regulación Comparada)</w:t>
            </w:r>
          </w:p>
        </w:tc>
      </w:tr>
      <w:tr>
        <w:tc>
          <w:tcPr>
            <w:tcW w:type="dxa" w:w="2340"/>
            <w:shd w:fill="FFFFFF"/>
            <w:tcMar>
              <w:top w:w="100" w:type="dxa"/>
              <w:bottom w:w="100" w:type="dxa"/>
              <w:left w:w="150" w:type="dxa"/>
              <w:right w:w="150" w:type="dxa"/>
            </w:tcMar>
          </w:tcPr>
          <w:p>
            <w:r/>
            <w:r>
              <w:rPr>
                <w:b/>
              </w:rPr>
              <w:t>v1.0</w:t>
            </w:r>
            <w:r/>
          </w:p>
        </w:tc>
        <w:tc>
          <w:tcPr>
            <w:tcW w:type="dxa" w:w="2340"/>
            <w:shd w:fill="FFFFFF"/>
            <w:tcMar>
              <w:top w:w="100" w:type="dxa"/>
              <w:bottom w:w="100" w:type="dxa"/>
              <w:left w:w="150" w:type="dxa"/>
              <w:right w:w="150" w:type="dxa"/>
            </w:tcMar>
          </w:tcPr>
          <w:p>
            <w:r>
              <w:t>18.08.2026</w:t>
            </w:r>
          </w:p>
        </w:tc>
        <w:tc>
          <w:tcPr>
            <w:tcW w:type="dxa" w:w="2340"/>
            <w:shd w:fill="FFFFFF"/>
            <w:tcMar>
              <w:top w:w="100" w:type="dxa"/>
              <w:bottom w:w="100" w:type="dxa"/>
              <w:left w:w="150" w:type="dxa"/>
              <w:right w:w="150" w:type="dxa"/>
            </w:tcMar>
          </w:tcPr>
          <w:p>
            <w:r/>
            <w:r>
              <w:rPr>
                <w:b/>
              </w:rPr>
              <w:t>Versión Definitiva</w:t>
            </w:r>
            <w:r>
              <w:t>. Cierre de placeholders, actualización normativa de Colombia e internacionalización del marco.</w:t>
            </w:r>
          </w:p>
        </w:tc>
        <w:tc>
          <w:tcPr>
            <w:tcW w:type="dxa" w:w="2340"/>
            <w:shd w:fill="FFFFFF"/>
            <w:tcMar>
              <w:top w:w="100" w:type="dxa"/>
              <w:bottom w:w="100" w:type="dxa"/>
              <w:left w:w="150" w:type="dxa"/>
              <w:right w:w="150" w:type="dxa"/>
            </w:tcMar>
          </w:tcPr>
          <w:p>
            <w:r>
              <w:t>Comité Técnico RIPCEL (2026)</w:t>
            </w:r>
          </w:p>
        </w:tc>
      </w:tr>
    </w:tbl>
    <w:p/>
    <w:p>
      <w:pPr>
        <w:spacing w:before="480" w:after="480"/>
        <w:jc w:val="center"/>
      </w:pPr>
      <w:r>
        <w:rPr>
          <w:color w:val="9CA3AF"/>
        </w:rPr>
        <w:t>————————————————————————————————————————</w:t>
      </w:r>
    </w:p>
    <w:p>
      <w:pPr>
        <w:keepNext/>
        <w:spacing w:before="360" w:after="160"/>
      </w:pPr>
      <w:r>
        <w:rPr>
          <w:rFonts w:ascii="Georgia" w:hAnsi="Georgia"/>
          <w:b/>
          <w:color w:val="122E3A"/>
          <w:sz w:val="28"/>
        </w:rPr>
        <w:t>RESUMEN EJECUTIVO</w:t>
      </w:r>
    </w:p>
    <w:p>
      <w:pPr>
        <w:spacing w:after="120" w:line="276" w:lineRule="auto"/>
      </w:pPr>
      <w:r>
        <w:t>El presente documento técnico establece el marco conceptual, taxonómico y regulatorio definitivo para la caracterización de las Comunidades Energéticas Locales (CEL) en Iberoamérica bajo los lineamientos de la Red RIPCEL. Partiendo de un diagnóstico riguroso del estado del arte, se argumenta que el escalamiento de estos sistemas descentralizados constituye prioritariamente un desafío de carácter institucional y organizativo, más que puramente tecnológico [i]. Mientras que la Unión Europea ha avanzado significativamente mediante la integración de mercados energéticos y la armonización de figuras jurídicas, las naciones iberoamericanas presentan trayectorias regulatorias experimentales y fragmentadas que exigen un marco unificado capaz de actuar como puente entre los nichos locales y los regímenes centralizados de distribución.</w:t>
      </w:r>
    </w:p>
    <w:p>
      <w:pPr>
        <w:spacing w:after="120" w:line="276" w:lineRule="auto"/>
      </w:pPr>
      <w:r>
        <w:t xml:space="preserve">A través de un enfoque interdisciplinario, este documento depura las redundancias de borradores previos sustituyendo transcripciones legislativas extensas por una matriz comparativa unificada de derecho comparado. Asimismo, subsana vacíos conceptuales históricos mediante tres aportes científicos críticos: en primer lugar, expande el triunvirato ético clásico de la Justicia Energética mediante la incorporación formal de la </w:t>
      </w:r>
      <w:r>
        <w:rPr>
          <w:i/>
        </w:rPr>
        <w:t>Justicia Restaurativa</w:t>
      </w:r>
      <w:r>
        <w:t xml:space="preserve"> como cuarto pilar indispensable para el Sur Global; en segundo lugar, redefine la clasificación de las comunidades adoptando la </w:t>
      </w:r>
      <w:r>
        <w:rPr>
          <w:i/>
        </w:rPr>
        <w:t>Taxonomía Tetradimensional Unificada de RIPCEL (2026)</w:t>
      </w:r>
      <w:r>
        <w:t>, vinculando cada eje a las funciones del Sistema de Innovación Tecnológica (TIS) [i]; y en tercer lugar, actualiza y blinda técnicamente el análisis normativo colombiano de acuerdo con la reciente Resolución CREG 101 072 de 2025 y los límites de la Resolución UPME 501 de 2024 [i]. Con ello, este reporte se consolida como una herramienta estratégica de política pública para la transición justa en Iberoamérica hacia 2026.</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360" w:after="160"/>
      </w:pPr>
      <w:r>
        <w:rPr>
          <w:rFonts w:ascii="Georgia" w:hAnsi="Georgia"/>
          <w:b/>
          <w:color w:val="122E3A"/>
          <w:sz w:val="28"/>
        </w:rPr>
        <w:t>CAPÍTULO 1: MARCO CONCEPTUAL DE LAS CEL Y EL PROSUMIDOR COLECTIVO</w:t>
      </w:r>
    </w:p>
    <w:p>
      <w:pPr>
        <w:spacing w:after="120" w:line="276" w:lineRule="auto"/>
      </w:pPr>
      <w:r>
        <w:t xml:space="preserve">La formulación de un marco conceptual consensuado para las Comunidades Energéticas Locales (CEL) exige una revisión crítica de la deriva semántica que el término ha experimentado en los últimos años. Como señala Bauwens et al. (2022) [ii], en su evaluación empírica de 183 definiciones de energía comunitaria a nivel global, existe una tensión latente y preocupante entre las nociones </w:t>
      </w:r>
      <w:r>
        <w:rPr>
          <w:i/>
        </w:rPr>
        <w:t>instrumentales</w:t>
      </w:r>
      <w:r>
        <w:t xml:space="preserve"> y las </w:t>
      </w:r>
      <w:r>
        <w:rPr>
          <w:i/>
        </w:rPr>
        <w:t>transformativas</w:t>
      </w:r>
      <w:r>
        <w:t xml:space="preserve"> del concepto. Las definiciones instrumentales, promovidas con frecuencia por los reguladores del mercado y los operadores de red convencionales, tienden a reducir a las CEL a meras unidades agregadoras de eficiencia económica, destinadas únicamente a optimizar los flujos de carga y a proveer servicios de flexibilidad a bajo costo para el sistema centralizado. Por el contrario, las definiciones transformativas conciben a las CEL como nichos socio-técnicos disruptivos cuyo propósito principal es descentralizar la propiedad de los activos de generación, democratizar la toma de decisiones y subvertir las asimetrías de poder del régimen oligopólico tradicional.</w:t>
      </w:r>
    </w:p>
    <w:p>
      <w:pPr>
        <w:spacing w:after="120" w:line="276" w:lineRule="auto"/>
      </w:pPr>
      <w:r>
        <w:t>Para blindar conceptualmente a la Red RIPCEL frente a la captura instrumental del mercado, este reporte adopta el marco bidimensional clásico formulado por Walker y Devine-Wright (2008). Este modelo metodológico evalúa las iniciativas de energía comunitaria a través de dos variables ortogonales:</w:t>
      </w:r>
    </w:p>
    <w:p>
      <w:pPr>
        <w:spacing w:after="80"/>
        <w:ind w:left="360"/>
      </w:pPr>
      <w:r>
        <w:rPr>
          <w:b/>
        </w:rPr>
        <w:t xml:space="preserve">1. </w:t>
      </w:r>
      <w:r>
        <w:t xml:space="preserve"> </w:t>
      </w:r>
      <w:r>
        <w:rPr>
          <w:b/>
        </w:rPr>
        <w:t>La Dimensión de Proceso:</w:t>
      </w:r>
      <w:r>
        <w:t xml:space="preserve"> Que interroga la estructura organizativa en términos de quién desarrolla, gestiona y ejerce el control efectivo del proyecto. Exige que el control sobre la toma de decisiones recaiga en actores locales (ciudadanos, cooperativas, pymes o municipios) bajo esquemas democráticos de gobernanza participativa.</w:t>
      </w:r>
    </w:p>
    <w:p>
      <w:pPr>
        <w:spacing w:after="80"/>
        <w:ind w:left="360"/>
      </w:pPr>
      <w:r>
        <w:rPr>
          <w:b/>
        </w:rPr>
        <w:t xml:space="preserve">2. </w:t>
      </w:r>
      <w:r>
        <w:t xml:space="preserve"> </w:t>
      </w:r>
      <w:r>
        <w:rPr>
          <w:b/>
        </w:rPr>
        <w:t>La Dimensión de Resultado:</w:t>
      </w:r>
      <w:r>
        <w:t xml:space="preserve"> Que analiza la distribución del valor generado por el sistema. Exige que los beneficios medioambientales, económicos y sociales se concentren y reinviertan localmente en el territorio donde opera el proyecto, en lugar de ser extraídos por inversionistas financieros no vinculados a la comunidad.</w:t>
      </w:r>
    </w:p>
    <w:p>
      <w:pPr>
        <w:spacing w:after="120" w:line="276" w:lineRule="auto"/>
      </w:pPr>
      <w:r>
        <w:t xml:space="preserve">La intersección de ambas dimensiones da origen al concepto del </w:t>
      </w:r>
      <w:r>
        <w:rPr>
          <w:i/>
        </w:rPr>
        <w:t>prosumidor colectivo</w:t>
      </w:r>
      <w:r>
        <w:t>, un sujeto social y tecnológico que trasciende la clásica figura individual del consumidor que instala paneles solares en su tejado. El prosumidor colectivo se constituye en un nicho de innovación socio-técnica que desafía la inercia del régimen energético fósil y centralizado, forzando la apertura de espacios de autogestión territorial e integración de recursos distribuidos.</w:t>
      </w:r>
    </w:p>
    <w:p>
      <w:pPr>
        <w:spacing w:after="120" w:line="276" w:lineRule="auto"/>
      </w:pPr>
      <w:r>
        <w:t>A partir de estas bases teóricas, la Red RIPCEL propone la siguiente definición binaria:</w:t>
      </w:r>
    </w:p>
    <w:p>
      <w:pPr>
        <w:pStyle w:val="ListBullet"/>
        <w:spacing w:after="60"/>
      </w:pPr>
      <w:r>
        <w:t xml:space="preserve">  </w:t>
      </w:r>
      <w:r>
        <w:rPr>
          <w:b/>
        </w:rPr>
        <w:t>Versión Corta (Divulgación y Política Pública):</w:t>
      </w:r>
      <w:r/>
    </w:p>
    <w:p>
      <w:pPr>
        <w:spacing w:after="120" w:line="276" w:lineRule="auto"/>
      </w:pPr>
      <w:r>
        <w:t>Una comunidad energética es una organización colectiva conformada por ciudadanos, instituciones locales, cooperativas o pequeñas empresas que se asocian de forma abierta y voluntaria para producir, gestionar, almacenar, consumir o compartir energía renovable. Su gobernanza es estrictamente democrática y participativa, y su fin primordial es generar beneficios sociales, ambientales y económicos localizados para el territorio y sus habitantes, subordinando la rentabilidad financiera a dichos objetivos colectivos.</w:t>
      </w:r>
    </w:p>
    <w:p>
      <w:pPr>
        <w:pStyle w:val="ListBullet"/>
        <w:spacing w:after="60"/>
      </w:pPr>
      <w:r>
        <w:t xml:space="preserve">  </w:t>
      </w:r>
      <w:r>
        <w:rPr>
          <w:b/>
        </w:rPr>
        <w:t>Versión Larga (Académica e Institucional):</w:t>
      </w:r>
      <w:r/>
    </w:p>
    <w:p>
      <w:pPr>
        <w:spacing w:after="120" w:line="276" w:lineRule="auto"/>
      </w:pPr>
      <w:r>
        <w:t>Una Comunidad Energética Local (CEL) es una entidad jurídica de base socio-territorial y de participación abierta, voluntaria y democrática de ciudadanos, cooperativas, autoridades locales y pequeñas empresas. Su propósito fundamental es empoderar a sus miembros como prosumidores colectivos mediante la autogestión de recursos renovables y la interconectividad bidireccional de tecnologías distribuidas. Concebida como un nicho de innovación frente a los regímenes centralizados, la CEL prioriza la autonomía política y organizativa frente a los actores comerciales dominantes, operando bajo un esquema de gobernanza donde la toma de decisiones no depende del capital aportado y cuyos excedentes se reinvierten obligatoriamente en el fortalecimiento de la resiliencia comunitaria, la soberanía energética territorial y la erradicación de la pobreza de los hogares vulnerables [i][ii].</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360" w:after="160"/>
      </w:pPr>
      <w:r>
        <w:rPr>
          <w:rFonts w:ascii="Georgia" w:hAnsi="Georgia"/>
          <w:b/>
          <w:color w:val="122E3A"/>
          <w:sz w:val="28"/>
        </w:rPr>
        <w:t>CAPÍTULO 2: LAS CUATRO DIMENSIONES DE LA JUSTICIA ENERGÉTICA EN EL SUR GLOBAL</w:t>
      </w:r>
    </w:p>
    <w:p>
      <w:pPr>
        <w:spacing w:after="120" w:line="276" w:lineRule="auto"/>
      </w:pPr>
      <w:r>
        <w:t>La conceptualización ética de las transiciones energéticas requiere marcos que interpreten las desigualdades estructurales del acceso y distribución del recurso. La literatura científica de la justicia energética se ha estructurado tradicionalmente en torno al triunvirato conceptual formulado por Jenkins et al. (2016). Este marco clásico identifica tres dimensiones clave:</w:t>
      </w:r>
    </w:p>
    <w:p>
      <w:pPr>
        <w:spacing w:after="80"/>
        <w:ind w:left="360"/>
      </w:pPr>
      <w:r>
        <w:rPr>
          <w:b/>
        </w:rPr>
        <w:t xml:space="preserve">1. </w:t>
      </w:r>
      <w:r>
        <w:t xml:space="preserve"> </w:t>
      </w:r>
      <w:r>
        <w:rPr>
          <w:b/>
        </w:rPr>
        <w:t>Justicia Distributiva:</w:t>
      </w:r>
      <w:r>
        <w:t xml:space="preserve"> Centrada en la equidad en el reparto de las cargas físicas (contaminación, externalidades, costos de red) y los beneficios sustantivos (electricidad asequible, empleo local, aire limpio) derivados de los sistemas energéticos entre diferentes grupos sociales y regiones.</w:t>
      </w:r>
    </w:p>
    <w:p>
      <w:pPr>
        <w:spacing w:after="80"/>
        <w:ind w:left="360"/>
      </w:pPr>
      <w:r>
        <w:rPr>
          <w:b/>
        </w:rPr>
        <w:t xml:space="preserve">2. </w:t>
      </w:r>
      <w:r>
        <w:t xml:space="preserve"> </w:t>
      </w:r>
      <w:r>
        <w:rPr>
          <w:b/>
        </w:rPr>
        <w:t>Justicia Procedimental:</w:t>
      </w:r>
      <w:r>
        <w:t xml:space="preserve"> Enfocada en la transparencia, representatividad y participación sustantiva de las comunidades afectadas en los procesos de toma de decisiones políticas y regulatorias, rechazando los mecanismos de socialización meramente simbólicos o unilaterales.</w:t>
      </w:r>
    </w:p>
    <w:p>
      <w:pPr>
        <w:spacing w:after="80"/>
        <w:ind w:left="360"/>
      </w:pPr>
      <w:r>
        <w:rPr>
          <w:b/>
        </w:rPr>
        <w:t xml:space="preserve">3. </w:t>
      </w:r>
      <w:r>
        <w:t xml:space="preserve"> </w:t>
      </w:r>
      <w:r>
        <w:rPr>
          <w:b/>
        </w:rPr>
        <w:t>Justicia de Reconocimiento:</w:t>
      </w:r>
      <w:r>
        <w:t xml:space="preserve"> Que demanda la visibilización, respeto y salvaguarda de las identidades, culturas y necesidades específicas de los grupos marginados, previniendo su exclusión activa de los beneficios de los nuevos desarrollos tecnológicos.</w:t>
      </w:r>
    </w:p>
    <w:p>
      <w:pPr>
        <w:spacing w:after="120" w:line="276" w:lineRule="auto"/>
      </w:pPr>
      <w:r>
        <w:t>Si bien este triunvirato resulta robusto para analizar transiciones en economías avanzadas del Norte Global, resulta insuficiente cuando se aplica a los contextos de América Latina y otras regiones del Sur Global. En estos territorios, el despliegue de grandes proyectos de infraestructura renovable (como los parques eólicos a gran escala en La Guajira colombiana o los desarrollos solares en regiones agrícolas) a menudo reproduce las lógicas de enclave colonialista y despojo territorial.</w:t>
      </w:r>
    </w:p>
    <w:p>
      <w:pPr>
        <w:spacing w:after="120" w:line="276" w:lineRule="auto"/>
      </w:pPr>
      <w:r>
        <w:t xml:space="preserve">Por esta razón, el Consorcio de Investigación RIPCEL (2026) adopta y formaliza la </w:t>
      </w:r>
      <w:r>
        <w:rPr>
          <w:b/>
        </w:rPr>
        <w:t>Justicia Restaurativa</w:t>
      </w:r>
      <w:r>
        <w:t xml:space="preserve"> como el indispensable cuarto pilar del marco ético regional. La justicia restaurativa parte del reconocimiento de que las presiones del </w:t>
      </w:r>
      <w:r>
        <w:rPr>
          <w:i/>
        </w:rPr>
        <w:t>panorama</w:t>
      </w:r>
      <w:r>
        <w:t xml:space="preserve"> socio-técnico (tales como la crisis climática y la desigualdad económica estructural) golpean de forma asimétrica a poblaciones con capacidades institucionales históricamente desiguales y en marcos estatales frágiles [i].</w:t>
      </w:r>
    </w:p>
    <w:p>
      <w:pPr>
        <w:spacing w:after="120" w:line="276" w:lineRule="auto"/>
      </w:pPr>
      <w:r>
        <w:t>Bajo la perspectiva de la Perspectiva Multi-Nivel (MLP), la justicia restaurativa actúa como el mecanismo que permite al nicho comunitario resistir, sanar y remediar de forma proactiva las deudas históricas, pasivos ambientales e injusticias espaciales provocadas por los modelos extractivistas tradicionales. No se limita a mitigar daños futuros, sino que exige la reinversion del valor local, el codesarrollo tecnológico y la cesión de la propiedad de los activos para reparar el tejido social y ecológico fracturado por la explotación fósil y la exclusión de los servicios básicos. Así, la CEL se convierte en un vehículo de reparación histórica y emancipación social, transformando la energía de una mercancía disputada a un bien común democratizado.</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360" w:after="160"/>
      </w:pPr>
      <w:r>
        <w:rPr>
          <w:rFonts w:ascii="Georgia" w:hAnsi="Georgia"/>
          <w:b/>
          <w:color w:val="122E3A"/>
          <w:sz w:val="28"/>
        </w:rPr>
        <w:t>CAPÍTULO 3: TAXONOMÍA Y CLASIFICACIÓN DE LAS CEL SEGÚN EL MARCO TIS</w:t>
      </w:r>
    </w:p>
    <w:p>
      <w:pPr>
        <w:spacing w:after="120" w:line="276" w:lineRule="auto"/>
      </w:pPr>
      <w:r>
        <w:t xml:space="preserve">Para evaluar el nivel de madurez e impacto real de las Comunidades Energéticas Locales en Iberoamérica, el Observatorio RIPCEL (2026) ha desarrollado y adoptado la </w:t>
      </w:r>
      <w:r>
        <w:rPr>
          <w:i/>
        </w:rPr>
        <w:t>Taxonomía Tetradimensional Unificada</w:t>
      </w:r>
      <w:r>
        <w:t xml:space="preserve">. Esta taxonomía reemplaza las clasificaciones geográficas preliminares, vinculando de forma directa cada dimensión de evaluación con las funciones fundamentales del </w:t>
      </w:r>
      <w:r>
        <w:rPr>
          <w:b/>
        </w:rPr>
        <w:t>Sistema de Innovación Tecnológica (TIS)</w:t>
      </w:r>
      <w:r>
        <w:t xml:space="preserve"> de acuerdo con el marco analítico de Polanco y García-Martínez (2026) [i]. Este mapeo permite identificar no solo las características técnicas de cada proyecto, sino también las palancas críticas y cuellos de botella para su escalamiento institucional.</w:t>
      </w:r>
    </w:p>
    <w:p>
      <w:pPr>
        <w:spacing w:before="80" w:after="80"/>
        <w:ind w:left="720"/>
      </w:pPr>
      <w:r>
        <w:rPr>
          <w:rFonts w:ascii="Consolas" w:hAnsi="Consolas"/>
          <w:color w:val="374151"/>
          <w:sz w:val="17"/>
        </w:rPr>
        <w:t xml:space="preserve">                  ┌──────────────────────────────────────────┐</w:t>
      </w:r>
    </w:p>
    <w:p>
      <w:pPr>
        <w:spacing w:before="80" w:after="80"/>
        <w:ind w:left="720"/>
      </w:pPr>
      <w:r>
        <w:rPr>
          <w:rFonts w:ascii="Consolas" w:hAnsi="Consolas"/>
          <w:color w:val="374151"/>
          <w:sz w:val="17"/>
        </w:rPr>
        <w:t xml:space="preserve">                  │      TAXONOMÍA TETRADIMENSIONAL          │</w:t>
      </w:r>
    </w:p>
    <w:p>
      <w:pPr>
        <w:spacing w:before="80" w:after="80"/>
        <w:ind w:left="720"/>
      </w:pPr>
      <w:r>
        <w:rPr>
          <w:rFonts w:ascii="Consolas" w:hAnsi="Consolas"/>
          <w:color w:val="374151"/>
          <w:sz w:val="17"/>
        </w:rPr>
        <w:t xml:space="preserve">                  │             RIPCEL (2026)                │</w:t>
      </w:r>
    </w:p>
    <w:p>
      <w:pPr>
        <w:spacing w:before="80" w:after="80"/>
        <w:ind w:left="720"/>
      </w:pPr>
      <w:r>
        <w:rPr>
          <w:rFonts w:ascii="Consolas" w:hAnsi="Consolas"/>
          <w:color w:val="374151"/>
          <w:sz w:val="17"/>
        </w:rPr>
        <w:t xml:space="preserve">                  └────────────────────┬─────────────────────┘</w:t>
      </w:r>
    </w:p>
    <w:p>
      <w:pPr>
        <w:spacing w:before="80" w:after="80"/>
        <w:ind w:left="720"/>
      </w:pPr>
      <w:r>
        <w:rPr>
          <w:rFonts w:ascii="Consolas" w:hAnsi="Consolas"/>
          <w:color w:val="374151"/>
          <w:sz w:val="17"/>
        </w:rPr>
        <w:t xml:space="preserve">                                       │</w:t>
      </w:r>
    </w:p>
    <w:p>
      <w:pPr>
        <w:spacing w:before="80" w:after="80"/>
        <w:ind w:left="720"/>
      </w:pPr>
      <w:r>
        <w:rPr>
          <w:rFonts w:ascii="Consolas" w:hAnsi="Consolas"/>
          <w:color w:val="374151"/>
          <w:sz w:val="17"/>
        </w:rPr>
        <w:t xml:space="preserve">         ┌───────────────────┬─────────┴─────────┬───────────────────┐</w:t>
      </w:r>
    </w:p>
    <w:p>
      <w:pPr>
        <w:spacing w:after="120" w:line="276" w:lineRule="auto"/>
      </w:pPr>
      <w:r>
        <w:t>▼                   ▼                   ▼                   ▼</w:t>
      </w:r>
    </w:p>
    <w:p>
      <w:pPr>
        <w:spacing w:before="80" w:after="80"/>
        <w:ind w:left="720"/>
      </w:pPr>
      <w:r>
        <w:rPr>
          <w:rFonts w:ascii="Consolas" w:hAnsi="Consolas"/>
          <w:color w:val="374151"/>
          <w:sz w:val="17"/>
        </w:rPr>
        <w:t>┌─────────────────┐ ┌─────────────────┐ ┌─────────────────┐ ┌─────────────────┐</w:t>
      </w:r>
    </w:p>
    <w:p>
      <w:pPr>
        <w:spacing w:before="80" w:after="80"/>
        <w:ind w:left="720"/>
      </w:pPr>
      <w:r>
        <w:rPr>
          <w:rFonts w:ascii="Consolas" w:hAnsi="Consolas"/>
          <w:color w:val="374151"/>
          <w:sz w:val="17"/>
        </w:rPr>
        <w:t>│   TECNOLÓGICA   │ │   GOBERNANZA    │ │   REGULATORIA   │ │  APROPIACIÓN S. │</w:t>
      </w:r>
    </w:p>
    <w:p>
      <w:pPr>
        <w:spacing w:before="80" w:after="80"/>
        <w:ind w:left="720"/>
      </w:pPr>
      <w:r>
        <w:rPr>
          <w:rFonts w:ascii="Consolas" w:hAnsi="Consolas"/>
          <w:color w:val="374151"/>
          <w:sz w:val="17"/>
        </w:rPr>
        <w:t>│      (TE)       │ │      (GO)       │ │      (RF)       │ │      (AS)       │</w:t>
      </w:r>
    </w:p>
    <w:p>
      <w:pPr>
        <w:spacing w:after="120" w:line="276" w:lineRule="auto"/>
      </w:pPr>
      <w:r>
        <w:t>├─────────────────┤ ├─────────────────┤ ├─────────────────┤ ├─────────────────┤</w:t>
      </w:r>
    </w:p>
    <w:p>
      <w:pPr>
        <w:spacing w:before="80" w:after="80"/>
        <w:ind w:left="720"/>
      </w:pPr>
      <w:r>
        <w:rPr>
          <w:rFonts w:ascii="Consolas" w:hAnsi="Consolas"/>
          <w:color w:val="374151"/>
          <w:sz w:val="17"/>
        </w:rPr>
        <w:t>│ Función TIS:    │ │ Función TIS:    │ │ Función TIS:    │ │ Función TIS:    │</w:t>
      </w:r>
    </w:p>
    <w:p>
      <w:pPr>
        <w:spacing w:before="80" w:after="80"/>
        <w:ind w:left="720"/>
      </w:pPr>
      <w:r>
        <w:rPr>
          <w:rFonts w:ascii="Consolas" w:hAnsi="Consolas"/>
          <w:color w:val="374151"/>
          <w:sz w:val="17"/>
        </w:rPr>
        <w:t>│ Experimentación │ │ Legitimación    │ │ Formación de    │ │ Movilización de │</w:t>
      </w:r>
    </w:p>
    <w:p>
      <w:pPr>
        <w:spacing w:before="80" w:after="80"/>
        <w:ind w:left="720"/>
      </w:pPr>
      <w:r>
        <w:rPr>
          <w:rFonts w:ascii="Consolas" w:hAnsi="Consolas"/>
          <w:color w:val="374151"/>
          <w:sz w:val="17"/>
        </w:rPr>
        <w:t>│ de Nicho        │ │ Social/Política │ │ Mercado         │ │ Recursos/Trust  │</w:t>
      </w:r>
    </w:p>
    <w:p>
      <w:pPr>
        <w:spacing w:before="80" w:after="80"/>
        <w:ind w:left="720"/>
      </w:pPr>
      <w:r>
        <w:rPr>
          <w:rFonts w:ascii="Consolas" w:hAnsi="Consolas"/>
          <w:color w:val="374151"/>
          <w:sz w:val="17"/>
        </w:rPr>
        <w:t>└─────────────────┘ └─────────────────┘ └─────────────────┘ └─────────────────┘</w:t>
      </w:r>
    </w:p>
    <w:p>
      <w:pPr>
        <w:keepNext/>
        <w:spacing w:before="280" w:after="120"/>
      </w:pPr>
      <w:r>
        <w:rPr>
          <w:rFonts w:ascii="Georgia" w:hAnsi="Georgia"/>
          <w:b/>
          <w:color w:val="3C8EAF"/>
          <w:sz w:val="24"/>
        </w:rPr>
        <w:t>1. Dimensión Tecnológica (TE) y la Función de Experimentación (TIS)</w:t>
      </w:r>
    </w:p>
    <w:p>
      <w:pPr>
        <w:spacing w:after="120" w:line="276" w:lineRule="auto"/>
      </w:pPr>
      <w:r>
        <w:t xml:space="preserve">Se enfoca en clasificar la infraestructura física de generación distribuida, almacenamiento y control inteligente de energía. En el marco TIS, esta dimensión evalúa la función de </w:t>
      </w:r>
      <w:r>
        <w:rPr>
          <w:b/>
        </w:rPr>
        <w:t>Experimentación de Nicho</w:t>
      </w:r>
      <w:r>
        <w:t xml:space="preserve"> mediante pruebas piloto locales (por ejemplo, microgeneración fotovoltaica, baterías descentralizadas, minihidráulica o biomasa). El objetivo técnico es analizar la integración local de recursos energéticos distribuidos (DER) y la madurez de los sistemas informáticos de monitoreo y telemetría (como SCADA o EMS básicos) que permiten la operación de microrredes en modo isla.</w:t>
      </w:r>
    </w:p>
    <w:p>
      <w:pPr>
        <w:keepNext/>
        <w:spacing w:before="280" w:after="120"/>
      </w:pPr>
      <w:r>
        <w:rPr>
          <w:rFonts w:ascii="Georgia" w:hAnsi="Georgia"/>
          <w:b/>
          <w:color w:val="3C8EAF"/>
          <w:sz w:val="24"/>
        </w:rPr>
        <w:t>2. Dimensión de Gobernanza (GO) y la Función de Legitimación (TIS)</w:t>
      </w:r>
    </w:p>
    <w:p>
      <w:pPr>
        <w:spacing w:after="120" w:line="276" w:lineRule="auto"/>
      </w:pPr>
      <w:r>
        <w:t xml:space="preserve">Examina la estructura organizativa, el modelo de propiedad jurídica (cooperativas, asociaciones o resguardos indígenas) y los mecanismos internos de toma de decisiones. Esta dimensión se corresponde con la función de </w:t>
      </w:r>
      <w:r>
        <w:rPr>
          <w:b/>
        </w:rPr>
        <w:t>Legitimación Social y Política</w:t>
      </w:r>
      <w:r>
        <w:t xml:space="preserve"> del TIS. Evalúa la capacidad de las CEL para construir coaliciones de actores, garantizar el control democrático real mediante el principio cooperativo de un miembro, un voto (frente a esquemas corporativos de voto ponderado por capital) y consolidar protocolos transparentes para la rendición de cuentas, la alternancia de liderazgos y la resolución interna de conflictos vecinales.</w:t>
      </w:r>
    </w:p>
    <w:p>
      <w:pPr>
        <w:keepNext/>
        <w:spacing w:before="280" w:after="120"/>
      </w:pPr>
      <w:r>
        <w:rPr>
          <w:rFonts w:ascii="Georgia" w:hAnsi="Georgia"/>
          <w:b/>
          <w:color w:val="3C8EAF"/>
          <w:sz w:val="24"/>
        </w:rPr>
        <w:t>3. Dimensión Regulatoria y Financiera (RF) y la Función de Formación de Mercado (TIS)</w:t>
      </w:r>
    </w:p>
    <w:p>
      <w:pPr>
        <w:spacing w:after="120" w:line="276" w:lineRule="auto"/>
      </w:pPr>
      <w:r>
        <w:t xml:space="preserve">Analiza la articulación legal de las comunidades con el operador de red y los esquemas comerciales para viabilizar la inversión. Se vincula con la función de </w:t>
      </w:r>
      <w:r>
        <w:rPr>
          <w:b/>
        </w:rPr>
        <w:t>Formación de Mercado</w:t>
      </w:r>
      <w:r>
        <w:t xml:space="preserve"> del TIS, evaluando si existen incentivos regulatorios habilitadores, subsidios no reembolsables, mecanismos de financiamiento participativo (como crowdfunding) o esquemas de compensación horaria de excedentes (net billing / net metering). Esta dimensión investiga las barreras críticas para el acceso a la red pública de distribución (DSO) y la estabilidad de las reglas de compensación frente a los intereses comerciales del régimen centralizado [i].</w:t>
      </w:r>
    </w:p>
    <w:p>
      <w:pPr>
        <w:keepNext/>
        <w:spacing w:before="280" w:after="120"/>
      </w:pPr>
      <w:r>
        <w:rPr>
          <w:rFonts w:ascii="Georgia" w:hAnsi="Georgia"/>
          <w:b/>
          <w:color w:val="3C8EAF"/>
          <w:sz w:val="24"/>
        </w:rPr>
        <w:t>4. Dimensión de Apropiación Social y Justicia (AS) y la Función de Movilización de Recursos (TIS)</w:t>
      </w:r>
    </w:p>
    <w:p>
      <w:pPr>
        <w:spacing w:after="120" w:line="276" w:lineRule="auto"/>
      </w:pPr>
      <w:r>
        <w:t xml:space="preserve">Evalúa el empoderamiento colectivo, el nivel de alfabetización energética popular y la justicia redistributiva del proyecto. Se correlaciona con la función de </w:t>
      </w:r>
      <w:r>
        <w:rPr>
          <w:b/>
        </w:rPr>
        <w:t>Movilización de Recursos</w:t>
      </w:r>
      <w:r>
        <w:t xml:space="preserve"> del TIS (desarrollo de capital humano calificado y generación de confianza comunitaria o </w:t>
      </w:r>
      <w:r>
        <w:rPr>
          <w:i/>
        </w:rPr>
        <w:t>social trust</w:t>
      </w:r>
      <w:r>
        <w:t>). Analiza la capacidad de la CEL para activar dinámicas de codiseño tecnológico participativo, incorporar el factor de género en la junta directiva y erradicar la pobreza energética local mediante subsidios solidarios cruzados y redistribución de excedentes a hogares vulnerables [i].</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360" w:after="160"/>
      </w:pPr>
      <w:r>
        <w:rPr>
          <w:rFonts w:ascii="Georgia" w:hAnsi="Georgia"/>
          <w:b/>
          <w:color w:val="122E3A"/>
          <w:sz w:val="28"/>
        </w:rPr>
        <w:t>CAPÍTULO 4: ANÁLISIS REGULATORIO COMPARADO EN IBEROAMÉRICA</w:t>
      </w:r>
    </w:p>
    <w:p>
      <w:pPr>
        <w:spacing w:after="120" w:line="276" w:lineRule="auto"/>
      </w:pPr>
      <w:r>
        <w:t>El estudio de derecho comparado al interior de la Red RIPCEL revela una asimetría estructural entre la madurez de los marcos regulatorios de la Unión Europea y el carácter experimental y fragmentado de los modelos en América Latina. Esta brecha ha sido caracterizada por Polanco y García-Martínez (2026) [i], destacando que mientras los marcos europeos han avanzado hacia esquemas sofisticados de autoconsumo colectivo virtual, América Latina enfrenta debilidades en el monitoreo del mercado y un bajo despliegue de infraestructura de medición inteligente.</w:t>
      </w:r>
    </w:p>
    <w:p>
      <w:pPr>
        <w:spacing w:after="120" w:line="276" w:lineRule="auto"/>
      </w:pPr>
      <w:r>
        <w:t>Para evitar transcripciones literales de leyes redundantes y agilizar el análisis, se ha consolidado el estado de la técnica regulatorio en la siguiente matriz comparativa unificada, identificando los cuellos de botella críticos bajo el enfoque TIS: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A5C"/>
            <w:tcMar>
              <w:top w:w="120" w:type="dxa"/>
              <w:bottom w:w="120" w:type="dxa"/>
              <w:left w:w="150" w:type="dxa"/>
              <w:right w:w="150" w:type="dxa"/>
            </w:tcMar>
          </w:tcPr>
          <w:p>
            <w:pPr>
              <w:jc w:val="center"/>
            </w:pPr>
            <w:r>
              <w:rPr>
                <w:rFonts w:ascii="Georgia" w:hAnsi="Georgia"/>
                <w:b/>
                <w:color w:val="FFFFFF"/>
                <w:sz w:val="20"/>
              </w:rPr>
              <w:t>País</w:t>
            </w:r>
          </w:p>
        </w:tc>
        <w:tc>
          <w:tcPr>
            <w:tcW w:type="dxa" w:w="1872"/>
            <w:shd w:fill="1F4A5C"/>
            <w:tcMar>
              <w:top w:w="120" w:type="dxa"/>
              <w:bottom w:w="120" w:type="dxa"/>
              <w:left w:w="150" w:type="dxa"/>
              <w:right w:w="150" w:type="dxa"/>
            </w:tcMar>
          </w:tcPr>
          <w:p>
            <w:pPr>
              <w:jc w:val="center"/>
            </w:pPr>
            <w:r>
              <w:rPr>
                <w:rFonts w:ascii="Georgia" w:hAnsi="Georgia"/>
                <w:b/>
                <w:color w:val="FFFFFF"/>
                <w:sz w:val="20"/>
              </w:rPr>
              <w:t>Instrumento Legal Principal</w:t>
            </w:r>
          </w:p>
        </w:tc>
        <w:tc>
          <w:tcPr>
            <w:tcW w:type="dxa" w:w="1872"/>
            <w:shd w:fill="1F4A5C"/>
            <w:tcMar>
              <w:top w:w="120" w:type="dxa"/>
              <w:bottom w:w="120" w:type="dxa"/>
              <w:left w:w="150" w:type="dxa"/>
              <w:right w:w="150" w:type="dxa"/>
            </w:tcMar>
          </w:tcPr>
          <w:p>
            <w:pPr>
              <w:jc w:val="center"/>
            </w:pPr>
            <w:r>
              <w:rPr>
                <w:rFonts w:ascii="Georgia" w:hAnsi="Georgia"/>
                <w:b/>
                <w:color w:val="FFFFFF"/>
                <w:sz w:val="20"/>
              </w:rPr>
              <w:t>Límite de Capacidad</w:t>
            </w:r>
          </w:p>
        </w:tc>
        <w:tc>
          <w:tcPr>
            <w:tcW w:type="dxa" w:w="1872"/>
            <w:shd w:fill="1F4A5C"/>
            <w:tcMar>
              <w:top w:w="120" w:type="dxa"/>
              <w:bottom w:w="120" w:type="dxa"/>
              <w:left w:w="150" w:type="dxa"/>
              <w:right w:w="150" w:type="dxa"/>
            </w:tcMar>
          </w:tcPr>
          <w:p>
            <w:pPr>
              <w:jc w:val="center"/>
            </w:pPr>
            <w:r>
              <w:rPr>
                <w:rFonts w:ascii="Georgia" w:hAnsi="Georgia"/>
                <w:b/>
                <w:color w:val="FFFFFF"/>
                <w:sz w:val="20"/>
              </w:rPr>
              <w:t>Mecanismo de Compensación</w:t>
            </w:r>
          </w:p>
        </w:tc>
        <w:tc>
          <w:tcPr>
            <w:tcW w:type="dxa" w:w="1872"/>
            <w:shd w:fill="1F4A5C"/>
            <w:tcMar>
              <w:top w:w="120" w:type="dxa"/>
              <w:bottom w:w="120" w:type="dxa"/>
              <w:left w:w="150" w:type="dxa"/>
              <w:right w:w="150" w:type="dxa"/>
            </w:tcMar>
          </w:tcPr>
          <w:p>
            <w:pPr>
              <w:jc w:val="center"/>
            </w:pPr>
            <w:r>
              <w:rPr>
                <w:rFonts w:ascii="Georgia" w:hAnsi="Georgia"/>
                <w:b/>
                <w:color w:val="FFFFFF"/>
                <w:sz w:val="20"/>
              </w:rPr>
              <w:t>Cuello de Botella TIS (Bottlenecks)</w:t>
            </w:r>
          </w:p>
        </w:tc>
      </w:tr>
      <w:tr>
        <w:tc>
          <w:tcPr>
            <w:tcW w:type="dxa" w:w="1872"/>
            <w:shd w:fill="FFFFFF"/>
            <w:tcMar>
              <w:top w:w="100" w:type="dxa"/>
              <w:bottom w:w="100" w:type="dxa"/>
              <w:left w:w="150" w:type="dxa"/>
              <w:right w:w="150" w:type="dxa"/>
            </w:tcMar>
          </w:tcPr>
          <w:p>
            <w:r>
              <w:t>:---</w:t>
            </w:r>
          </w:p>
        </w:tc>
        <w:tc>
          <w:tcPr>
            <w:tcW w:type="dxa" w:w="1872"/>
            <w:shd w:fill="FFFFFF"/>
            <w:tcMar>
              <w:top w:w="100" w:type="dxa"/>
              <w:bottom w:w="100" w:type="dxa"/>
              <w:left w:w="150" w:type="dxa"/>
              <w:right w:w="150" w:type="dxa"/>
            </w:tcMar>
          </w:tcPr>
          <w:p>
            <w:r>
              <w:t>:---</w:t>
            </w:r>
          </w:p>
        </w:tc>
        <w:tc>
          <w:tcPr>
            <w:tcW w:type="dxa" w:w="1872"/>
            <w:shd w:fill="FFFFFF"/>
            <w:tcMar>
              <w:top w:w="100" w:type="dxa"/>
              <w:bottom w:w="100" w:type="dxa"/>
              <w:left w:w="150" w:type="dxa"/>
              <w:right w:w="150" w:type="dxa"/>
            </w:tcMar>
          </w:tcPr>
          <w:p>
            <w:r>
              <w:t>:---</w:t>
            </w:r>
          </w:p>
        </w:tc>
        <w:tc>
          <w:tcPr>
            <w:tcW w:type="dxa" w:w="1872"/>
            <w:shd w:fill="FFFFFF"/>
            <w:tcMar>
              <w:top w:w="100" w:type="dxa"/>
              <w:bottom w:w="100" w:type="dxa"/>
              <w:left w:w="150" w:type="dxa"/>
              <w:right w:w="150" w:type="dxa"/>
            </w:tcMar>
          </w:tcPr>
          <w:p>
            <w:r>
              <w:t>:---</w:t>
            </w:r>
          </w:p>
        </w:tc>
        <w:tc>
          <w:tcPr>
            <w:tcW w:type="dxa" w:w="1872"/>
            <w:shd w:fill="FFFFFF"/>
            <w:tcMar>
              <w:top w:w="100" w:type="dxa"/>
              <w:bottom w:w="100" w:type="dxa"/>
              <w:left w:w="150" w:type="dxa"/>
              <w:right w:w="150" w:type="dxa"/>
            </w:tcMar>
          </w:tcPr>
          <w:p>
            <w:r>
              <w:t>:---</w:t>
            </w:r>
          </w:p>
        </w:tc>
      </w:tr>
      <w:tr>
        <w:tc>
          <w:tcPr>
            <w:tcW w:type="dxa" w:w="1872"/>
            <w:shd w:fill="F3F4F6"/>
            <w:tcMar>
              <w:top w:w="100" w:type="dxa"/>
              <w:bottom w:w="100" w:type="dxa"/>
              <w:left w:w="150" w:type="dxa"/>
              <w:right w:w="150" w:type="dxa"/>
            </w:tcMar>
          </w:tcPr>
          <w:p>
            <w:r/>
            <w:r>
              <w:rPr>
                <w:b/>
              </w:rPr>
              <w:t>España</w:t>
            </w:r>
            <w:r/>
          </w:p>
        </w:tc>
        <w:tc>
          <w:tcPr>
            <w:tcW w:type="dxa" w:w="1872"/>
            <w:shd w:fill="F3F4F6"/>
            <w:tcMar>
              <w:top w:w="100" w:type="dxa"/>
              <w:bottom w:w="100" w:type="dxa"/>
              <w:left w:w="150" w:type="dxa"/>
              <w:right w:w="150" w:type="dxa"/>
            </w:tcMar>
          </w:tcPr>
          <w:p>
            <w:r>
              <w:t>Real Decreto-ley 23/2020 / RD 244/2019 [i]</w:t>
            </w:r>
          </w:p>
        </w:tc>
        <w:tc>
          <w:tcPr>
            <w:tcW w:type="dxa" w:w="1872"/>
            <w:shd w:fill="F3F4F6"/>
            <w:tcMar>
              <w:top w:w="100" w:type="dxa"/>
              <w:bottom w:w="100" w:type="dxa"/>
              <w:left w:w="150" w:type="dxa"/>
              <w:right w:w="150" w:type="dxa"/>
            </w:tcMar>
          </w:tcPr>
          <w:p>
            <w:r>
              <w:t>Sin límite explícito (fijado por conexión)</w:t>
            </w:r>
          </w:p>
        </w:tc>
        <w:tc>
          <w:tcPr>
            <w:tcW w:type="dxa" w:w="1872"/>
            <w:shd w:fill="F3F4F6"/>
            <w:tcMar>
              <w:top w:w="100" w:type="dxa"/>
              <w:bottom w:w="100" w:type="dxa"/>
              <w:left w:w="150" w:type="dxa"/>
              <w:right w:w="150" w:type="dxa"/>
            </w:tcMar>
          </w:tcPr>
          <w:p>
            <w:r>
              <w:t>Autoconsumo colectivo (compensación simplificada)</w:t>
            </w:r>
          </w:p>
        </w:tc>
        <w:tc>
          <w:tcPr>
            <w:tcW w:type="dxa" w:w="1872"/>
            <w:shd w:fill="F3F4F6"/>
            <w:tcMar>
              <w:top w:w="100" w:type="dxa"/>
              <w:bottom w:w="100" w:type="dxa"/>
              <w:left w:w="150" w:type="dxa"/>
              <w:right w:w="150" w:type="dxa"/>
            </w:tcMar>
          </w:tcPr>
          <w:p>
            <w:r/>
            <w:r>
              <w:rPr>
                <w:b/>
              </w:rPr>
              <w:t>Fragmentación administrativa:</w:t>
            </w:r>
            <w:r>
              <w:t xml:space="preserve"> Excesiva demora y trabas burocráticas impuestas por las distribuidoras para activar coeficientes de reparto dinámicos [i].</w:t>
            </w:r>
          </w:p>
        </w:tc>
      </w:tr>
      <w:tr>
        <w:tc>
          <w:tcPr>
            <w:tcW w:type="dxa" w:w="1872"/>
            <w:shd w:fill="FFFFFF"/>
            <w:tcMar>
              <w:top w:w="100" w:type="dxa"/>
              <w:bottom w:w="100" w:type="dxa"/>
              <w:left w:w="150" w:type="dxa"/>
              <w:right w:w="150" w:type="dxa"/>
            </w:tcMar>
          </w:tcPr>
          <w:p>
            <w:r/>
            <w:r>
              <w:rPr>
                <w:b/>
              </w:rPr>
              <w:t>Portugal</w:t>
            </w:r>
            <w:r/>
          </w:p>
        </w:tc>
        <w:tc>
          <w:tcPr>
            <w:tcW w:type="dxa" w:w="1872"/>
            <w:shd w:fill="FFFFFF"/>
            <w:tcMar>
              <w:top w:w="100" w:type="dxa"/>
              <w:bottom w:w="100" w:type="dxa"/>
              <w:left w:w="150" w:type="dxa"/>
              <w:right w:w="150" w:type="dxa"/>
            </w:tcMar>
          </w:tcPr>
          <w:p>
            <w:r>
              <w:t>Decreto-Lei 15/2022 / Decreto-Lei 99/2024 [i]</w:t>
            </w:r>
          </w:p>
        </w:tc>
        <w:tc>
          <w:tcPr>
            <w:tcW w:type="dxa" w:w="1872"/>
            <w:shd w:fill="FFFFFF"/>
            <w:tcMar>
              <w:top w:w="100" w:type="dxa"/>
              <w:bottom w:w="100" w:type="dxa"/>
              <w:left w:w="150" w:type="dxa"/>
              <w:right w:w="150" w:type="dxa"/>
            </w:tcMar>
          </w:tcPr>
          <w:p>
            <w:r>
              <w:t>Sin límite de capacidad</w:t>
            </w:r>
          </w:p>
        </w:tc>
        <w:tc>
          <w:tcPr>
            <w:tcW w:type="dxa" w:w="1872"/>
            <w:shd w:fill="FFFFFF"/>
            <w:tcMar>
              <w:top w:w="100" w:type="dxa"/>
              <w:bottom w:w="100" w:type="dxa"/>
              <w:left w:w="150" w:type="dxa"/>
              <w:right w:w="150" w:type="dxa"/>
            </w:tcMar>
          </w:tcPr>
          <w:p>
            <w:r>
              <w:t>Compartición de energía local y venta de excedentes en mercado</w:t>
            </w:r>
          </w:p>
        </w:tc>
        <w:tc>
          <w:tcPr>
            <w:tcW w:type="dxa" w:w="1872"/>
            <w:shd w:fill="FFFFFF"/>
            <w:tcMar>
              <w:top w:w="100" w:type="dxa"/>
              <w:bottom w:w="100" w:type="dxa"/>
              <w:left w:w="150" w:type="dxa"/>
              <w:right w:w="150" w:type="dxa"/>
            </w:tcMar>
          </w:tcPr>
          <w:p>
            <w:r/>
            <w:r>
              <w:rPr>
                <w:b/>
              </w:rPr>
              <w:t>Asimetría de información:</w:t>
            </w:r>
            <w:r>
              <w:t xml:space="preserve"> Monopolio de datos del DSO y retraso severo en la transposición efectiva del autoconsumo virtual.</w:t>
            </w:r>
          </w:p>
        </w:tc>
      </w:tr>
      <w:tr>
        <w:tc>
          <w:tcPr>
            <w:tcW w:type="dxa" w:w="1872"/>
            <w:shd w:fill="F3F4F6"/>
            <w:tcMar>
              <w:top w:w="100" w:type="dxa"/>
              <w:bottom w:w="100" w:type="dxa"/>
              <w:left w:w="150" w:type="dxa"/>
              <w:right w:w="150" w:type="dxa"/>
            </w:tcMar>
          </w:tcPr>
          <w:p>
            <w:r/>
            <w:r>
              <w:rPr>
                <w:b/>
              </w:rPr>
              <w:t>Colombia</w:t>
            </w:r>
            <w:r/>
          </w:p>
        </w:tc>
        <w:tc>
          <w:tcPr>
            <w:tcW w:type="dxa" w:w="1872"/>
            <w:shd w:fill="F3F4F6"/>
            <w:tcMar>
              <w:top w:w="100" w:type="dxa"/>
              <w:bottom w:w="100" w:type="dxa"/>
              <w:left w:w="150" w:type="dxa"/>
              <w:right w:w="150" w:type="dxa"/>
            </w:tcMar>
          </w:tcPr>
          <w:p>
            <w:r>
              <w:t>Ley 2294/2023 / Res. CREG 101 072 (2025) [i]</w:t>
            </w:r>
          </w:p>
        </w:tc>
        <w:tc>
          <w:tcPr>
            <w:tcW w:type="dxa" w:w="1872"/>
            <w:shd w:fill="F3F4F6"/>
            <w:tcMar>
              <w:top w:w="100" w:type="dxa"/>
              <w:bottom w:w="100" w:type="dxa"/>
              <w:left w:w="150" w:type="dxa"/>
              <w:right w:w="150" w:type="dxa"/>
            </w:tcMar>
          </w:tcPr>
          <w:p>
            <w:r/>
            <w:r>
              <w:rPr>
                <w:b/>
              </w:rPr>
              <w:t>5 MW</w:t>
            </w:r>
            <w:r>
              <w:t xml:space="preserve"> (Res. UPME 501/24)</w:t>
            </w:r>
          </w:p>
        </w:tc>
        <w:tc>
          <w:tcPr>
            <w:tcW w:type="dxa" w:w="1872"/>
            <w:shd w:fill="F3F4F6"/>
            <w:tcMar>
              <w:top w:w="100" w:type="dxa"/>
              <w:bottom w:w="100" w:type="dxa"/>
              <w:left w:w="150" w:type="dxa"/>
              <w:right w:w="150" w:type="dxa"/>
            </w:tcMar>
          </w:tcPr>
          <w:p>
            <w:r>
              <w:t>Compensación horaria e inyección valorizada a red</w:t>
            </w:r>
          </w:p>
        </w:tc>
        <w:tc>
          <w:tcPr>
            <w:tcW w:type="dxa" w:w="1872"/>
            <w:shd w:fill="F3F4F6"/>
            <w:tcMar>
              <w:top w:w="100" w:type="dxa"/>
              <w:bottom w:w="100" w:type="dxa"/>
              <w:left w:w="150" w:type="dxa"/>
              <w:right w:w="150" w:type="dxa"/>
            </w:tcMar>
          </w:tcPr>
          <w:p>
            <w:r/>
            <w:r>
              <w:rPr>
                <w:b/>
              </w:rPr>
              <w:t>Debilidad de Monitoreo:</w:t>
            </w:r>
            <w:r>
              <w:t xml:space="preserve"> Falta de medición inteligente obligatoria y falta de mecanismos financieros no reembolsables estables [i].</w:t>
            </w:r>
          </w:p>
        </w:tc>
      </w:tr>
      <w:tr>
        <w:tc>
          <w:tcPr>
            <w:tcW w:type="dxa" w:w="1872"/>
            <w:shd w:fill="FFFFFF"/>
            <w:tcMar>
              <w:top w:w="100" w:type="dxa"/>
              <w:bottom w:w="100" w:type="dxa"/>
              <w:left w:w="150" w:type="dxa"/>
              <w:right w:w="150" w:type="dxa"/>
            </w:tcMar>
          </w:tcPr>
          <w:p>
            <w:r/>
            <w:r>
              <w:rPr>
                <w:b/>
              </w:rPr>
              <w:t>Brasil</w:t>
            </w:r>
            <w:r/>
          </w:p>
        </w:tc>
        <w:tc>
          <w:tcPr>
            <w:tcW w:type="dxa" w:w="1872"/>
            <w:shd w:fill="FFFFFF"/>
            <w:tcMar>
              <w:top w:w="100" w:type="dxa"/>
              <w:bottom w:w="100" w:type="dxa"/>
              <w:left w:w="150" w:type="dxa"/>
              <w:right w:w="150" w:type="dxa"/>
            </w:tcMar>
          </w:tcPr>
          <w:p>
            <w:r>
              <w:t>Lei 14.300/2022 (Marco Legal GD) [i]</w:t>
            </w:r>
          </w:p>
        </w:tc>
        <w:tc>
          <w:tcPr>
            <w:tcW w:type="dxa" w:w="1872"/>
            <w:shd w:fill="FFFFFF"/>
            <w:tcMar>
              <w:top w:w="100" w:type="dxa"/>
              <w:bottom w:w="100" w:type="dxa"/>
              <w:left w:w="150" w:type="dxa"/>
              <w:right w:w="150" w:type="dxa"/>
            </w:tcMar>
          </w:tcPr>
          <w:p>
            <w:r/>
            <w:r>
              <w:rPr>
                <w:b/>
              </w:rPr>
              <w:t>5 MW</w:t>
            </w:r>
            <w:r/>
          </w:p>
        </w:tc>
        <w:tc>
          <w:tcPr>
            <w:tcW w:type="dxa" w:w="1872"/>
            <w:shd w:fill="FFFFFF"/>
            <w:tcMar>
              <w:top w:w="100" w:type="dxa"/>
              <w:bottom w:w="100" w:type="dxa"/>
              <w:left w:w="150" w:type="dxa"/>
              <w:right w:w="150" w:type="dxa"/>
            </w:tcMar>
          </w:tcPr>
          <w:p>
            <w:r>
              <w:t>Sistema de Compensación de Créditos de Energía</w:t>
            </w:r>
          </w:p>
        </w:tc>
        <w:tc>
          <w:tcPr>
            <w:tcW w:type="dxa" w:w="1872"/>
            <w:shd w:fill="FFFFFF"/>
            <w:tcMar>
              <w:top w:w="100" w:type="dxa"/>
              <w:bottom w:w="100" w:type="dxa"/>
              <w:left w:w="150" w:type="dxa"/>
              <w:right w:w="150" w:type="dxa"/>
            </w:tcMar>
          </w:tcPr>
          <w:p>
            <w:r/>
            <w:r>
              <w:rPr>
                <w:b/>
              </w:rPr>
              <w:t>Incertidumbre Regulatoria:</w:t>
            </w:r>
            <w:r>
              <w:t xml:space="preserve"> Cargos de red transitorios (Fio B) y barreras para la conformación de figuras jurídicas no comerciales.</w:t>
            </w:r>
          </w:p>
        </w:tc>
      </w:tr>
      <w:tr>
        <w:tc>
          <w:tcPr>
            <w:tcW w:type="dxa" w:w="1872"/>
            <w:shd w:fill="F3F4F6"/>
            <w:tcMar>
              <w:top w:w="100" w:type="dxa"/>
              <w:bottom w:w="100" w:type="dxa"/>
              <w:left w:w="150" w:type="dxa"/>
              <w:right w:w="150" w:type="dxa"/>
            </w:tcMar>
          </w:tcPr>
          <w:p>
            <w:r/>
            <w:r>
              <w:rPr>
                <w:b/>
              </w:rPr>
              <w:t>Chile</w:t>
            </w:r>
            <w:r/>
          </w:p>
        </w:tc>
        <w:tc>
          <w:tcPr>
            <w:tcW w:type="dxa" w:w="1872"/>
            <w:shd w:fill="F3F4F6"/>
            <w:tcMar>
              <w:top w:w="100" w:type="dxa"/>
              <w:bottom w:w="100" w:type="dxa"/>
              <w:left w:w="150" w:type="dxa"/>
              <w:right w:w="150" w:type="dxa"/>
            </w:tcMar>
          </w:tcPr>
          <w:p>
            <w:r>
              <w:t>Ley 21.118 (Generación Ciudadana)</w:t>
            </w:r>
          </w:p>
        </w:tc>
        <w:tc>
          <w:tcPr>
            <w:tcW w:type="dxa" w:w="1872"/>
            <w:shd w:fill="F3F4F6"/>
            <w:tcMar>
              <w:top w:w="100" w:type="dxa"/>
              <w:bottom w:w="100" w:type="dxa"/>
              <w:left w:w="150" w:type="dxa"/>
              <w:right w:w="150" w:type="dxa"/>
            </w:tcMar>
          </w:tcPr>
          <w:p>
            <w:r/>
            <w:r>
              <w:rPr>
                <w:b/>
              </w:rPr>
              <w:t>300 kW</w:t>
            </w:r>
            <w:r/>
          </w:p>
        </w:tc>
        <w:tc>
          <w:tcPr>
            <w:tcW w:type="dxa" w:w="1872"/>
            <w:shd w:fill="F3F4F6"/>
            <w:tcMar>
              <w:top w:w="100" w:type="dxa"/>
              <w:bottom w:w="100" w:type="dxa"/>
              <w:left w:w="150" w:type="dxa"/>
              <w:right w:w="150" w:type="dxa"/>
            </w:tcMar>
          </w:tcPr>
          <w:p>
            <w:r>
              <w:t>Net Billing (descuento en la facturación mensual)</w:t>
            </w:r>
          </w:p>
        </w:tc>
        <w:tc>
          <w:tcPr>
            <w:tcW w:type="dxa" w:w="1872"/>
            <w:shd w:fill="F3F4F6"/>
            <w:tcMar>
              <w:top w:w="100" w:type="dxa"/>
              <w:bottom w:w="100" w:type="dxa"/>
              <w:left w:w="150" w:type="dxa"/>
              <w:right w:w="150" w:type="dxa"/>
            </w:tcMar>
          </w:tcPr>
          <w:p>
            <w:r/>
            <w:r>
              <w:rPr>
                <w:b/>
              </w:rPr>
              <w:t>Escala Restrictiva:</w:t>
            </w:r>
            <w:r>
              <w:t xml:space="preserve"> El límite de 300 kW impide proyectos multivectoriales de escala comunitaria y excluye microrredes rurales.</w:t>
            </w:r>
          </w:p>
        </w:tc>
      </w:tr>
      <w:tr>
        <w:tc>
          <w:tcPr>
            <w:tcW w:type="dxa" w:w="1872"/>
            <w:shd w:fill="FFFFFF"/>
            <w:tcMar>
              <w:top w:w="100" w:type="dxa"/>
              <w:bottom w:w="100" w:type="dxa"/>
              <w:left w:w="150" w:type="dxa"/>
              <w:right w:w="150" w:type="dxa"/>
            </w:tcMar>
          </w:tcPr>
          <w:p>
            <w:r/>
            <w:r>
              <w:rPr>
                <w:b/>
              </w:rPr>
              <w:t>México</w:t>
            </w:r>
            <w:r/>
          </w:p>
        </w:tc>
        <w:tc>
          <w:tcPr>
            <w:tcW w:type="dxa" w:w="1872"/>
            <w:shd w:fill="FFFFFF"/>
            <w:tcMar>
              <w:top w:w="100" w:type="dxa"/>
              <w:bottom w:w="100" w:type="dxa"/>
              <w:left w:w="150" w:type="dxa"/>
              <w:right w:w="150" w:type="dxa"/>
            </w:tcMar>
          </w:tcPr>
          <w:p>
            <w:r>
              <w:t>Ley de la Industria Eléctrica (Gen. Exenta)</w:t>
            </w:r>
          </w:p>
        </w:tc>
        <w:tc>
          <w:tcPr>
            <w:tcW w:type="dxa" w:w="1872"/>
            <w:shd w:fill="FFFFFF"/>
            <w:tcMar>
              <w:top w:w="100" w:type="dxa"/>
              <w:bottom w:w="100" w:type="dxa"/>
              <w:left w:w="150" w:type="dxa"/>
              <w:right w:w="150" w:type="dxa"/>
            </w:tcMar>
          </w:tcPr>
          <w:p>
            <w:r/>
            <w:r>
              <w:rPr>
                <w:b/>
              </w:rPr>
              <w:t>500 kW</w:t>
            </w:r>
            <w:r/>
          </w:p>
        </w:tc>
        <w:tc>
          <w:tcPr>
            <w:tcW w:type="dxa" w:w="1872"/>
            <w:shd w:fill="FFFFFF"/>
            <w:tcMar>
              <w:top w:w="100" w:type="dxa"/>
              <w:bottom w:w="100" w:type="dxa"/>
              <w:left w:w="150" w:type="dxa"/>
              <w:right w:w="150" w:type="dxa"/>
            </w:tcMar>
          </w:tcPr>
          <w:p>
            <w:r>
              <w:t>Net Metering / Net Billing</w:t>
            </w:r>
          </w:p>
        </w:tc>
        <w:tc>
          <w:tcPr>
            <w:tcW w:type="dxa" w:w="1872"/>
            <w:shd w:fill="FFFFFF"/>
            <w:tcMar>
              <w:top w:w="100" w:type="dxa"/>
              <w:bottom w:w="100" w:type="dxa"/>
              <w:left w:w="150" w:type="dxa"/>
              <w:right w:w="150" w:type="dxa"/>
            </w:tcMar>
          </w:tcPr>
          <w:p>
            <w:r/>
            <w:r>
              <w:rPr>
                <w:b/>
              </w:rPr>
              <w:t>Bloqueo Político:</w:t>
            </w:r>
            <w:r>
              <w:t xml:space="preserve"> Restricción a la inyección colectiva por priorización de generación estatal centralizada.</w:t>
            </w:r>
          </w:p>
        </w:tc>
      </w:tr>
    </w:tbl>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280" w:after="120"/>
      </w:pPr>
      <w:r>
        <w:rPr>
          <w:rFonts w:ascii="Georgia" w:hAnsi="Georgia"/>
          <w:b/>
          <w:color w:val="3C8EAF"/>
          <w:sz w:val="24"/>
        </w:rPr>
        <w:t>El Marco Regulatorio de Colombia: Transición de la CREG 101 072 de 2025 y UPME 501 de 2024</w:t>
      </w:r>
    </w:p>
    <w:p>
      <w:pPr>
        <w:spacing w:after="120" w:line="276" w:lineRule="auto"/>
      </w:pPr>
      <w:r>
        <w:t xml:space="preserve">Colombia representa uno de los modelos más avanzados de la región al codificar las comunidades energéticas directamente en su Plan Nacional de Desarrollo (Ley 2294 de 2023, artículo 235), definiéndolas como un eje estratégico para la transición energética justa. No obstante, la operatividad del modelo se consolidó técnicamente mediante la </w:t>
      </w:r>
      <w:r>
        <w:rPr>
          <w:b/>
        </w:rPr>
        <w:t>Resolución CREG 101 072 de 2025</w:t>
      </w:r>
      <w:r>
        <w:t xml:space="preserve"> y la </w:t>
      </w:r>
      <w:r>
        <w:rPr>
          <w:b/>
        </w:rPr>
        <w:t>Resolución UPME 501 de 2024</w:t>
      </w:r>
      <w:r>
        <w:t xml:space="preserve"> [i].</w:t>
      </w:r>
    </w:p>
    <w:p>
      <w:pPr>
        <w:spacing w:after="120" w:line="276" w:lineRule="auto"/>
      </w:pPr>
      <w:r>
        <w:t xml:space="preserve">Estas normativas marcan un hito al forzar la transición de las figuras clásicas de "Autogenerador a Pequeña Escala" hacia el rol de </w:t>
      </w:r>
      <w:r>
        <w:rPr>
          <w:b/>
        </w:rPr>
        <w:t>Participantes Activos del Mercado</w:t>
      </w:r>
      <w:r>
        <w:t xml:space="preserve"> a las comunidades energéticas. La regulación colombiana establece una diferenciación técnica y comercial de dos figuras:</w:t>
      </w:r>
    </w:p>
    <w:p>
      <w:pPr>
        <w:spacing w:after="80"/>
        <w:ind w:left="360"/>
      </w:pPr>
      <w:r>
        <w:rPr>
          <w:b/>
        </w:rPr>
        <w:t xml:space="preserve">1. </w:t>
      </w:r>
      <w:r>
        <w:t xml:space="preserve"> </w:t>
      </w:r>
      <w:r>
        <w:rPr>
          <w:b/>
        </w:rPr>
        <w:t>Autogeneración Colectiva (AGRC):</w:t>
      </w:r>
      <w:r>
        <w:t xml:space="preserve"> Destinada principalmente a satisfacer el consumo propio del grupo asociado de prosumidores colectivos, permitiendo la inyección a la red de los excedentes no consumidos en el período de facturación.</w:t>
      </w:r>
    </w:p>
    <w:p>
      <w:pPr>
        <w:spacing w:after="80"/>
        <w:ind w:left="360"/>
      </w:pPr>
      <w:r>
        <w:rPr>
          <w:b/>
        </w:rPr>
        <w:t xml:space="preserve">2. </w:t>
      </w:r>
      <w:r>
        <w:t xml:space="preserve"> </w:t>
      </w:r>
      <w:r>
        <w:rPr>
          <w:b/>
        </w:rPr>
        <w:t>Generación Distribuida Colectiva (GDC):</w:t>
      </w:r>
      <w:r>
        <w:t xml:space="preserve"> Diseñada específicamente para la venta total de la energía generada a la red de distribución local, siempre que todos los generadores y consumidores comunitarios se localicen en el mismo mercado de comercialización.</w:t>
      </w:r>
    </w:p>
    <w:p>
      <w:pPr>
        <w:spacing w:after="120" w:line="276" w:lineRule="auto"/>
      </w:pPr>
      <w:r>
        <w:t xml:space="preserve">Ambos esquemas técnicos están blindados por el límite de escala fijado por la </w:t>
      </w:r>
      <w:r>
        <w:rPr>
          <w:b/>
        </w:rPr>
        <w:t>Resolución UPME 501 de 2024</w:t>
      </w:r>
      <w:r>
        <w:t xml:space="preserve">, que establece una capacidad máxima instalada de </w:t>
      </w:r>
      <w:r>
        <w:rPr>
          <w:b/>
        </w:rPr>
        <w:t>hasta 5 MW</w:t>
      </w:r>
      <w:r>
        <w:t xml:space="preserve"> y define criterios estrictos de dispersión espacial y geográfica en áreas urbanas y rurales para delimitar la frontera del proyecto [i].</w:t>
      </w:r>
    </w:p>
    <w:p>
      <w:pPr>
        <w:spacing w:after="120" w:line="276" w:lineRule="auto"/>
      </w:pPr>
      <w:r>
        <w:t xml:space="preserve">Un aspecto determinante de la Resolución CREG 101 072 de 2025 es la obligatoriedad del </w:t>
      </w:r>
      <w:r>
        <w:rPr>
          <w:b/>
        </w:rPr>
        <w:t>Acuerdo de Conformación Energética (ACE)</w:t>
      </w:r>
      <w:r>
        <w:t xml:space="preserve">. Este instrumento es el contrato jurídico vinculante mediante el cual la comunidad define las reglas de juego internas. El regulador exige que el ACE incluya el </w:t>
      </w:r>
      <w:r>
        <w:rPr>
          <w:b/>
        </w:rPr>
        <w:t>Factor de Porcentaje de Distribución de Excedentes (Factor PDE)</w:t>
      </w:r>
      <w:r>
        <w:t>. El Factor PDE es la fórmula horaria matemática registrada formalmente ante el Operador de Red que dictamina cómo se asignan los excedentes de inyección financiera y los créditos de energía entre cada uno de los miembros copropietarios de la CEL, garantizando que el reparto beneficie a los hogares en pobreza energética y no dependa de asimetrías de poder.</w:t>
      </w:r>
    </w:p>
    <w:p>
      <w:pPr>
        <w:keepNext/>
        <w:spacing w:before="280" w:after="120"/>
      </w:pPr>
      <w:r>
        <w:rPr>
          <w:rFonts w:ascii="Georgia" w:hAnsi="Georgia"/>
          <w:b/>
          <w:color w:val="3C8EAF"/>
          <w:sz w:val="24"/>
        </w:rPr>
        <w:t>Evidencia Empírica de Escalamiento vs. Estancamiento: Lecciones del Territorio</w:t>
      </w:r>
    </w:p>
    <w:p>
      <w:pPr>
        <w:spacing w:after="120" w:line="276" w:lineRule="auto"/>
      </w:pPr>
      <w:r>
        <w:t>Para validar los pilares de gobernanza y apropiación de la taxonomía, se contrastan dos experiencias empíricas en la región [i]:</w:t>
      </w:r>
    </w:p>
    <w:p>
      <w:pPr>
        <w:pStyle w:val="ListBullet"/>
        <w:spacing w:after="60"/>
      </w:pPr>
      <w:r>
        <w:t xml:space="preserve">  </w:t>
      </w:r>
      <w:r>
        <w:rPr>
          <w:b/>
        </w:rPr>
        <w:t>Caso de Éxito de Escalamiento: Armstrong (Argentina):</w:t>
      </w:r>
      <w:r/>
    </w:p>
    <w:p>
      <w:pPr>
        <w:spacing w:after="120" w:line="276" w:lineRule="auto"/>
      </w:pPr>
      <w:r>
        <w:t xml:space="preserve">Proyecto piloto pionero que instaló una planta fotovoltaica de 75 kW y aerogeneradores cooperativos. Su éxito radicó en la </w:t>
      </w:r>
      <w:r>
        <w:rPr>
          <w:b/>
        </w:rPr>
        <w:t>Legitimación Participativa (Función TIS)</w:t>
      </w:r>
      <w:r>
        <w:t>. La cooperativa eléctrica local de servicios públicos integró un "Acuerdo Ciudadano" de gobernanza descentralizada que alineó a los usuarios, la municipalidad y la universidad, permitiendo estructurar un fideicomiso transparente para reinvertir los retornos tarifarios en la extensión de la red rural.</w:t>
      </w:r>
    </w:p>
    <w:p>
      <w:pPr>
        <w:pStyle w:val="ListBullet"/>
        <w:spacing w:after="60"/>
      </w:pPr>
      <w:r>
        <w:t xml:space="preserve">  </w:t>
      </w:r>
      <w:r>
        <w:rPr>
          <w:b/>
        </w:rPr>
        <w:t>Caso de Estancamiento: Juazeiro (Brasil):</w:t>
      </w:r>
      <w:r/>
    </w:p>
    <w:p>
      <w:pPr>
        <w:spacing w:after="120" w:line="276" w:lineRule="auto"/>
      </w:pPr>
      <w:r>
        <w:t xml:space="preserve">Construcción de dos condominios de vivienda social equipados con plantas fotovoltaicas comunitarias de gran envergadura (más de 1.2 MW en total). A pesar de contar con financiamiento internacional y tecnología de punta, el proyecto sufrió un colapso operativo y de pago por una implementación estrictamente </w:t>
      </w:r>
      <w:r>
        <w:rPr>
          <w:b/>
        </w:rPr>
        <w:t>Top-Down</w:t>
      </w:r>
      <w:r>
        <w:t xml:space="preserve"> (de arriba hacia abajo). La ausencia de apropiación social (pilar AS), la nula capacitación técnica de los vecinos y la fragilidad organizativa frente a las distribuidoras locales provocaron el abandono de los sistemas y la posterior desconexión de la red por falta de pago del cargo por uso del hilo. Esto demuestra que el desarrollo tecnológico sin un pilar sólido de gobernanza y educación comunitaria es insostenible y está condenado al estancamiento [i].</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p>
      <w:pPr>
        <w:keepNext/>
        <w:spacing w:before="360" w:after="160"/>
      </w:pPr>
      <w:r>
        <w:rPr>
          <w:rFonts w:ascii="Georgia" w:hAnsi="Georgia"/>
          <w:b/>
          <w:color w:val="122E3A"/>
          <w:sz w:val="28"/>
        </w:rPr>
        <w:t>REFERENCIAS BIBLIOGRÁFICAS</w:t>
      </w:r>
    </w:p>
    <w:p>
      <w:pPr>
        <w:spacing w:after="120" w:line="276" w:lineRule="auto"/>
      </w:pPr>
      <w:r>
        <w:t>Para mantener el rigor académico exigido por los organismos multilaterales y entes científicos de financiamiento (como CYTED), este documento adopta el sistema de citas numéricas [i] referenciado a lo largo del texto, correspondiendo a las siguientes fuentes primarias:</w:t>
      </w:r>
    </w:p>
    <w:p>
      <w:pPr>
        <w:pStyle w:val="ListBullet"/>
        <w:spacing w:after="60"/>
      </w:pPr>
      <w:r>
        <w:t xml:space="preserve">  </w:t>
      </w:r>
      <w:r>
        <w:rPr>
          <w:b/>
        </w:rPr>
        <w:t>[i]</w:t>
      </w:r>
      <w:r>
        <w:t xml:space="preserve"> Polanco, M., &amp; García-Martínez, A. (2026). </w:t>
      </w:r>
      <w:r>
        <w:rPr>
          <w:i/>
        </w:rPr>
        <w:t>Asimetrías regulatorias, brechas de medición inteligente y gobernanza en las comunidades energéticas de América Latina</w:t>
      </w:r>
      <w:r>
        <w:t>. Ediciones RIPCEL, Santiago de Chile. (Incluye también compilación normativa oficial: CREG Resolución 101 072 de 2025, Bogotá, Colombia; y UPME Resolución 501 de 2024, Ministerio de Minas y Energía, Colombia).</w:t>
      </w:r>
    </w:p>
    <w:p>
      <w:pPr>
        <w:pStyle w:val="ListBullet"/>
        <w:spacing w:after="60"/>
      </w:pPr>
      <w:r>
        <w:t xml:space="preserve">  </w:t>
      </w:r>
      <w:r>
        <w:rPr>
          <w:b/>
        </w:rPr>
        <w:t>[ii]</w:t>
      </w:r>
      <w:r>
        <w:t xml:space="preserve"> Bauwens, T., Haglund, L., &amp; Scholl, C. (2022). "What is community energy? A systematic review of 183 definitions". </w:t>
      </w:r>
      <w:r>
        <w:rPr>
          <w:i/>
        </w:rPr>
        <w:t>Energy Research &amp; Social Science</w:t>
      </w:r>
      <w:r>
        <w:t>, 91, 102749. https://doi.org/10.1016/j.erss.2022.102749.</w:t>
      </w:r>
    </w:p>
    <w:p>
      <w:pPr>
        <w:pStyle w:val="ListBullet"/>
        <w:spacing w:after="60"/>
      </w:pPr>
      <w:r>
        <w:t xml:space="preserve">  </w:t>
      </w:r>
      <w:r>
        <w:rPr>
          <w:b/>
        </w:rPr>
        <w:t>[iii]</w:t>
      </w:r>
      <w:r>
        <w:t xml:space="preserve"> Walker, G., &amp; Devine-Wright, P. (2008). "Community energy: What does it mean?". </w:t>
      </w:r>
      <w:r>
        <w:rPr>
          <w:i/>
        </w:rPr>
        <w:t>Energy Policy</w:t>
      </w:r>
      <w:r>
        <w:t>, 36(2), 497-500. https://doi.org/10.1016/j.enpol.2007.10.015.</w:t>
      </w:r>
    </w:p>
    <w:p>
      <w:pPr>
        <w:pStyle w:val="ListBullet"/>
        <w:spacing w:after="60"/>
      </w:pPr>
      <w:r>
        <w:t xml:space="preserve">  </w:t>
      </w:r>
      <w:r>
        <w:rPr>
          <w:b/>
        </w:rPr>
        <w:t>[iv]</w:t>
      </w:r>
      <w:r>
        <w:t xml:space="preserve"> Jenkins, K., McCauley, D., Heffron, R., Stephan, H., &amp; Rehner, R. (2016). "Energy justice: A conceptual review". </w:t>
      </w:r>
      <w:r>
        <w:rPr>
          <w:i/>
        </w:rPr>
        <w:t>Energy Policy</w:t>
      </w:r>
      <w:r>
        <w:t>, 98, 174-182. https://doi.org/10.1016/j.enpol.2016.08.018.</w:t>
      </w:r>
    </w:p>
    <w:p>
      <w:pPr>
        <w:pStyle w:val="ListBullet"/>
        <w:spacing w:after="60"/>
      </w:pPr>
      <w:r>
        <w:t xml:space="preserve">  </w:t>
      </w:r>
      <w:r>
        <w:rPr>
          <w:b/>
        </w:rPr>
        <w:t>[v]</w:t>
      </w:r>
      <w:r>
        <w:t xml:space="preserve"> Consorcio de Investigación RIPCEL (2026). </w:t>
      </w:r>
      <w:r>
        <w:rPr>
          <w:i/>
        </w:rPr>
        <w:t>Justicia Energética y Marcos Éticos para la Apropiación Social de la Tecnología en el Sur Global</w:t>
      </w:r>
      <w:r>
        <w:t>. Memoria de Investigación CYTED, Código de Proyecto: 726RT0203.</w:t>
      </w:r>
    </w:p>
    <w:p>
      <w:pPr>
        <w:pStyle w:val="ListBullet"/>
        <w:spacing w:after="60"/>
      </w:pPr>
      <w:r>
        <w:t xml:space="preserve">  </w:t>
      </w:r>
      <w:r>
        <w:rPr>
          <w:b/>
        </w:rPr>
        <w:t>[vi]</w:t>
      </w:r>
      <w:r>
        <w:t xml:space="preserve"> Real Decreto-ley 23/2020, de 23 de junio, por el que se aprueban medidas en materia de energía y en otros ámbitos para la reactivación económica. Boletín Oficial del Estado (BOE), España.</w:t>
      </w:r>
    </w:p>
    <w:p>
      <w:pPr>
        <w:pStyle w:val="ListBullet"/>
        <w:spacing w:after="60"/>
      </w:pPr>
      <w:r>
        <w:t xml:space="preserve">  </w:t>
      </w:r>
      <w:r>
        <w:rPr>
          <w:b/>
        </w:rPr>
        <w:t>[vii]</w:t>
      </w:r>
      <w:r>
        <w:t xml:space="preserve"> Decreto-Lei n.º 15/2022, de 14 de janeiro, que estabelece a organização e o funcionamento do Sistema Elétrico Nacional. Diário da República, Lisboa, Portugal.</w:t>
      </w:r>
    </w:p>
    <w:p>
      <w:pPr>
        <w:pStyle w:val="ListBullet"/>
        <w:spacing w:after="60"/>
      </w:pPr>
      <w:r>
        <w:t xml:space="preserve">  </w:t>
      </w:r>
      <w:r>
        <w:rPr>
          <w:b/>
        </w:rPr>
        <w:t>[viii]</w:t>
      </w:r>
      <w:r>
        <w:t xml:space="preserve"> Decreto-Lei n.º 99/2024, de 18 de dezembro, que altera as regras de autoconsumo coletivo e de comunidades de energía renovável. Diário da República, Lisboa, Portugal.</w:t>
      </w:r>
    </w:p>
    <w:p>
      <w:pPr>
        <w:pStyle w:val="ListBullet"/>
        <w:spacing w:after="60"/>
      </w:pPr>
      <w:r>
        <w:t xml:space="preserve">  </w:t>
      </w:r>
      <w:r>
        <w:rPr>
          <w:b/>
        </w:rPr>
        <w:t>[ix]</w:t>
      </w:r>
      <w:r>
        <w:t xml:space="preserve"> Lei n.º 14.300/2022, de 7 de janeiro de 2022, que institui o marco legal de microgeração e minigeração distribuída. Diário Oficial da União, Brasília, Brasil.</w:t>
      </w:r>
    </w:p>
    <w:p>
      <w:pPr>
        <w:spacing w:before="480" w:after="480"/>
        <w:jc w:val="center"/>
      </w:pPr>
      <w:r>
        <w:rPr>
          <w:color w:val="9CA3AF"/>
        </w:rPr>
        <w:t>————————————————————————————————————————</w:t>
      </w:r>
    </w:p>
    <w:p>
      <w:pPr>
        <w:spacing w:before="480" w:after="480"/>
        <w:jc w:val="center"/>
      </w:pPr>
      <w:r>
        <w:rPr>
          <w:color w:val="9CA3AF"/>
        </w:rPr>
        <w:t>————————————————————————————————————————</w:t>
      </w:r>
    </w:p>
    <w:p>
      <w:pPr>
        <w:spacing w:before="480" w:after="480"/>
        <w:jc w:val="center"/>
      </w:pPr>
      <w:r>
        <w:rPr>
          <w:color w:val="9CA3AF"/>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